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省级分局和计划单列市分局办理的内保外贷担保履约形成对外债权登记</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【000171109002】</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境内机构（不含银行业金融机构）对外债权核准【00017110900Y】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省级分局和计划单列市分局办理的内保外贷担保履约形成对外债权登记【000171109002】</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省级分局和计划单列市分局办理的内保外贷担保履约形成对外债权登记(00017110900201)</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省级分局和计划单列市分局办理的内保外贷担保履约形成对外债权变更登记(00017110900202)</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rPr>
        <w:t>省级分局和计划单列市分局办理的内保外贷担保履约形成对外债权注销登记(00017110900203)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《中华人民共和国外汇管理条例》（国务院令第532号）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实施依据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《跨境担保外汇管理规定》</w:t>
      </w:r>
      <w:r>
        <w:rPr>
          <w:rFonts w:hint="eastAsia" w:ascii="方正仿宋_GBK" w:hAnsi="方正仿宋_GBK" w:eastAsia="方正仿宋_GBK" w:cs="方正仿宋_GBK"/>
          <w:sz w:val="28"/>
          <w:szCs w:val="28"/>
        </w:rPr>
        <w:t>（汇发〔2014〕29号</w:t>
      </w:r>
      <w:r>
        <w:rPr>
          <w:rFonts w:hint="eastAsia" w:ascii="方正仿宋_GBK" w:hAnsi="方正仿宋_GBK" w:eastAsia="方正仿宋_GBK" w:cs="方正仿宋_GBK"/>
          <w:sz w:val="28"/>
          <w:szCs w:val="28"/>
          <w:lang w:eastAsia="zh-CN"/>
        </w:rPr>
        <w:t>印发</w:t>
      </w:r>
      <w:r>
        <w:rPr>
          <w:rFonts w:hint="eastAsia" w:ascii="方正仿宋_GBK" w:hAnsi="方正仿宋_GBK" w:eastAsia="方正仿宋_GBK" w:cs="方正仿宋_GBK"/>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b w:val="0"/>
          <w:bCs w:val="0"/>
          <w:strike w:val="0"/>
          <w:dstrike w:val="0"/>
          <w:color w:val="auto"/>
          <w:sz w:val="28"/>
          <w:szCs w:val="28"/>
          <w:lang w:val="en-US" w:eastAsia="zh-CN"/>
        </w:rPr>
        <w:t>《资本项目外汇业务指引（2024版）》（汇发〔2024〕12号文印发）</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《国家外汇管理局行政许可实施办法》</w:t>
      </w:r>
      <w:r>
        <w:rPr>
          <w:rFonts w:hint="default" w:ascii="方正仿宋_GBK" w:hAnsi="方正仿宋_GBK" w:eastAsia="方正仿宋_GBK" w:cs="方正仿宋_GBK"/>
          <w:b w:val="0"/>
          <w:bCs w:val="0"/>
          <w:strike w:val="0"/>
          <w:dstrike w:val="0"/>
          <w:color w:val="auto"/>
          <w:sz w:val="28"/>
          <w:szCs w:val="28"/>
          <w:lang w:val="en-US" w:eastAsia="zh-CN"/>
        </w:rPr>
        <w:t>（国家外汇管理局公告2021年第1号）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《中华人民共和国外汇管理条例》</w:t>
      </w:r>
      <w:r>
        <w:rPr>
          <w:rFonts w:hint="eastAsia" w:ascii="方正仿宋_GBK" w:hAnsi="方正仿宋_GBK" w:eastAsia="方正仿宋_GBK" w:cs="方正仿宋_GBK"/>
          <w:sz w:val="28"/>
          <w:szCs w:val="28"/>
        </w:rPr>
        <w:t>（国务院令第532号）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ascii="方正仿宋_GBK" w:hAnsi="方正仿宋_GBK" w:eastAsia="方正仿宋_GBK" w:cs="方正仿宋_GBK"/>
          <w:sz w:val="28"/>
          <w:szCs w:val="28"/>
        </w:rPr>
        <w:t>局省级分局和计划单列市分局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国家级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省级/直属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（十一）</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（十二）</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lang w:eastAsia="zh-CN"/>
        </w:rPr>
        <w:t>（十三）</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（十四）</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内保外贷担保履约对外债权登记</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（十五）</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准予行政许可的条件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省级分局和计划单列市分局办理的内保外贷担保履约形成对外债权登记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内保外贷发生担保履约的，境内担保人或境内反担保人成为对外债权人。</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省级分局和计划单列市分局办理的内保外贷担保履约形成对外债权变更登记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对外债权额度、变更或原协议发生变化（如利率调整、期限变更等）的。</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省级分局和计划单列市分局办理的内保外贷担保履约形成对外债权注销登记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对外债权到期（含展期到期）收回本息，或未到期但本息已回收完毕的。</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《跨境担保外汇管理规定》</w:t>
      </w:r>
      <w:r>
        <w:rPr>
          <w:rFonts w:hint="eastAsia" w:ascii="方正仿宋_GBK" w:hAnsi="方正仿宋_GBK" w:eastAsia="方正仿宋_GBK" w:cs="方正仿宋_GBK"/>
          <w:sz w:val="28"/>
          <w:szCs w:val="28"/>
        </w:rPr>
        <w:t>（汇发〔2014〕29号</w:t>
      </w:r>
      <w:r>
        <w:rPr>
          <w:rFonts w:hint="eastAsia" w:ascii="方正仿宋_GBK" w:hAnsi="方正仿宋_GBK" w:eastAsia="方正仿宋_GBK" w:cs="方正仿宋_GBK"/>
          <w:sz w:val="28"/>
          <w:szCs w:val="28"/>
          <w:lang w:eastAsia="zh-CN"/>
        </w:rPr>
        <w:t>印发</w:t>
      </w:r>
      <w:r>
        <w:rPr>
          <w:rFonts w:hint="eastAsia" w:ascii="方正仿宋_GBK" w:hAnsi="方正仿宋_GBK" w:eastAsia="方正仿宋_GBK" w:cs="方正仿宋_GBK"/>
          <w:sz w:val="28"/>
          <w:szCs w:val="28"/>
        </w:rPr>
        <w:t>）</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改革方式：</w:t>
      </w:r>
      <w:r>
        <w:rPr>
          <w:rFonts w:ascii="方正仿宋_GBK" w:hAnsi="方正仿宋_GBK" w:eastAsia="方正仿宋_GBK" w:cs="方正仿宋_GBK"/>
          <w:sz w:val="28"/>
          <w:szCs w:val="28"/>
        </w:rPr>
        <w:t>无</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具体改革举措：</w:t>
      </w:r>
      <w:r>
        <w:rPr>
          <w:rFonts w:ascii="方正仿宋_GBK" w:hAnsi="方正仿宋_GBK" w:eastAsia="方正仿宋_GBK" w:cs="方正仿宋_GBK"/>
          <w:sz w:val="28"/>
          <w:szCs w:val="28"/>
        </w:rPr>
        <w:t>无</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加强事中事后监管措施</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开展“双随机、一公开”监管，依法查处违规行为，适时公开相关案例。</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依法及时处理投诉举报。</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开展数据统计与监测，掌握外汇业务情况。</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省级分局和计划单列市分局办理的内保外贷担保履约形成对外债权登记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营业执照（统一社会信用代码证）原件或加盖公章的复印件1份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加盖公章的书面申请（包括内保外贷签约登记办理情况、担保履约的原因、履约资金来源、境外债务人还款计划及未来还款资金来源等）原件1份</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担保履约证明材料原件及加盖公章的复印件各1份（验原件，留存复印件）。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省级分局和计划单列市分局办理的内保外贷担保履约形成对外债权变更登记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变更后的内保外贷担保履约对外债权协议。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（3）省级分局和计划单列市分局办理的内保外贷担保履约形成对外债权注销登记</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到期收回对外债权本息相关证明材料</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因客观原因无法按期收回担保履约款本息（或有关债务豁免、债转股、债券转让等交易）的证明材料（如有）。</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《跨境担保外汇管理规定》（汇发〔2014〕29号</w:t>
      </w:r>
      <w:r>
        <w:rPr>
          <w:rFonts w:hint="eastAsia" w:ascii="方正仿宋_GBK" w:hAnsi="方正仿宋_GBK" w:eastAsia="方正仿宋_GBK" w:cs="方正仿宋_GBK"/>
          <w:sz w:val="28"/>
          <w:szCs w:val="28"/>
          <w:lang w:eastAsia="zh-CN"/>
        </w:rPr>
        <w:t>印发</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b w:val="0"/>
          <w:bCs w:val="0"/>
          <w:strike w:val="0"/>
          <w:dstrike w:val="0"/>
          <w:color w:val="auto"/>
          <w:sz w:val="28"/>
          <w:szCs w:val="28"/>
          <w:lang w:val="en-US" w:eastAsia="zh-CN"/>
        </w:rPr>
        <w:t>《资本项目外汇业务指引（2024版）》（汇发〔2024〕12号文印发）</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《国家外汇管理局行政许可实施办法》（国家外汇管理局公告2021年第1号）</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办理行政许可的程序环节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决定作出许可决定书/不予许可决定书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《国家外汇管理局行政许可实施办法》</w:t>
      </w:r>
      <w:r>
        <w:rPr>
          <w:rFonts w:hint="default" w:ascii="方正仿宋_GBK" w:hAnsi="方正仿宋_GBK" w:eastAsia="方正仿宋_GBK" w:cs="方正仿宋_GBK"/>
          <w:b w:val="0"/>
          <w:bCs w:val="0"/>
          <w:strike w:val="0"/>
          <w:dstrike w:val="0"/>
          <w:color w:val="auto"/>
          <w:sz w:val="28"/>
          <w:szCs w:val="28"/>
          <w:lang w:val="en-US" w:eastAsia="zh-CN"/>
        </w:rPr>
        <w:t>（国家外汇管理局公告2021年第1号）</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（九）</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（十）</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（十一）</w:t>
      </w:r>
      <w:r>
        <w:rPr>
          <w:rFonts w:hint="eastAsia" w:ascii="Times New Roman" w:hAnsi="Times New Roman" w:eastAsia="仿宋GB2312"/>
          <w:b/>
          <w:bCs/>
          <w:sz w:val="28"/>
          <w:szCs w:val="28"/>
        </w:rPr>
        <w:t>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规定法定审批时限依据：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承诺审批时限：</w:t>
      </w:r>
      <w:r>
        <w:rPr>
          <w:rFonts w:ascii="方正仿宋_GBK" w:hAnsi="方正仿宋_GBK" w:eastAsia="方正仿宋_GBK" w:cs="方正仿宋_GBK"/>
          <w:sz w:val="28"/>
          <w:szCs w:val="28"/>
        </w:rPr>
        <w:t>20个工作日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审批结果类型：</w:t>
      </w:r>
      <w:r>
        <w:rPr>
          <w:rFonts w:ascii="方正仿宋_GBK" w:hAnsi="方正仿宋_GBK" w:eastAsia="方正仿宋_GBK" w:cs="方正仿宋_GBK"/>
          <w:sz w:val="28"/>
          <w:szCs w:val="28"/>
        </w:rPr>
        <w:t>批文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审批结果名称：</w:t>
      </w:r>
      <w:r>
        <w:rPr>
          <w:rFonts w:hint="eastAsia" w:ascii="方正仿宋_GBK" w:hAnsi="方正仿宋_GBK" w:eastAsia="方正仿宋_GBK" w:cs="方正仿宋_GBK"/>
          <w:sz w:val="28"/>
          <w:szCs w:val="28"/>
        </w:rPr>
        <w:t>《业务登记凭证》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规定审批结果有效期限的依据：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办理审批结果变更手续的要求：</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办理审批结果延续手续的要求：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（九）</w:t>
      </w:r>
      <w:r>
        <w:rPr>
          <w:rFonts w:hint="eastAsia" w:ascii="Times New Roman" w:hAnsi="Times New Roman" w:eastAsia="仿宋GB2312"/>
          <w:b/>
          <w:bCs/>
          <w:sz w:val="28"/>
          <w:szCs w:val="28"/>
        </w:rPr>
        <w:t>审批结果的有效地域范围：</w:t>
      </w:r>
      <w:r>
        <w:rPr>
          <w:rFonts w:hint="eastAsia" w:ascii="方正仿宋_GBK" w:hAnsi="方正仿宋_GBK" w:eastAsia="方正仿宋_GBK" w:cs="方正仿宋_GBK"/>
          <w:sz w:val="28"/>
          <w:szCs w:val="28"/>
        </w:rPr>
        <w:t>全国</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（十）</w:t>
      </w:r>
      <w:r>
        <w:rPr>
          <w:rFonts w:hint="eastAsia" w:ascii="Times New Roman" w:hAnsi="Times New Roman" w:eastAsia="仿宋GB2312"/>
          <w:b/>
          <w:bCs/>
          <w:sz w:val="28"/>
          <w:szCs w:val="28"/>
        </w:rPr>
        <w:t>规定审批结果有效地域范围的依据：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b/>
          <w:bCs/>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规定在数量限制条件下实施行政许可方式的依据：</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hint="eastAsia" w:ascii="Times New Roman" w:hAnsi="Times New Roman" w:eastAsia="仿宋GB2312"/>
          <w:b/>
          <w:bCs/>
          <w:sz w:val="28"/>
          <w:szCs w:val="28"/>
        </w:rPr>
        <w:t>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（二）</w:t>
      </w:r>
      <w:r>
        <w:rPr>
          <w:rFonts w:hint="eastAsia" w:ascii="Times New Roman" w:hAnsi="Times New Roman" w:eastAsia="仿宋GB2312"/>
          <w:b/>
          <w:bCs/>
          <w:sz w:val="28"/>
          <w:szCs w:val="28"/>
        </w:rPr>
        <w:t>设定年检要求的依据：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（三）</w:t>
      </w:r>
      <w:r>
        <w:rPr>
          <w:rFonts w:hint="eastAsia" w:ascii="Times New Roman" w:hAnsi="Times New Roman" w:eastAsia="仿宋GB2312"/>
          <w:b/>
          <w:bCs/>
          <w:sz w:val="28"/>
          <w:szCs w:val="28"/>
        </w:rPr>
        <w:t>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hint="eastAsia" w:ascii="Times New Roman" w:hAnsi="Times New Roman" w:eastAsia="仿宋GB2312"/>
          <w:b/>
          <w:bCs/>
          <w:sz w:val="28"/>
          <w:szCs w:val="28"/>
        </w:rPr>
        <w:t>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（五）</w:t>
      </w:r>
      <w:r>
        <w:rPr>
          <w:rFonts w:hint="eastAsia" w:ascii="Times New Roman" w:hAnsi="Times New Roman" w:eastAsia="仿宋GB2312"/>
          <w:b/>
          <w:bCs/>
          <w:sz w:val="28"/>
          <w:szCs w:val="28"/>
        </w:rPr>
        <w:t>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（六）</w:t>
      </w:r>
      <w:r>
        <w:rPr>
          <w:rFonts w:hint="eastAsia" w:ascii="Times New Roman" w:hAnsi="Times New Roman" w:eastAsia="仿宋GB2312"/>
          <w:b/>
          <w:bCs/>
          <w:sz w:val="28"/>
          <w:szCs w:val="28"/>
        </w:rPr>
        <w:t>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lang w:eastAsia="zh-CN"/>
        </w:rPr>
        <w:t>（七）</w:t>
      </w:r>
      <w:r>
        <w:rPr>
          <w:rFonts w:hint="eastAsia" w:ascii="Times New Roman" w:hAnsi="Times New Roman" w:eastAsia="仿宋GB2312"/>
          <w:b/>
          <w:bCs/>
          <w:sz w:val="28"/>
          <w:szCs w:val="28"/>
        </w:rPr>
        <w:t>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lang w:eastAsia="zh-CN"/>
        </w:rPr>
        <w:t>（八）</w:t>
      </w:r>
      <w:r>
        <w:rPr>
          <w:rFonts w:hint="eastAsia" w:ascii="Times New Roman" w:hAnsi="Times New Roman" w:eastAsia="仿宋GB2312"/>
          <w:b/>
          <w:bCs/>
          <w:sz w:val="28"/>
          <w:szCs w:val="28"/>
        </w:rPr>
        <w:t>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（一）</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（二）</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lang w:eastAsia="zh-CN"/>
        </w:rPr>
        <w:t>（三）</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eastAsia="zh-CN"/>
        </w:rPr>
        <w:t>（四）</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lang w:val="en-US" w:eastAsia="zh-CN"/>
        </w:rPr>
        <w:t xml:space="preserve">    </w:t>
      </w: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w:t>
      </w:r>
      <w:r>
        <w:rPr>
          <w:rFonts w:hint="eastAsia" w:ascii="方正仿宋_GBK" w:hAnsi="方正仿宋_GBK" w:eastAsia="方正仿宋_GBK" w:cs="方正仿宋_GBK"/>
          <w:sz w:val="28"/>
          <w:szCs w:val="28"/>
          <w:lang w:eastAsia="zh-CN"/>
        </w:rPr>
        <w:t>管理</w:t>
      </w:r>
      <w:r>
        <w:rPr>
          <w:rFonts w:hint="eastAsia" w:ascii="方正仿宋_GBK" w:hAnsi="方正仿宋_GBK" w:eastAsia="方正仿宋_GBK" w:cs="方正仿宋_GBK"/>
          <w:sz w:val="28"/>
          <w:szCs w:val="28"/>
        </w:rPr>
        <w:t>局及其分局</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十五、办理地址</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国家外汇管理局宁波市分局：浙江省宁波市江东北路138号金融大厦23楼2314室（资本项目处）</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：浙江省宁波市北仑区明州西路185号二楼服务大厅（外汇管理科）</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十六、办公时间</w:t>
      </w:r>
    </w:p>
    <w:p>
      <w:pPr>
        <w:ind w:firstLine="560" w:firstLineChars="200"/>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法定工作日：5月-9月：上午8:30-11:30；下午14:00-17:30</w:t>
      </w:r>
    </w:p>
    <w:p>
      <w:pPr>
        <w:keepNext w:val="0"/>
        <w:keepLines w:val="0"/>
        <w:pageBreakBefore w:val="0"/>
        <w:widowControl w:val="0"/>
        <w:kinsoku/>
        <w:wordWrap/>
        <w:overflowPunct/>
        <w:topLinePunct w:val="0"/>
        <w:autoSpaceDE/>
        <w:autoSpaceDN/>
        <w:bidi w:val="0"/>
        <w:adjustRightInd/>
        <w:snapToGrid/>
        <w:ind w:firstLine="1400" w:firstLineChars="50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10月-次年</w:t>
      </w:r>
      <w:r>
        <w:rPr>
          <w:rFonts w:hint="eastAsia" w:ascii="方正仿宋_GBK" w:hAnsi="方正仿宋_GBK"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rPr>
        <w:t>月：上午8:30-11:30；</w:t>
      </w:r>
      <w:r>
        <w:rPr>
          <w:rFonts w:hint="eastAsia" w:ascii="方正仿宋_GBK" w:hAnsi="方正仿宋_GBK" w:eastAsia="方正仿宋_GBK" w:cs="方正仿宋_GBK"/>
          <w:sz w:val="28"/>
          <w:szCs w:val="28"/>
          <w:highlight w:val="none"/>
          <w:lang w:eastAsia="zh-CN"/>
        </w:rPr>
        <w:t>下午</w:t>
      </w:r>
      <w:r>
        <w:rPr>
          <w:rFonts w:hint="eastAsia" w:ascii="方正仿宋_GBK" w:hAnsi="方正仿宋_GBK" w:eastAsia="方正仿宋_GBK" w:cs="方正仿宋_GBK"/>
          <w:sz w:val="28"/>
          <w:szCs w:val="28"/>
          <w:highlight w:val="none"/>
        </w:rPr>
        <w:t>13:30-17:00</w:t>
      </w:r>
    </w:p>
    <w:p>
      <w:pPr>
        <w:rPr>
          <w:rFonts w:hint="eastAsia" w:eastAsia="黑体"/>
          <w:sz w:val="28"/>
          <w:szCs w:val="28"/>
        </w:rPr>
      </w:pPr>
      <w:bookmarkStart w:id="0" w:name="_GoBack"/>
      <w:bookmarkEnd w:id="0"/>
      <w:r>
        <w:rPr>
          <w:rFonts w:hint="eastAsia" w:eastAsia="黑体"/>
          <w:sz w:val="28"/>
          <w:szCs w:val="28"/>
          <w:lang w:val="en-US" w:eastAsia="zh-CN"/>
        </w:rPr>
        <w:t xml:space="preserve">    </w:t>
      </w:r>
      <w:r>
        <w:rPr>
          <w:rFonts w:hint="eastAsia" w:eastAsia="黑体"/>
          <w:sz w:val="28"/>
          <w:szCs w:val="28"/>
        </w:rPr>
        <w:t>十七、咨询途径</w:t>
      </w:r>
    </w:p>
    <w:p>
      <w:pPr>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国家外汇管理局</w:t>
      </w:r>
      <w:r>
        <w:rPr>
          <w:rFonts w:hint="eastAsia" w:ascii="方正仿宋_GBK" w:hAnsi="方正仿宋_GBK" w:eastAsia="方正仿宋_GBK" w:cs="方正仿宋_GBK"/>
          <w:sz w:val="28"/>
          <w:szCs w:val="28"/>
        </w:rPr>
        <w:t>宁波市分局资本项目处，咨询</w:t>
      </w:r>
      <w:r>
        <w:rPr>
          <w:rFonts w:ascii="方正仿宋_GBK" w:hAnsi="方正仿宋_GBK" w:eastAsia="方正仿宋_GBK" w:cs="方正仿宋_GBK"/>
          <w:sz w:val="28"/>
          <w:szCs w:val="28"/>
        </w:rPr>
        <w:t>电话</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（0</w:t>
      </w:r>
      <w:r>
        <w:rPr>
          <w:rFonts w:hint="eastAsia" w:ascii="方正仿宋_GBK" w:hAnsi="方正仿宋_GBK" w:eastAsia="方正仿宋_GBK" w:cs="方正仿宋_GBK"/>
          <w:sz w:val="28"/>
          <w:szCs w:val="28"/>
        </w:rPr>
        <w:t>574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87058318、87058368</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国家外汇管理局宁波市分局北仑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外汇管理科，咨询电话：（0574）86221936、86221822</w:t>
      </w:r>
    </w:p>
    <w:p>
      <w:pPr>
        <w:rPr>
          <w:rFonts w:hint="eastAsia" w:eastAsia="黑体"/>
          <w:sz w:val="28"/>
          <w:szCs w:val="28"/>
        </w:rPr>
      </w:pPr>
      <w:r>
        <w:rPr>
          <w:rFonts w:hint="eastAsia" w:eastAsia="黑体"/>
          <w:sz w:val="28"/>
          <w:szCs w:val="28"/>
          <w:lang w:val="en-US" w:eastAsia="zh-CN"/>
        </w:rPr>
        <w:t xml:space="preserve">    </w:t>
      </w:r>
      <w:r>
        <w:rPr>
          <w:rFonts w:hint="eastAsia" w:eastAsia="黑体"/>
          <w:sz w:val="28"/>
          <w:szCs w:val="28"/>
        </w:rPr>
        <w:t>十八、监督投诉渠道</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中国人民银行宁波市分行：（0574）87</w:t>
      </w:r>
      <w:r>
        <w:rPr>
          <w:rFonts w:hint="eastAsia" w:ascii="方正仿宋_GBK" w:hAnsi="方正仿宋_GBK" w:eastAsia="方正仿宋_GBK" w:cs="方正仿宋_GBK"/>
          <w:sz w:val="28"/>
          <w:szCs w:val="28"/>
          <w:lang w:val="en-US" w:eastAsia="zh-CN"/>
        </w:rPr>
        <w:t>337569</w:t>
      </w:r>
    </w:p>
    <w:p>
      <w:pPr>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中国人民银行</w:t>
      </w:r>
      <w:r>
        <w:rPr>
          <w:rFonts w:hint="eastAsia" w:ascii="方正仿宋_GBK" w:hAnsi="方正仿宋_GBK" w:eastAsia="方正仿宋_GBK" w:cs="方正仿宋_GBK"/>
          <w:sz w:val="28"/>
          <w:szCs w:val="28"/>
          <w:lang w:eastAsia="zh-CN"/>
        </w:rPr>
        <w:t>宁波市分行</w:t>
      </w:r>
      <w:r>
        <w:rPr>
          <w:rFonts w:hint="eastAsia" w:ascii="方正仿宋_GBK" w:hAnsi="方正仿宋_GBK" w:eastAsia="方正仿宋_GBK" w:cs="方正仿宋_GBK"/>
          <w:sz w:val="28"/>
          <w:szCs w:val="28"/>
        </w:rPr>
        <w:t>北仑</w:t>
      </w:r>
      <w:r>
        <w:rPr>
          <w:rFonts w:hint="eastAsia" w:ascii="方正仿宋_GBK" w:hAnsi="方正仿宋_GBK" w:eastAsia="方正仿宋_GBK" w:cs="方正仿宋_GBK"/>
          <w:sz w:val="28"/>
          <w:szCs w:val="28"/>
          <w:lang w:eastAsia="zh-CN"/>
        </w:rPr>
        <w:t>营业管理部</w:t>
      </w:r>
      <w:r>
        <w:rPr>
          <w:rFonts w:hint="eastAsia" w:ascii="方正仿宋_GBK" w:hAnsi="方正仿宋_GBK" w:eastAsia="方正仿宋_GBK" w:cs="方正仿宋_GBK"/>
          <w:sz w:val="28"/>
          <w:szCs w:val="28"/>
        </w:rPr>
        <w:t>：（0574）86221807</w:t>
      </w:r>
    </w:p>
    <w:p>
      <w:pPr>
        <w:spacing w:line="540" w:lineRule="exact"/>
        <w:outlineLvl w:val="1"/>
      </w:pPr>
    </w:p>
    <w:p>
      <w:pPr>
        <w:widowControl/>
        <w:jc w:val="left"/>
      </w:pPr>
      <w:r>
        <w:br w:type="page"/>
      </w:r>
    </w:p>
    <w:p>
      <w:pPr>
        <w:ind w:left="567" w:right="300" w:hanging="567" w:hangingChars="189"/>
        <w:jc w:val="center"/>
        <w:rPr>
          <w:rFonts w:hint="eastAsia" w:ascii="Times New Roman" w:hAnsi="Times New Roman" w:eastAsia="黑体"/>
          <w:sz w:val="30"/>
          <w:szCs w:val="30"/>
        </w:rPr>
      </w:pPr>
      <w:r>
        <w:rPr>
          <w:rFonts w:ascii="Times New Roman" w:hAnsi="Times New Roman" w:eastAsia="黑体"/>
          <w:sz w:val="30"/>
          <w:szCs w:val="30"/>
        </w:rPr>
        <w:t>基本流程图</w:t>
      </w:r>
    </w:p>
    <w:p>
      <w:pPr>
        <w:ind w:left="567" w:right="300" w:hanging="567" w:hangingChars="189"/>
        <w:jc w:val="center"/>
        <w:rPr>
          <w:rFonts w:hint="eastAsia" w:ascii="Times New Roman" w:hAnsi="Times New Roman" w:eastAsia="黑体"/>
          <w:sz w:val="30"/>
          <w:szCs w:val="30"/>
        </w:rPr>
      </w:pPr>
    </w:p>
    <w:p>
      <w:pPr>
        <w:ind w:left="567" w:right="300" w:hanging="567" w:hangingChars="189"/>
        <w:jc w:val="center"/>
        <w:rPr>
          <w:rFonts w:ascii="Times New Roman" w:hAnsi="Times New Roman" w:eastAsia="黑体"/>
          <w:sz w:val="30"/>
          <w:szCs w:val="30"/>
        </w:rPr>
      </w:pPr>
      <w:r>
        <w:rPr>
          <w:rFonts w:ascii="Times New Roman" w:hAnsi="Times New Roman" w:eastAsia="黑体" w:cs="Times New Roman"/>
          <w:kern w:val="2"/>
          <w:sz w:val="30"/>
          <w:szCs w:val="30"/>
          <w:lang w:val="en-US" w:eastAsia="zh-CN" w:bidi="ar-SA"/>
        </w:rPr>
        <w:pict>
          <v:shape id="_x0000_i1025" o:spt="75" type="#_x0000_t75" style="height:508.4pt;width:415.3pt;" fillcolor="#FFFFFF" filled="f" o:preferrelative="t" stroked="f" coordsize="21600,21600">
            <v:path/>
            <v:fill on="f" color2="#FFFFFF" focussize="0,0"/>
            <v:stroke on="f"/>
            <v:imagedata r:id="rId4" gain="65536f" blacklevel="0f" gamma="0" o:title=""/>
            <o:lock v:ext="edit" position="f" selection="f" grouping="f" rotation="f" cropping="f" text="f" aspectratio="t"/>
            <w10:wrap type="none"/>
            <w10:anchorlock/>
          </v:shape>
        </w:pic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GB2312">
    <w:altName w:val="仿宋"/>
    <w:panose1 w:val="00000000000000000000"/>
    <w:charset w:val="86"/>
    <w:family w:val="auto"/>
    <w:pitch w:val="default"/>
    <w:sig w:usb0="00000000" w:usb1="00000000" w:usb2="00000000"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A57BFA"/>
    <w:rsid w:val="000F56EA"/>
    <w:rsid w:val="00121533"/>
    <w:rsid w:val="003D7369"/>
    <w:rsid w:val="005107ED"/>
    <w:rsid w:val="006A5FA3"/>
    <w:rsid w:val="006D2011"/>
    <w:rsid w:val="007C39FE"/>
    <w:rsid w:val="008C161A"/>
    <w:rsid w:val="008E129E"/>
    <w:rsid w:val="008F148A"/>
    <w:rsid w:val="00A57BFA"/>
    <w:rsid w:val="00A616B6"/>
    <w:rsid w:val="00A973C0"/>
    <w:rsid w:val="00AA2BDB"/>
    <w:rsid w:val="00B476A4"/>
    <w:rsid w:val="00B814BB"/>
    <w:rsid w:val="00C76EE0"/>
    <w:rsid w:val="00FE7AF7"/>
    <w:rsid w:val="1AC12F1E"/>
    <w:rsid w:val="1BCB7E86"/>
    <w:rsid w:val="3B2622F4"/>
    <w:rsid w:val="615A4CD9"/>
    <w:rsid w:val="76C234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rFonts w:ascii="Calibri" w:hAnsi="Calibri" w:eastAsia="宋体" w:cs="黑体"/>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585</Words>
  <Characters>3337</Characters>
  <Lines>27</Lines>
  <Paragraphs>7</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2023-09-28T09:41:00Z</dcterms:created>
  <dc:creator>kylin</dc:creator>
  <cp:lastModifiedBy>竹银莉</cp:lastModifiedBy>
  <dcterms:modified xsi:type="dcterms:W3CDTF">2025-09-30T06:50:26Z</dcterms:modified>
  <dc:title>省级分局和计划单列市分局办理的内保外贷担保履约形成对外债权登记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