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FA" w:rsidRDefault="00A57BFA" w:rsidP="00A57BF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省级分局和计划单列市分局办理的内保外贷担保履约形成对外债权登记</w:t>
      </w:r>
    </w:p>
    <w:p w:rsidR="00A57BFA" w:rsidRDefault="00A57BFA" w:rsidP="00A57BF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【000171109002】</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57BFA" w:rsidRDefault="00A57BFA"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省级分局和计划单列市分局办理的内保外贷担保履约形成对外债权登记【000171109002】</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57BFA">
        <w:rPr>
          <w:rFonts w:ascii="方正仿宋_GBK" w:eastAsia="方正仿宋_GBK" w:hAnsi="方正仿宋_GBK" w:cs="方正仿宋_GBK" w:hint="eastAsia"/>
          <w:sz w:val="28"/>
          <w:szCs w:val="28"/>
        </w:rPr>
        <w:t>省级分局和计划单列市分局办理的内保外贷担保履约形成对外债权登记(00017110900201)</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A57BFA">
        <w:rPr>
          <w:rFonts w:ascii="方正仿宋_GBK" w:eastAsia="方正仿宋_GBK" w:hAnsi="方正仿宋_GBK" w:cs="方正仿宋_GBK" w:hint="eastAsia"/>
          <w:sz w:val="28"/>
          <w:szCs w:val="28"/>
        </w:rPr>
        <w:t>省级分局和计划单列市分局办理的内保外贷担保履约形成对外债权变更登记</w:t>
      </w:r>
      <w:r>
        <w:rPr>
          <w:rFonts w:ascii="方正仿宋_GBK" w:eastAsia="方正仿宋_GBK" w:hAnsi="方正仿宋_GBK" w:cs="方正仿宋_GBK" w:hint="eastAsia"/>
          <w:sz w:val="28"/>
          <w:szCs w:val="28"/>
        </w:rPr>
        <w:t>(00017110900202)</w:t>
      </w:r>
    </w:p>
    <w:p w:rsidR="00A57BFA" w:rsidRDefault="007C39FE" w:rsidP="00A57BF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A57BFA">
        <w:rPr>
          <w:rFonts w:ascii="方正仿宋_GBK" w:eastAsia="方正仿宋_GBK" w:hAnsi="方正仿宋_GBK" w:cs="方正仿宋_GBK" w:hint="eastAsia"/>
          <w:sz w:val="28"/>
          <w:szCs w:val="28"/>
        </w:rPr>
        <w:t>省级分局和计划单列市分局办理的内保外贷担保履约形成对外债权注销登记</w:t>
      </w:r>
      <w:r>
        <w:rPr>
          <w:rFonts w:ascii="方正仿宋_GBK" w:eastAsia="方正仿宋_GBK" w:hAnsi="方正仿宋_GBK" w:cs="方正仿宋_GBK" w:hint="eastAsia"/>
          <w:sz w:val="28"/>
          <w:szCs w:val="28"/>
        </w:rPr>
        <w:t>(00017110900203)</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（1）《跨境担保外汇管理规定》第十五条</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（2）《资本项目外汇业务指引（2020版）》</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57BFA" w:rsidRDefault="00A57BFA" w:rsidP="00A57BF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内保外贷担保履约对外债权登记</w:t>
      </w:r>
    </w:p>
    <w:p w:rsidR="00A57BFA" w:rsidRDefault="00A57BFA" w:rsidP="005107ED">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办理的内保外贷担保履约形成对外债权登记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内保外贷发生担保履约的，境内担保人或境内反担保人成为对外债权人。</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办理的内保外贷担保履约形成对外债权变更登记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对外债权额度、变更或原协议发生变化（如利率调整、期限变更等）的。</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6A5FA3">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办理的内保外贷担保履约形成</w:t>
      </w:r>
      <w:r>
        <w:rPr>
          <w:rFonts w:ascii="方正仿宋_GBK" w:eastAsia="方正仿宋_GBK" w:hAnsi="方正仿宋_GBK" w:cs="方正仿宋_GBK"/>
          <w:sz w:val="28"/>
          <w:szCs w:val="28"/>
        </w:rPr>
        <w:lastRenderedPageBreak/>
        <w:t>对外债权注销登记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对外债权到期（含展期到期）收回本息，或未到期但本息已回收完毕的。</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《跨境担保外汇管理规定》第十五条债权人为非银行机构的，应在担保履约后15个工作日内到所在地外汇局办理对外债权登记，并按规定办理与对外债权相关的变更、注销手续。</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57BFA" w:rsidRPr="006A5FA3" w:rsidRDefault="00A57BFA" w:rsidP="005107ED">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5107ED">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57BFA" w:rsidRDefault="00AA2BDB"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57BFA">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A57BFA">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A57BFA">
        <w:rPr>
          <w:rFonts w:ascii="方正仿宋_GBK" w:eastAsia="方正仿宋_GBK" w:hAnsi="方正仿宋_GBK" w:cs="方正仿宋_GBK"/>
          <w:sz w:val="28"/>
          <w:szCs w:val="28"/>
        </w:rPr>
        <w:t>开展数据统计与监测，掌握外汇业务情况。</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办理的内保外贷担保履约形成对外债权登记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w:t>
      </w:r>
      <w:r>
        <w:rPr>
          <w:rFonts w:ascii="方正仿宋_GBK" w:eastAsia="方正仿宋_GBK" w:hAnsi="方正仿宋_GBK" w:cs="方正仿宋_GBK" w:hint="eastAsia"/>
          <w:sz w:val="28"/>
          <w:szCs w:val="28"/>
        </w:rPr>
        <w:lastRenderedPageBreak/>
        <w:t>份。</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加盖公章的书面申请（包括内保外贷签约登记办理情况、担保履约的原因、履约资金来源、境外债务人还款计划及未来还款资金来源等）原件1份。</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担保履约证明材料原件及加盖公章的复印件各1份（验原件，留存复印件）。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办理的内保外贷担保履约形成对外债权变更登记。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变更后的内保外贷担保履约对外债权协议。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A5FA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办理的内保外贷担保履约形成对外债权注销登记</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到期收回对外债权本息相关证明材料。</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因客观原因无法按期收回担保履约款本息（或有关债务豁免、债转股、债券转让等交易）的证明材料（如有）。</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（1）《跨境担保外汇管理规定》第十五条内保外贷业务发生担保履约的，成为对外债权人的境内担保人或反担保人应当按规定办理对外债权登记手续。</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（2）《资本项目外汇业务指引（2020版）》2.5内保外贷担保履约对外债权登记。审核材料1.书面申请，包括内保外贷签约登记办理情况、担保履约的原因、履约资金来源、境外债务人还款计划及未来</w:t>
      </w:r>
      <w:r>
        <w:rPr>
          <w:rFonts w:ascii="方正仿宋_GBK" w:eastAsia="方正仿宋_GBK" w:hAnsi="方正仿宋_GBK" w:cs="方正仿宋_GBK" w:hint="eastAsia"/>
          <w:sz w:val="28"/>
          <w:szCs w:val="28"/>
        </w:rPr>
        <w:lastRenderedPageBreak/>
        <w:t>还款资金来源等。2.担保履约证明材料。</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资本项目外汇业务指引（2020年版）》2.8境内机构境外放款登记及变更、注销登记审核材料二、变更登记1.书面申请……。2.变更后的境外放款协议。……三、注销登记1.书面申请……。2.因客观原因无法按期收回境外放款本息（或有关债务豁免、债转股、债权转让等交易）的证明材料。</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Pr="006A5FA3" w:rsidRDefault="00A57BFA" w:rsidP="005107E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57BFA"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w:t>
      </w:r>
      <w:r>
        <w:rPr>
          <w:rFonts w:ascii="方正仿宋_GBK" w:eastAsia="方正仿宋_GBK" w:hAnsi="方正仿宋_GBK" w:cs="方正仿宋_GBK"/>
          <w:sz w:val="28"/>
          <w:szCs w:val="28"/>
        </w:rPr>
        <w:lastRenderedPageBreak/>
        <w:t>可申请后，应区分下列情况分别作出处理：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57BFA" w:rsidRDefault="006A5FA3" w:rsidP="006A5FA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A57BFA">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（2）申请不符合法定条件、拟不予行政许可的，应出具不予行政许可决定书，并说明不予行政许可的理由，告知申请人享有依法申请行政复议的权利。</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57BFA" w:rsidRDefault="00A57BFA" w:rsidP="005107E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r w:rsidR="006A5FA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57BFA" w:rsidRPr="006A5FA3" w:rsidRDefault="00A57BFA" w:rsidP="005107ED">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57BFA" w:rsidRPr="006A5FA3" w:rsidRDefault="00A57BFA" w:rsidP="005107E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十三、行政许可后年报</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Pr="006A5FA3" w:rsidRDefault="00A57BFA" w:rsidP="005107E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A5FA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5107E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57BFA" w:rsidRDefault="00A57BFA" w:rsidP="00A57BF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57BFA" w:rsidRDefault="00A57BFA" w:rsidP="00A57BF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107ED" w:rsidRDefault="005107ED" w:rsidP="005107ED">
      <w:pPr>
        <w:rPr>
          <w:rFonts w:eastAsia="黑体" w:hint="eastAsia"/>
          <w:sz w:val="28"/>
          <w:szCs w:val="28"/>
        </w:rPr>
      </w:pPr>
      <w:r>
        <w:rPr>
          <w:rFonts w:eastAsia="黑体" w:hint="eastAsia"/>
          <w:sz w:val="28"/>
          <w:szCs w:val="28"/>
        </w:rPr>
        <w:t>十五、办理地址</w:t>
      </w:r>
    </w:p>
    <w:p w:rsidR="005107ED" w:rsidRDefault="005107ED" w:rsidP="005107ED">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5107ED" w:rsidRDefault="005107ED" w:rsidP="005107ED">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国家外汇管理局北仑支局：浙江省宁波市北仑区明州西路185号二楼服务大厅（外汇管理科）</w:t>
      </w:r>
    </w:p>
    <w:p w:rsidR="005107ED" w:rsidRDefault="005107ED" w:rsidP="005107ED">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5107ED" w:rsidRPr="00993B95" w:rsidRDefault="005107ED" w:rsidP="005107ED">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5107ED" w:rsidRPr="00993B95" w:rsidRDefault="005107ED" w:rsidP="005107ED">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5107ED" w:rsidRDefault="005107ED" w:rsidP="005107ED">
      <w:pPr>
        <w:rPr>
          <w:rFonts w:eastAsia="黑体" w:hint="eastAsia"/>
          <w:sz w:val="28"/>
          <w:szCs w:val="28"/>
        </w:rPr>
      </w:pPr>
      <w:r>
        <w:rPr>
          <w:rFonts w:eastAsia="黑体" w:hint="eastAsia"/>
          <w:sz w:val="28"/>
          <w:szCs w:val="28"/>
        </w:rPr>
        <w:t>十七、咨询途径</w:t>
      </w:r>
    </w:p>
    <w:p w:rsidR="005107ED" w:rsidRPr="005F4E45" w:rsidRDefault="005107ED" w:rsidP="005107ED">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w:t>
      </w:r>
      <w:r>
        <w:rPr>
          <w:rFonts w:ascii="方正仿宋_GBK" w:eastAsia="方正仿宋_GBK" w:hAnsi="方正仿宋_GBK" w:cs="方正仿宋_GBK" w:hint="eastAsia"/>
          <w:sz w:val="28"/>
          <w:szCs w:val="28"/>
        </w:rPr>
        <w:t>31</w:t>
      </w:r>
      <w:r w:rsidRPr="005F4E45">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87058368</w:t>
      </w:r>
    </w:p>
    <w:p w:rsidR="005107ED" w:rsidRPr="005F4E45" w:rsidRDefault="005107ED" w:rsidP="005107ED">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5107ED" w:rsidRDefault="005107ED" w:rsidP="005107ED">
      <w:pPr>
        <w:rPr>
          <w:rFonts w:eastAsia="黑体" w:hint="eastAsia"/>
          <w:sz w:val="28"/>
          <w:szCs w:val="28"/>
        </w:rPr>
      </w:pPr>
      <w:r>
        <w:rPr>
          <w:rFonts w:eastAsia="黑体" w:hint="eastAsia"/>
          <w:sz w:val="28"/>
          <w:szCs w:val="28"/>
        </w:rPr>
        <w:t>十八、监督投诉渠道</w:t>
      </w:r>
    </w:p>
    <w:p w:rsidR="005107ED" w:rsidRPr="00F306A6" w:rsidRDefault="005107ED" w:rsidP="005107ED">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5107ED" w:rsidRPr="00F306A6" w:rsidRDefault="005107ED" w:rsidP="005107ED">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lastRenderedPageBreak/>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5107ED" w:rsidRDefault="005107ED" w:rsidP="005107ED">
      <w:pPr>
        <w:spacing w:line="540" w:lineRule="exact"/>
        <w:outlineLvl w:val="1"/>
      </w:pPr>
    </w:p>
    <w:p w:rsidR="005107ED" w:rsidRDefault="005107ED">
      <w:pPr>
        <w:widowControl/>
        <w:jc w:val="left"/>
      </w:pPr>
      <w:r>
        <w:br w:type="page"/>
      </w:r>
    </w:p>
    <w:p w:rsidR="00B814BB" w:rsidRDefault="005107ED" w:rsidP="005107ED">
      <w:pPr>
        <w:ind w:left="567" w:right="300" w:hangingChars="189" w:hanging="567"/>
        <w:jc w:val="center"/>
        <w:rPr>
          <w:rFonts w:ascii="Times New Roman" w:eastAsia="黑体" w:hAnsi="Times New Roman" w:hint="eastAsia"/>
          <w:sz w:val="30"/>
          <w:szCs w:val="30"/>
        </w:rPr>
      </w:pPr>
      <w:r>
        <w:rPr>
          <w:rFonts w:ascii="Times New Roman" w:eastAsia="黑体" w:hAnsi="Times New Roman"/>
          <w:sz w:val="30"/>
          <w:szCs w:val="30"/>
        </w:rPr>
        <w:lastRenderedPageBreak/>
        <w:t>基本流程图</w:t>
      </w:r>
    </w:p>
    <w:p w:rsidR="005107ED" w:rsidRDefault="005107ED" w:rsidP="005107ED">
      <w:pPr>
        <w:ind w:left="567" w:right="300" w:hangingChars="189" w:hanging="567"/>
        <w:jc w:val="center"/>
        <w:rPr>
          <w:rFonts w:ascii="Times New Roman" w:eastAsia="黑体" w:hAnsi="Times New Roman" w:hint="eastAsia"/>
          <w:sz w:val="30"/>
          <w:szCs w:val="30"/>
        </w:rPr>
      </w:pPr>
    </w:p>
    <w:p w:rsidR="005107ED" w:rsidRPr="005107ED" w:rsidRDefault="005107ED" w:rsidP="005107ED">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456680"/>
            <wp:effectExtent l="19050" t="0" r="2540" b="0"/>
            <wp:docPr id="2" name="图片 1" descr="办理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办理流程.jpg"/>
                    <pic:cNvPicPr/>
                  </pic:nvPicPr>
                  <pic:blipFill>
                    <a:blip r:embed="rId6"/>
                    <a:stretch>
                      <a:fillRect/>
                    </a:stretch>
                  </pic:blipFill>
                  <pic:spPr>
                    <a:xfrm>
                      <a:off x="0" y="0"/>
                      <a:ext cx="5274310" cy="6456680"/>
                    </a:xfrm>
                    <a:prstGeom prst="rect">
                      <a:avLst/>
                    </a:prstGeom>
                  </pic:spPr>
                </pic:pic>
              </a:graphicData>
            </a:graphic>
          </wp:inline>
        </w:drawing>
      </w:r>
    </w:p>
    <w:sectPr w:rsidR="005107ED" w:rsidRPr="005107ED" w:rsidSect="00B47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1A" w:rsidRDefault="008C161A" w:rsidP="00A57BFA">
      <w:r>
        <w:separator/>
      </w:r>
    </w:p>
  </w:endnote>
  <w:endnote w:type="continuationSeparator" w:id="1">
    <w:p w:rsidR="008C161A" w:rsidRDefault="008C161A" w:rsidP="00A57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1A" w:rsidRDefault="008C161A" w:rsidP="00A57BFA">
      <w:r>
        <w:separator/>
      </w:r>
    </w:p>
  </w:footnote>
  <w:footnote w:type="continuationSeparator" w:id="1">
    <w:p w:rsidR="008C161A" w:rsidRDefault="008C161A" w:rsidP="00A57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BFA"/>
    <w:rsid w:val="000F56EA"/>
    <w:rsid w:val="00121533"/>
    <w:rsid w:val="003D7369"/>
    <w:rsid w:val="005107ED"/>
    <w:rsid w:val="006A5FA3"/>
    <w:rsid w:val="006D2011"/>
    <w:rsid w:val="007C39FE"/>
    <w:rsid w:val="008C161A"/>
    <w:rsid w:val="008E129E"/>
    <w:rsid w:val="008F148A"/>
    <w:rsid w:val="00A57BFA"/>
    <w:rsid w:val="00A616B6"/>
    <w:rsid w:val="00A973C0"/>
    <w:rsid w:val="00AA2BDB"/>
    <w:rsid w:val="00B476A4"/>
    <w:rsid w:val="00B814BB"/>
    <w:rsid w:val="00C76EE0"/>
    <w:rsid w:val="00FE7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B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7BFA"/>
    <w:rPr>
      <w:sz w:val="18"/>
      <w:szCs w:val="18"/>
    </w:rPr>
  </w:style>
  <w:style w:type="paragraph" w:styleId="a4">
    <w:name w:val="footer"/>
    <w:basedOn w:val="a"/>
    <w:link w:val="Char0"/>
    <w:uiPriority w:val="99"/>
    <w:semiHidden/>
    <w:unhideWhenUsed/>
    <w:rsid w:val="00A57B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7BFA"/>
    <w:rPr>
      <w:sz w:val="18"/>
      <w:szCs w:val="18"/>
    </w:rPr>
  </w:style>
  <w:style w:type="paragraph" w:styleId="a5">
    <w:name w:val="Balloon Text"/>
    <w:basedOn w:val="a"/>
    <w:link w:val="Char1"/>
    <w:uiPriority w:val="99"/>
    <w:semiHidden/>
    <w:unhideWhenUsed/>
    <w:rsid w:val="005107ED"/>
    <w:rPr>
      <w:sz w:val="18"/>
      <w:szCs w:val="18"/>
    </w:rPr>
  </w:style>
  <w:style w:type="character" w:customStyle="1" w:styleId="Char1">
    <w:name w:val="批注框文本 Char"/>
    <w:basedOn w:val="a0"/>
    <w:link w:val="a5"/>
    <w:uiPriority w:val="99"/>
    <w:semiHidden/>
    <w:rsid w:val="005107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9</cp:revision>
  <dcterms:created xsi:type="dcterms:W3CDTF">2023-09-28T09:41:00Z</dcterms:created>
  <dcterms:modified xsi:type="dcterms:W3CDTF">2024-01-12T08:15:00Z</dcterms:modified>
</cp:coreProperties>
</file>