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地（市）分局办理的移民财产转移购付汇核准</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【000171111009】</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资本项目外汇资金购付汇核准【00017111100Y】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地（市）分局办理的移民财产转移购付汇核准【000171111009】</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1.地（市）分局办理的移民财产转移购付汇核准(00017111100901)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（1）《中华人民共和国外汇管理条例》第二十二条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（1）《个人财产对外转移售付汇管理暂行办法》（中国人民银行公告〔2004〕第16号）第四条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（2）《个人财产对外转移售付汇管理暂行办法操作指引（试行）》（汇发〔2004〕118号文印发）</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（3）《国家税务总局 国家外汇管理局关于个人财产对外转移提交税收证明或者完税凭证有关问题的通知》（国税发〔2005〕13号）第二条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（4）《国家外汇管理局 外交部 公安部 监察部 司法部关于实施〈个人财产对外转移售付汇管理暂行办法〉有关问题的通知》（汇发〔2005〕9号）第一条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（6）《国家外汇管理局关于进一步改进和调整资本项目外汇管理政策的通知》（汇发〔2014〕2号）第六条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（7）《资本项目外汇业务指引（2024年版）》（汇发〔2024〕12号文印发）</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国家外汇局地（市）分局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市级/隶属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移民财产转移核准</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申请人取得外国永久居留权、外国公民身份或港澳台地区居民身份。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申请汇出资金为申请人在取得外国永久居留权、外国公民身份或港澳台地区居民身份之前在境内拥有的合法财产变现。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申请汇出资金不属于司法、监察等部门依法限制对外转移的财产变现。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对涉及国家公职人员（根据《中华人民共和国监察法》，国家公职人员包括公务员，以及参照《中华人民共和国公务员法》管理的人员；法律、法规授权或者受国家机关依法委托管理公共事务的组织中从事公务的人员；国有企业管理人员；公办的教育、科研、文化、医疗卫生、体育等单位中从事管理的人员；基层群众性自治组织中从事管理的人员以及其他依法履行公职的人员）及其近亲属，申请金额超过100万元人民币的申请，在审核过程中可向相应级别的监察部门进行询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对大额可疑或涉嫌非法转移财产的申请，在审核过程中要询证相应级别的公安、司法部门。</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个人财产对外转移售付汇管理暂行办法》（中国人民银行公告〔2004〕第16号）第二条、第十二条移民转移是指从中国内地移居外国，或者赴香港特别行政区、澳门特别行政区及台湾地区定居的自然人（以下简称移民），将其在取得移民身份之前在中国境内拥有的合法财产变现，通过外汇指定银行购汇和汇出境外的行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司法、纪检监察等部门依法限制对外转移的财产对外转移申请，外汇局不予受理。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个人财产对外转移售付汇管理暂行办法操作指引（试行）》（汇发〔2004〕118号文印发）五、内控制度及部门合作（二）2.“建立询证制度。对涉及国家公职人员（包括国有企业领导人）及其近亲属，申请金额超过100万元人民币的申请，外汇局在审核过程中可向相应级别的监察部门（省级（含）以上）进行询证；对大额可疑或涉嫌非法转移财产的申请，外汇局在审核过程中要询证相应级别的公安、司法部门。以上部门在收到外汇局询证函后10个工作日内给予书面答复”。</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（3）《资本项目外汇业务指引（2024年版）》（汇发〔2024〕12号文印发）六、资本项下个人外汇业务管理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6.4对外财产转移购付汇核准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6.4.4审核原则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1.司法、监察等部门依法限制对外转移的财产对外转移申请，不予受理。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对涉及国家公职人员（根据《中华人民共和国监察法》，国家公职人员包括公务员，以及参照《中华人民共和国公务员法》管理的人员；法律、法规授权或者受国家机关依法委托管理公共事务的组织中从事公务的人员；国有企业管理人员；公办的教育、科研、文化、医疗卫生、体育等单位中从事管理的人员；基层群众性自治组织中从事管理的人员以及其他依法履行公职的人员）及其近亲属，申请金额超过100万元人民币的申请，在审核过程中可向相应级别的监察部门进行询证。对大额可疑或涉嫌非法转移财产的申请，在审核过程中要询证相应级别的公安、司法部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3.房屋《不动产权证书》已收缴的，可提供房产部门的查档等证明文件。</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（1）书面申请原件1份，并附《个人财产转移业务申请表》。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（2）申请人身份证明文件加盖签章的复印件1份。</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①申请人为取得外国永久居留权的中国籍公民的，应提供：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有效的中华人民共和国护照或居住国颁发的外侨证等有效身份证明。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中国驻外使领馆出具（或认证）的申请人在国外定居证明（根据有关公约规定豁免的除外）。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移居前户籍所在地公安机关出具的境内户籍注销证明。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②申请人为取得外国公民身份的，应提供：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申请人居住国居民身份证或其他有效身份证明（如护照）。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中国驻外使领馆出具（或认证）的申请人在国外定居证明（根据有关公约规定豁免的除外）。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移居前户籍所在地公安机关出具的境内户籍注销证明。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③申请人为香港特别行政区、澳门特别行政区居民的，应提供：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香港特别行政区、澳门特别行政区永久居民身份证或其他有效身份证明。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港澳居民来往内地通行证或者特区护照。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移居前户籍所在地公安机关出具的境内户籍注销证明。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④申请人为台湾地区居民的应提供：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台湾地区居民身份证或其他在台湾地区居住的有效身份证明。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台湾居民往来大陆通行证或其他出入境证件。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移居前户籍所在地公安机关出具的境内户籍注销证明。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（3）申请人收入来源证明以及财产权利证明文件。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①对个人薪酬所得（包括工资和薪金所得、稿酬所得、劳务报酬等）应提交有关收入来源证明。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②对经营收入（包括私营业主、企业个人股东、个体工商户生产经营所得，对企事业单位承包、租赁经营所得）提交个体户经营收入申报表、股权证明或承包、租赁合同或协议以及能证明收入来源的材料，如企业财务报表、企业董事会分配决议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③对资本所得及变现：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利息、股息、红利所得应提交存款证明，股票、债券开户及交易记录。</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财产租赁所得、财产转让所得、特许权使用等应提供：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a.财产租赁、转让、特许权使用的合同或协议以及交易资金划转证明。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b.房屋所有权证、土地使用权证书或不动产权证书。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c.房地产买卖契约或拆迁补偿安置协议以及交易资金划转证明。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④偶然所得（包括合法的福利彩票、体育彩票等）及其他财产或收入需提交真实交易记录证明。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主管税务部门出具的税务证明原件（按规定无需提交的除外），如个人确有需求，可在原件上加注业务办理情况，原件返还个人后，留存加注后的复印件。税务备案采用电子化方式的，可在网上核验相关电子化税务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委托他人办理的应提供委托代理协议和代理人身份证明。委托代理协议内容应包含但不限于委托人同意代理人受托办理移民财产转移及相关购付汇业务、委托人及代理人身份证件号码以及委托代理日期等关键信息，委托代理协议需委托人和代理人双方签字（经公证生效的除外）。</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（1）《个人财产对外转移售付汇管理暂行办法操作指引（试行）》（汇发〔2004〕118号文印发）三、关于申请人身份证明文件......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四、有关申请材料（一）移民转移申请材料（《个人财产对外转移售付汇管理暂行办法》第八条） 申请人应按照以下格式和内容向外汇局提交申请资料：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1.书面申请。包括：申请人基本情况介绍，申请移民转移的原因，财产或收入来源或变现详细说明等；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2.申请人本人签名的《移民财产对外转移申请人情况表》；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3.申请人或代理人签名的《个人财产对外转移外汇业务申请表》；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4.申请人身份证明文件（按本指引第三条提供）；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5.申请人收入来源证明以及财产权利证明文件；本款所指的收入来源证明以及财产权利证明文件包括：</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（1）对个人薪酬所得（包括工资和薪金所得、稿酬所得、劳务报酬等）应提交有关收入来源证明。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对经营收入（包括私营业主、企业个人股东、个体工商户生产经营所得，对企事业单位承包、租赁经营所得）提交个体户经营收入申报表、股权证明或承包、租赁合同或协议以及能证明收入来源的材料，如企业财务报表、企业董事会分配决议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对资本所得及变现（包括利息、股息、红利所得、财产租赁所得、财产转让所得、特许权使用等）应提交存款证明，股票、债券开户及交易记录；财产租赁所得、财产转让所得、特许权使用的合同或协议，房屋产权证、房地产买卖契约或拆迁补偿安置协议书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（4）偶然所得（包括合法的福利彩票、体育彩票等）及其他财产或收入需提交真实交易记录证明。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6.有关税收证明或完税凭证按照税务总局有关规定提交；</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7.委托他人办理的还需提供委托代理协议和代理人身份证明。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（2）《资本项目外汇业务指引（2024年版）》（汇发〔2024〕12号文印发）六、资本项下个人外汇业务管理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6.4对外财产转移购付汇核准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6.4.3审核材料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6.4.3.1移民财产转移</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（1）书面申请，并附《个人财产转移业务申请表》。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（2）申请人身份证明文件。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①申请人为取得外国永久居留权的中国籍公民的，应提供：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有效的中华人民共和国护照或居住国颁发的外侨证等有效身份证明。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中国驻外使领馆出具（或认证）的申请人在国外定居证明（根据有关公约已取消认证程序的，提供外国永久居留权证明及依据有关公约加贴“附加证明书”的国外定居相关证明材料）。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移居前户籍所在地公安机关出具的境内户籍注销证明。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②申请人为取得外国公民身份的，应提供：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申请人居住国居民身份证或其他有效身份证明（如护照）。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中国驻外使领馆出具（或认证）的申请人在国外定居证明（根据有关公约已取消认证程序的，提供依据有关公约加贴“附加证明书”的国外定居相关证明材料）。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移居前户籍所在地公安机关出具的境内户籍注销证明。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③申请人为香港特别行政区、澳门特别行政区居民的，应提供：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香港特别行政区、澳门特别行政区永久居民身份证或其他有效身份证明。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港澳居民来往内地通行证或者特区护照。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移居前户籍所在地公安机关出具的境内户籍注销证明。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④申请人为台湾地区居民的应提供：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台湾地区居民身份证或其他在台湾地区居住的有效身份证明。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台湾居民往来大陆通行证或其他出入境证件。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移居前户籍所在地公安机关出具的境内户籍注销证明。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（3）申请人收入来源证明以及财产权利证明文件。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①对个人薪酬所得（包括工资和薪金所得、稿酬所得、劳务报酬等）应提交有关收入来源证明。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对经营收入（包括私营业主、企业个人股东、个体工商户生产经营所得，对企事业单位承包、租赁经营所得）提交个体户经营收入申报表、股权证明或承包、租赁合同或协议以及能证明收入来源的材料，如企业财务报表、企业董事会分配决议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③对资本所得及变现：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利息、股息、红利所得应提交存款证明，股票、债券开户及交易记录。</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财产租赁所得、财产转让所得、特许权使用等应提供：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a.财产租赁、转让、特许权使用的合同或协议以及交易资金划转证明。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b.房屋所有权证、土地使用权证书或不动产权证书。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c.房地产买卖契约或拆迁补偿安置协议以及交易资金划转证明。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④偶然所得（包括合法的福利彩票、体育彩票等）及其他财产或收入需提交真实交易记录证明。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主管税务部门出具的税务证明原件（按规定无需提交的除外），如个人确有需求，可在原件上加注业务办理情况，原件返还个人后，留存加注后的复印件。税务备案采用电子化方式的，可在网上核验相关电子化税务凭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委托他人办理的应提供委托代理协议和代理人身份证明。委托代理协议内容应包含但不限于委托人同意代理人受托办理移民财产转移及相关购付汇业务、委托人及代理人身份证件号码以及委托代理日期等关键信息，委托代理协议需委托人和代理人双方签字（经公证生效的除外）。</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（1）《国家外汇管理局行政许可实施办法》第十条；第十四条第十条</w:t>
      </w:r>
      <w:r>
        <w:rPr>
          <w:rFonts w:ascii="方正仿宋_GBK" w:hAnsi="方正仿宋_GBK" w:eastAsia="方正仿宋_GBK" w:cs="方正仿宋_GBK"/>
          <w:sz w:val="28"/>
          <w:szCs w:val="28"/>
        </w:rPr>
        <w:tab/>
      </w:r>
      <w:r>
        <w:rPr>
          <w:rFonts w:ascii="方正仿宋_GBK" w:hAnsi="方正仿宋_GBK" w:eastAsia="方正仿宋_GBK" w:cs="方正仿宋_GBK"/>
          <w:sz w:val="28"/>
          <w:szCs w:val="28"/>
        </w:rPr>
        <w:t>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四</w:t>
      </w:r>
      <w:r>
        <w:rPr>
          <w:rFonts w:ascii="方正仿宋_GBK" w:hAnsi="方正仿宋_GBK" w:eastAsia="方正仿宋_GBK" w:cs="方正仿宋_GBK"/>
          <w:sz w:val="28"/>
          <w:szCs w:val="28"/>
        </w:rPr>
        <w:t>）申请事项属于本局职责范围，申请材料齐全、符合法定形式，或者申请人按照要求提交全部补正申请材料的，应受理行政许可申请，出具行政许可受理通知书。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第十四条 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《资本项目外汇业务核准件》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widowControl w:val="0"/>
        <w:wordWrap/>
        <w:adjustRightInd/>
        <w:snapToGrid/>
        <w:spacing w:before="0" w:after="0" w:line="540" w:lineRule="exact"/>
        <w:ind w:left="0" w:leftChars="0" w:right="0" w:firstLine="0" w:firstLineChars="0"/>
        <w:textAlignment w:val="auto"/>
        <w:outlineLvl w:val="1"/>
        <w:rPr>
          <w:rFonts w:hint="eastAsia" w:ascii="黑体" w:hAnsi="黑体" w:eastAsia="黑体" w:cs="黑体"/>
          <w:b/>
          <w:bCs/>
          <w:color w:val="auto"/>
          <w:sz w:val="28"/>
          <w:szCs w:val="28"/>
        </w:rPr>
      </w:pPr>
      <w:r>
        <w:rPr>
          <w:rFonts w:hint="eastAsia" w:ascii="黑体" w:hAnsi="黑体" w:eastAsia="黑体" w:cs="黑体"/>
          <w:b w:val="0"/>
          <w:bCs w:val="0"/>
          <w:color w:val="auto"/>
          <w:sz w:val="28"/>
          <w:szCs w:val="28"/>
        </w:rPr>
        <w:t>十五、业务办理信息</w:t>
      </w:r>
    </w:p>
    <w:p>
      <w:pPr>
        <w:widowControl w:val="0"/>
        <w:wordWrap/>
        <w:adjustRightInd/>
        <w:snapToGrid/>
        <w:spacing w:before="0" w:after="0" w:line="540" w:lineRule="exact"/>
        <w:ind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1.是否通办：</w:t>
      </w:r>
      <w:r>
        <w:rPr>
          <w:rFonts w:hint="eastAsia" w:ascii="方正仿宋_GBK" w:hAnsi="方正仿宋_GBK" w:eastAsia="方正仿宋_GBK" w:cs="方正仿宋_GBK"/>
          <w:b w:val="0"/>
          <w:bCs w:val="0"/>
          <w:strike w:val="0"/>
          <w:dstrike w:val="0"/>
          <w:color w:val="auto"/>
          <w:sz w:val="28"/>
          <w:szCs w:val="28"/>
          <w:lang w:val="en-US" w:eastAsia="zh-CN"/>
        </w:rPr>
        <w:t>否</w:t>
      </w:r>
    </w:p>
    <w:p>
      <w:pPr>
        <w:widowControl w:val="0"/>
        <w:wordWrap/>
        <w:adjustRightInd/>
        <w:snapToGrid/>
        <w:spacing w:before="0" w:after="0" w:line="540" w:lineRule="exact"/>
        <w:ind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2.通办业务模式：</w:t>
      </w:r>
      <w:r>
        <w:rPr>
          <w:rFonts w:hint="eastAsia" w:ascii="方正仿宋_GBK" w:hAnsi="方正仿宋_GBK" w:eastAsia="方正仿宋_GBK" w:cs="方正仿宋_GBK"/>
          <w:b w:val="0"/>
          <w:bCs w:val="0"/>
          <w:strike w:val="0"/>
          <w:dstrike w:val="0"/>
          <w:color w:val="auto"/>
          <w:sz w:val="28"/>
          <w:szCs w:val="28"/>
          <w:lang w:val="en-US" w:eastAsia="zh-CN"/>
        </w:rPr>
        <w:t>无</w:t>
      </w:r>
    </w:p>
    <w:p>
      <w:pPr>
        <w:widowControl w:val="0"/>
        <w:wordWrap/>
        <w:adjustRightInd/>
        <w:snapToGrid/>
        <w:spacing w:before="0" w:after="0" w:line="540" w:lineRule="exact"/>
        <w:ind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3.跨省通办事项名称：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widowControl w:val="0"/>
        <w:wordWrap/>
        <w:adjustRightInd/>
        <w:snapToGrid/>
        <w:spacing w:before="0" w:after="0" w:line="540" w:lineRule="exact"/>
        <w:ind w:right="0" w:firstLine="562"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仿宋" w:hAnsi="仿宋" w:eastAsia="仿宋" w:cs="仿宋"/>
          <w:b/>
          <w:bCs/>
          <w:color w:val="auto"/>
          <w:sz w:val="28"/>
          <w:szCs w:val="28"/>
        </w:rPr>
        <w:t>4.是否是35号文中的跨省通办事项：</w:t>
      </w:r>
      <w:r>
        <w:rPr>
          <w:rFonts w:hint="eastAsia" w:ascii="方正仿宋_GBK" w:hAnsi="方正仿宋_GBK" w:eastAsia="方正仿宋_GBK" w:cs="方正仿宋_GBK"/>
          <w:b w:val="0"/>
          <w:bCs w:val="0"/>
          <w:strike w:val="0"/>
          <w:dstrike w:val="0"/>
          <w:color w:val="auto"/>
          <w:sz w:val="28"/>
          <w:szCs w:val="28"/>
          <w:lang w:val="en-US" w:eastAsia="zh-CN"/>
        </w:rPr>
        <w:t>否</w:t>
      </w:r>
    </w:p>
    <w:p>
      <w:pPr>
        <w:widowControl w:val="0"/>
        <w:wordWrap/>
        <w:adjustRightInd/>
        <w:snapToGrid/>
        <w:spacing w:before="0" w:after="0" w:line="540" w:lineRule="exact"/>
        <w:ind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5.是否网办：</w:t>
      </w:r>
      <w:r>
        <w:rPr>
          <w:rFonts w:hint="eastAsia" w:ascii="方正仿宋_GBK" w:hAnsi="方正仿宋_GBK" w:eastAsia="方正仿宋_GBK" w:cs="方正仿宋_GBK"/>
          <w:b w:val="0"/>
          <w:bCs w:val="0"/>
          <w:strike w:val="0"/>
          <w:dstrike w:val="0"/>
          <w:color w:val="auto"/>
          <w:sz w:val="28"/>
          <w:szCs w:val="28"/>
          <w:lang w:val="en-US" w:eastAsia="zh-CN"/>
        </w:rPr>
        <w:t>否</w:t>
      </w:r>
    </w:p>
    <w:p>
      <w:pPr>
        <w:widowControl w:val="0"/>
        <w:wordWrap/>
        <w:adjustRightInd/>
        <w:snapToGrid/>
        <w:spacing w:before="0" w:after="0" w:line="540" w:lineRule="exact"/>
        <w:ind w:right="0" w:firstLine="562"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sz w:val="28"/>
          <w:szCs w:val="28"/>
        </w:rPr>
        <w:t>6.网上办理深度：</w:t>
      </w:r>
      <w:r>
        <w:rPr>
          <w:rFonts w:hint="eastAsia" w:ascii="方正仿宋_GBK" w:hAnsi="方正仿宋_GBK" w:eastAsia="方正仿宋_GBK" w:cs="方正仿宋_GBK"/>
          <w:b w:val="0"/>
          <w:bCs w:val="0"/>
          <w:strike w:val="0"/>
          <w:dstrike w:val="0"/>
          <w:color w:val="auto"/>
          <w:sz w:val="28"/>
          <w:szCs w:val="28"/>
          <w:lang w:val="en-US" w:eastAsia="zh-CN"/>
        </w:rPr>
        <w:t>无</w:t>
      </w:r>
    </w:p>
    <w:p>
      <w:pPr>
        <w:widowControl w:val="0"/>
        <w:wordWrap/>
        <w:adjustRightInd/>
        <w:snapToGrid/>
        <w:spacing w:before="0" w:after="0" w:line="540" w:lineRule="exact"/>
        <w:ind w:right="0" w:firstLine="562"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仿宋" w:hAnsi="仿宋" w:eastAsia="仿宋" w:cs="仿宋"/>
          <w:b/>
          <w:bCs/>
          <w:color w:val="auto"/>
          <w:sz w:val="28"/>
          <w:szCs w:val="28"/>
        </w:rPr>
        <w:t>7.到办事现场次数：</w:t>
      </w:r>
      <w:r>
        <w:rPr>
          <w:rFonts w:hint="eastAsia" w:ascii="方正仿宋_GBK" w:hAnsi="方正仿宋_GBK" w:eastAsia="方正仿宋_GBK" w:cs="方正仿宋_GBK"/>
          <w:b w:val="0"/>
          <w:bCs w:val="0"/>
          <w:strike w:val="0"/>
          <w:dstrike w:val="0"/>
          <w:color w:val="auto"/>
          <w:sz w:val="28"/>
          <w:szCs w:val="28"/>
          <w:lang w:val="en-US" w:eastAsia="zh-CN"/>
        </w:rPr>
        <w:t>1</w:t>
      </w:r>
    </w:p>
    <w:p>
      <w:pPr>
        <w:widowControl w:val="0"/>
        <w:wordWrap/>
        <w:adjustRightInd/>
        <w:snapToGrid/>
        <w:spacing w:before="0" w:after="0" w:line="540" w:lineRule="exact"/>
        <w:ind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8.必须现场办理原因说明：</w:t>
      </w:r>
      <w:r>
        <w:rPr>
          <w:rFonts w:hint="eastAsia" w:ascii="方正仿宋_GBK" w:hAnsi="方正仿宋_GBK" w:eastAsia="方正仿宋_GBK" w:cs="方正仿宋_GBK"/>
          <w:b w:val="0"/>
          <w:bCs w:val="0"/>
          <w:strike w:val="0"/>
          <w:dstrike w:val="0"/>
          <w:color w:val="auto"/>
          <w:sz w:val="28"/>
          <w:szCs w:val="28"/>
          <w:lang w:val="en-US" w:eastAsia="zh-CN"/>
        </w:rPr>
        <w:t>不能网办</w:t>
      </w:r>
    </w:p>
    <w:p>
      <w:pPr>
        <w:widowControl w:val="0"/>
        <w:wordWrap/>
        <w:adjustRightInd/>
        <w:snapToGrid/>
        <w:spacing w:before="0" w:after="0" w:line="540" w:lineRule="exact"/>
        <w:ind w:right="0" w:firstLine="562"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仿宋" w:hAnsi="仿宋" w:eastAsia="仿宋" w:cs="仿宋"/>
          <w:b/>
          <w:bCs/>
          <w:color w:val="auto"/>
          <w:sz w:val="28"/>
          <w:szCs w:val="28"/>
        </w:rPr>
        <w:t>9.是否进驻政务大厅：</w:t>
      </w:r>
      <w:r>
        <w:rPr>
          <w:rFonts w:hint="eastAsia" w:ascii="方正仿宋_GBK" w:hAnsi="方正仿宋_GBK" w:eastAsia="方正仿宋_GBK" w:cs="方正仿宋_GBK"/>
          <w:b w:val="0"/>
          <w:bCs w:val="0"/>
          <w:strike w:val="0"/>
          <w:dstrike w:val="0"/>
          <w:color w:val="auto"/>
          <w:sz w:val="28"/>
          <w:szCs w:val="28"/>
          <w:lang w:val="en-US" w:eastAsia="zh-CN"/>
        </w:rPr>
        <w:t>否</w:t>
      </w:r>
    </w:p>
    <w:p>
      <w:pPr>
        <w:widowControl w:val="0"/>
        <w:wordWrap/>
        <w:adjustRightInd/>
        <w:snapToGrid/>
        <w:spacing w:before="0" w:after="0" w:line="540" w:lineRule="exact"/>
        <w:ind w:left="0" w:leftChars="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rPr>
        <w:t>10.办理地点：</w:t>
      </w:r>
      <w:r>
        <w:rPr>
          <w:rFonts w:hint="eastAsia" w:ascii="方正仿宋_GBK" w:hAnsi="方正仿宋_GBK" w:eastAsia="方正仿宋_GBK" w:cs="方正仿宋_GBK"/>
          <w:b w:val="0"/>
          <w:bCs w:val="0"/>
          <w:strike w:val="0"/>
          <w:dstrike w:val="0"/>
          <w:color w:val="auto"/>
          <w:sz w:val="28"/>
          <w:szCs w:val="28"/>
          <w:lang w:val="en-US" w:eastAsia="zh-CN"/>
        </w:rPr>
        <w:t>详见国家外汇管理局吉林省分局子网站 （www.safe.gov.cn/jilin/）“咨询反馈——联系我们”</w:t>
      </w:r>
    </w:p>
    <w:p>
      <w:pPr>
        <w:widowControl w:val="0"/>
        <w:wordWrap/>
        <w:adjustRightInd/>
        <w:snapToGrid/>
        <w:spacing w:before="0" w:after="0" w:line="540" w:lineRule="exact"/>
        <w:ind w:left="0" w:leftChars="0" w:right="0"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仿宋" w:hAnsi="仿宋" w:eastAsia="仿宋" w:cs="仿宋"/>
          <w:b/>
          <w:bCs/>
          <w:color w:val="auto"/>
          <w:sz w:val="28"/>
          <w:szCs w:val="28"/>
        </w:rPr>
        <w:t>11.办理时间：</w:t>
      </w:r>
      <w:r>
        <w:rPr>
          <w:rFonts w:hint="eastAsia" w:ascii="方正仿宋_GBK" w:hAnsi="方正仿宋_GBK" w:eastAsia="方正仿宋_GBK" w:cs="方正仿宋_GBK"/>
          <w:b w:val="0"/>
          <w:bCs w:val="0"/>
          <w:strike w:val="0"/>
          <w:dstrike w:val="0"/>
          <w:color w:val="auto"/>
          <w:sz w:val="28"/>
          <w:szCs w:val="28"/>
          <w:lang w:val="en-US" w:eastAsia="zh-CN"/>
        </w:rPr>
        <w:t>详见国家外汇管理局吉林省分局子网站 （www.safe.gov.cn/jilin/）“咨询反馈——联系我们”</w:t>
      </w:r>
    </w:p>
    <w:p>
      <w:pPr>
        <w:widowControl w:val="0"/>
        <w:wordWrap/>
        <w:adjustRightInd/>
        <w:snapToGrid/>
        <w:spacing w:before="0" w:after="0" w:line="540" w:lineRule="exact"/>
        <w:ind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12.咨询方式：</w:t>
      </w:r>
      <w:r>
        <w:rPr>
          <w:rFonts w:hint="eastAsia" w:ascii="方正仿宋_GBK" w:hAnsi="方正仿宋_GBK" w:eastAsia="方正仿宋_GBK" w:cs="方正仿宋_GBK"/>
          <w:b w:val="0"/>
          <w:bCs w:val="0"/>
          <w:strike w:val="0"/>
          <w:dstrike w:val="0"/>
          <w:color w:val="auto"/>
          <w:sz w:val="28"/>
          <w:szCs w:val="28"/>
          <w:lang w:val="en-US" w:eastAsia="zh-CN"/>
        </w:rPr>
        <w:t>详见国家外汇管理局吉林省分局子网站（www.safe.gov.cn/jilin/）“咨询反馈——联系我们”</w:t>
      </w:r>
    </w:p>
    <w:p>
      <w:pPr>
        <w:widowControl w:val="0"/>
        <w:wordWrap/>
        <w:adjustRightInd/>
        <w:snapToGrid/>
        <w:spacing w:before="0" w:after="0" w:line="540" w:lineRule="exact"/>
        <w:ind w:left="0" w:leftChars="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rPr>
        <w:t>13.监督投诉方式：</w:t>
      </w:r>
      <w:r>
        <w:rPr>
          <w:rFonts w:hint="eastAsia" w:ascii="方正仿宋_GBK" w:hAnsi="方正仿宋_GBK" w:eastAsia="方正仿宋_GBK" w:cs="方正仿宋_GBK"/>
          <w:b w:val="0"/>
          <w:bCs w:val="0"/>
          <w:strike w:val="0"/>
          <w:dstrike w:val="0"/>
          <w:color w:val="auto"/>
          <w:sz w:val="28"/>
          <w:szCs w:val="28"/>
          <w:lang w:val="en-US" w:eastAsia="zh-CN"/>
        </w:rPr>
        <w:t>详见国家外汇管理局吉林省分局子网站（www.safe.gov.cn/jilin/）“咨询反馈——联系我们”</w:t>
      </w:r>
    </w:p>
    <w:p>
      <w:pPr>
        <w:widowControl w:val="0"/>
        <w:wordWrap/>
        <w:adjustRightInd/>
        <w:snapToGrid/>
        <w:spacing w:before="0" w:after="0" w:line="540" w:lineRule="exact"/>
        <w:ind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14.是否支持网上支付：</w:t>
      </w:r>
      <w:r>
        <w:rPr>
          <w:rFonts w:hint="eastAsia" w:ascii="方正仿宋_GBK" w:hAnsi="方正仿宋_GBK" w:eastAsia="方正仿宋_GBK" w:cs="方正仿宋_GBK"/>
          <w:b w:val="0"/>
          <w:bCs w:val="0"/>
          <w:strike w:val="0"/>
          <w:dstrike w:val="0"/>
          <w:color w:val="auto"/>
          <w:sz w:val="28"/>
          <w:szCs w:val="28"/>
          <w:lang w:val="en-US" w:eastAsia="zh-CN"/>
        </w:rPr>
        <w:t>否</w:t>
      </w:r>
    </w:p>
    <w:p>
      <w:pPr>
        <w:widowControl w:val="0"/>
        <w:wordWrap/>
        <w:adjustRightInd/>
        <w:snapToGrid/>
        <w:spacing w:before="0" w:after="0" w:line="540" w:lineRule="exact"/>
        <w:ind w:right="0"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15.是否支持物流快递：</w:t>
      </w:r>
      <w:r>
        <w:rPr>
          <w:rFonts w:hint="eastAsia"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0" w:firstLineChars="200"/>
        <w:rPr>
          <w:rFonts w:hint="eastAsia" w:ascii="方正仿宋_GBK" w:hAnsi="方正仿宋_GBK" w:eastAsia="方正仿宋_GBK" w:cs="方正仿宋_GBK"/>
          <w:sz w:val="28"/>
          <w:szCs w:val="28"/>
        </w:rPr>
      </w:pPr>
      <w:bookmarkStart w:id="0" w:name="_GoBack"/>
      <w:bookmarkEnd w:id="0"/>
    </w:p>
    <w:p/>
    <w:sectPr>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_GBK">
    <w:altName w:val="微软雅黑"/>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auto"/>
    <w:pitch w:val="default"/>
    <w:sig w:usb0="00000000" w:usb1="00000000" w:usb2="00000000" w:usb3="00000000" w:csb0="00040001" w:csb1="00000000"/>
  </w:font>
  <w:font w:name="方正仿宋_GBK">
    <w:altName w:val="微软雅黑"/>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2000000000000000000"/>
    <w:charset w:val="86"/>
    <w:family w:val="auto"/>
    <w:pitch w:val="default"/>
    <w:sig w:usb0="00000001" w:usb1="08000000" w:usb2="00000000" w:usb3="00000000" w:csb0="00040000" w:csb1="00000000"/>
  </w:font>
  <w:font w:name="思源黑体 CN Bold">
    <w:altName w:val="黑体"/>
    <w:panose1 w:val="020B0800000000000000"/>
    <w:charset w:val="86"/>
    <w:family w:val="auto"/>
    <w:pitch w:val="default"/>
    <w:sig w:usb0="00000000" w:usb1="00000000" w:usb2="00000016" w:usb3="00000000" w:csb0="60060107" w:csb1="00000000"/>
  </w:font>
  <w:font w:name="仿宋_GB2312">
    <w:panose1 w:val="02010609030101010101"/>
    <w:charset w:val="86"/>
    <w:family w:val="auto"/>
    <w:pitch w:val="default"/>
    <w:sig w:usb0="00000001" w:usb1="080E0000" w:usb2="00000000" w:usb3="00000000" w:csb0="00040000" w:csb1="00000000"/>
  </w:font>
  <w:font w:name="方正楷体_GBK">
    <w:altName w:val="宋体"/>
    <w:panose1 w:val="02000000000000000000"/>
    <w:charset w:val="86"/>
    <w:family w:val="auto"/>
    <w:pitch w:val="default"/>
    <w:sig w:usb0="00000001" w:usb1="08000000" w:usb2="00000000" w:usb3="00000000" w:csb0="00040000" w:csb1="00000000"/>
  </w:font>
  <w:font w:name="方正隶书_GBK">
    <w:altName w:val="宋体"/>
    <w:panose1 w:val="02000000000000000000"/>
    <w:charset w:val="86"/>
    <w:family w:val="auto"/>
    <w:pitch w:val="default"/>
    <w:sig w:usb0="00000001" w:usb1="0800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汉仪中秀体简">
    <w:altName w:val="仿宋"/>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A00002BF" w:usb1="38CF7CFA" w:usb2="00000016" w:usb3="00000000" w:csb0="0004000F" w:csb1="00000000"/>
  </w:font>
  <w:font w:name="MS UI Gothic">
    <w:panose1 w:val="020B0600070205080204"/>
    <w:charset w:val="80"/>
    <w:family w:val="auto"/>
    <w:pitch w:val="default"/>
    <w:sig w:usb0="E00002FF" w:usb1="6AC7FDFB" w:usb2="00000012" w:usb3="00000000" w:csb0="4002009F" w:csb1="DFD70000"/>
  </w:font>
  <w:font w:name="ˎ̥">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paragraph" w:styleId="2">
    <w:name w:val="footer"/>
    <w:basedOn w:val="1"/>
    <w:link w:val="6"/>
    <w:semiHidden/>
    <w:unhideWhenUsed/>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5"/>
    <w:semiHidden/>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customStyle="1" w:styleId="5">
    <w:name w:val="页眉 Char Char"/>
    <w:basedOn w:val="4"/>
    <w:link w:val="3"/>
    <w:uiPriority w:val="99"/>
    <w:rPr>
      <w:sz w:val="18"/>
      <w:szCs w:val="18"/>
    </w:rPr>
  </w:style>
  <w:style w:type="character" w:customStyle="1" w:styleId="6">
    <w:name w:val="页脚 Char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1083</Words>
  <Characters>6176</Characters>
  <Lines>51</Lines>
  <Paragraphs>14</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2024-05-16T12:21:00Z</dcterms:created>
  <dc:creator>kylin</dc:creator>
  <cp:lastModifiedBy>wangxm</cp:lastModifiedBy>
  <dcterms:modified xsi:type="dcterms:W3CDTF">2025-11-18T06:26:18Z</dcterms:modified>
  <dc:title>地（市）分局办理的移民财产转移购付汇核准</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