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地（市）分局办理的境内机构开展境外衍生业务登记</w:t>
      </w:r>
    </w:p>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【000171107017】</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跨境证券、衍生产品外汇业务核准【00017110700Y】</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地（市）分局办理的境内机构开展境外衍生业务登记【000171107017】</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1.地（市）分局办理的境内机构境外衍生业务外汇新办登记(00017110701701)</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2.地（市）分局办理的境内机构境外衍生业务外汇变更登记(00017110701702)</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3.地（市）分局办理的境内机构境外衍生业务外汇注销登记(00017110701703)</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（1）《中华人民共和国外汇管理条例》第十七条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（1）《国家外汇管理局关于国有企业境外期货套期保值业务外汇管理有关问题的通知》（汇发〔2013〕25号）第一条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（2）《国家外汇管理局行政许可实施办法》（国家外汇管理局公告2021年第1号）全文</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国家外汇局地（市）分局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市级/隶属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设区的市级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境内机构境外衍生业务外汇登记及变更、注销登记</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15.要素统一情况：</w:t>
      </w:r>
      <w:r>
        <w:rPr>
          <w:rFonts w:hint="eastAsia" w:ascii="方正仿宋_GBK"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条件型</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1.地（市）分局办理的境内机构境外衍生业务外汇新办登记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（1）取得中国证券监督管理委员会颁发的《境外期货业务许可证》；</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（2）属于国有企业；</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（3）开展境外期货套期保值业务。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2.地（市）分局办理的境内机构境外衍生业务外汇变更登记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持证企业年度风险敞口及其他登记事项（如机构名称、机构代码、许可证号等）发生变更。</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3.地（市）分局办理的境内机构境外衍生业务外汇注销登记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持证企业境外期货业务终止。</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关于国有企业境外期货套期保值业务外汇管理有关问题的通知》（汇发〔2013〕25号）第一条、第三条本通知所指的国有企业境外期货套期保值业务（以下简称境外期货业务）是指根据《国有企业境外期货套期保值业务管理办法》（证监发[2001]81号）取得中国证券监督管理委员会（以下简称中国证监会）颁发的《境外期货业务许可证》的国有企业（以下简称持证企业）所开展的相关业务。国家外汇管理局及其分支机构（以下简称外汇局）依法对持证企业境外期货业务相关的外汇登记、资金汇出入、结汇及购汇等实施监督管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持证企业年度风险敞口及其他登记事项（如机构名称、机构代码、许可证号等）发生变更的，应在20个工作日内，持相关批复文件或说明材料等，到所在地外汇局办理变更登记。持证企业境外期货业务终止的，应在业务终止20个工作日内，持书面申请、《申请表》及相关证明材料到所在地外汇局办理注销登记。</w:t>
      </w:r>
    </w:p>
    <w:p>
      <w:pPr>
        <w:widowControl w:val="0"/>
        <w:wordWrap/>
        <w:adjustRightInd/>
        <w:snapToGrid/>
        <w:spacing w:before="0" w:after="0" w:line="540" w:lineRule="exact"/>
        <w:ind w:left="0" w:leftChars="0" w:right="0" w:firstLine="562" w:firstLineChars="200"/>
        <w:textAlignment w:val="auto"/>
        <w:outlineLvl w:val="2"/>
        <w:rPr>
          <w:rFonts w:hint="eastAsia" w:ascii="仿宋" w:hAnsi="仿宋" w:eastAsia="仿宋" w:cs="仿宋"/>
          <w:b/>
          <w:bCs/>
          <w:color w:val="auto"/>
          <w:sz w:val="28"/>
          <w:szCs w:val="28"/>
        </w:rPr>
      </w:pPr>
      <w:r>
        <w:rPr>
          <w:rFonts w:hint="eastAsia" w:ascii="仿宋" w:hAnsi="仿宋" w:eastAsia="仿宋" w:cs="仿宋"/>
          <w:b/>
          <w:bCs/>
          <w:color w:val="auto"/>
          <w:sz w:val="28"/>
          <w:szCs w:val="28"/>
        </w:rPr>
        <w:t>3.受理条件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申请材料齐全、符合法定形式。</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方正仿宋_GBK" w:hAnsi="方正仿宋_GBK" w:eastAsia="方正仿宋_GBK" w:cs="方正仿宋_GBK"/>
          <w:sz w:val="28"/>
          <w:szCs w:val="28"/>
        </w:rPr>
        <w:t>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方正仿宋_GBK" w:hAnsi="方正仿宋_GBK" w:eastAsia="方正仿宋_GBK" w:cs="方正仿宋_GBK"/>
          <w:sz w:val="28"/>
          <w:szCs w:val="28"/>
        </w:rPr>
        <w:t>无</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6.具体改革举措</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无</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1.开展“双随机、一公开”监管，依法查处违规行为，适时公开相关案例。2.依法及时处理投诉举报。3.开展数据统计与监测，掌握外汇业务情况。</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1.地（市）分局办理的境内机构境外衍生业务外汇新办登记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（1）营业执照（或统一社会信用代码证）原件或加盖公章的复印件1份。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（2）加盖公章的书面申请原件1份（附《境内机构境外衍生业务登记申请表》）。</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证监部门（证监会或地方证监局）关于国有企业境外期货业务的证明性文件（或无异议函）或国资委关于中央企业从事境外金融衍生业务的证明性文件（或无异议函）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（4）加盖公章的中央企业集团内成员公司另需提交中央企业的额度分配文件原件1份。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2.地（市）分局办理的境内机构境外衍生业务外汇变更登记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（1）营业执照（或统一社会信用代码证）原件或加盖公章的复印件1份。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（2）加盖公章的书面申请原件1份（附《境内机构境外衍生业务登记申请表》）。</w:t>
      </w:r>
      <w:r>
        <w:rPr>
          <w:rFonts w:hint="eastAsia" w:ascii="方正仿宋_GBK" w:hAnsi="方正仿宋_GBK" w:eastAsia="方正仿宋_GBK" w:cs="方正仿宋_GBK"/>
          <w:sz w:val="28"/>
          <w:szCs w:val="28"/>
        </w:rPr>
        <w:tab/>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（3）证监部门（证监会或地方证监局）或国资委关于境内机构境外衍生业务变更（注销）的证明性文件或无异议函原件及加盖公章的复印件各1份（验原件，留存复印件）。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（4）加盖公章的中央企业对集团内成员公司额度分配变更的相关证明性文件（中央企业集团内成员公司分配的对外付汇额度发生变更的提供）原件1份。</w:t>
      </w:r>
      <w:r>
        <w:rPr>
          <w:rFonts w:hint="eastAsia" w:ascii="方正仿宋_GBK" w:hAnsi="方正仿宋_GBK" w:eastAsia="方正仿宋_GBK" w:cs="方正仿宋_GBK"/>
          <w:sz w:val="28"/>
          <w:szCs w:val="28"/>
        </w:rPr>
        <w:tab/>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3.地（市）分局办理的境内机构境外衍生业务外汇注销登记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（1）营业执照（或统一社会信用代码证）原件或加盖公章的复印件1份。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（3）《境内机构境外衍生业务登记申请表》原件1份。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（4）相关证明材料原件及加盖公章的复印件各1份。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国家外汇管理局关于国有企业境外期货套期保值业务外汇管理有关问题的通知》（汇发〔2013〕25号）第二条、第三条持证企业应在本通知下发后30日内，持以下材料到企业注册地国家外汇管理局分支机构（以下简称所在地外汇局）重新办理境外期货业务外汇登记：（一）填写完备并加盖公章的《境内机构境外衍生业务登记申请表》（以下简称《申请表》，见附件1）；（二）中国证监会颁发的《境外期货业务许可证》复印件及核定的年度风险敞口批复文件......所在地外汇局审核材料无误后为企业办理外汇登记，依据中国证监会批复的企业年度风险敞口确认企业对外付汇额度，并向企业出具相关业务登记凭证。</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持证企业年度风险敞口及其他登记事项（如机构名称、机构代码、许可证号等）发生变更的，应在20个工作日内，持相关批复文件或说明材料等，到所在地外汇局办理变更登记。持证企业境外期货业务终止的，应在业务终止20个工作日内，持书面申请、《申请表》及相关证明材料到所在地外汇局办理注销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（2）《国家外汇管理局行政许可实施办法》（国家外汇管理局公告2021年第1号）第八条……申请人为机构的，应出示统一社会信用代码证或营业执照原件，或加盖公章的上述证件复印件……。</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p>
    <w:p>
      <w:pPr>
        <w:spacing w:line="600" w:lineRule="exact"/>
        <w:ind w:firstLine="560" w:firstLineChars="200"/>
        <w:rPr>
          <w:rFonts w:ascii="Times New Roman" w:hAnsi="Times New Roman" w:eastAsia="仿宋GB2312"/>
          <w:sz w:val="28"/>
          <w:szCs w:val="28"/>
        </w:rPr>
      </w:pP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（1）申请人申请；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（2）审批机构受理/不予受理；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（3）审批机构审查；</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（4）决定作出许可决定书/不予许可决定书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（1）《国家外汇管理局行政许可实施办法》（国家外汇管理局公告2021年第1号）第十条外汇局收到行政许可申请后，应区分下列情况分别作出处理：</w:t>
      </w:r>
    </w:p>
    <w:p>
      <w:pPr>
        <w:spacing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ascii="方正仿宋_GBK" w:hAnsi="方正仿宋_GBK" w:eastAsia="方正仿宋_GBK" w:cs="方正仿宋_GBK"/>
          <w:sz w:val="28"/>
          <w:szCs w:val="28"/>
        </w:rPr>
        <w:t>（一）申请事项属于本局职责范围，但依法不需要取得行政许可的，应即时告知申请人不受理，出具不予受理行政许可通知书；</w:t>
      </w:r>
    </w:p>
    <w:p>
      <w:pPr>
        <w:spacing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ascii="方正仿宋_GBK" w:hAnsi="方正仿宋_GBK" w:eastAsia="方正仿宋_GBK" w:cs="方正仿宋_GBK"/>
          <w:sz w:val="28"/>
          <w:szCs w:val="28"/>
        </w:rPr>
        <w:t>（二）申请事项不属于本局职责范围，应即时作出不予受理的决定，出具不予受理行政许可通知书，并告知申请人向有关行政机关申请；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ascii="方正仿宋_GBK" w:hAnsi="方正仿宋_GBK" w:eastAsia="方正仿宋_GBK" w:cs="方正仿宋_GBK"/>
          <w:sz w:val="28"/>
          <w:szCs w:val="28"/>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（2）《国家外汇管理局行政许可实施办法》（国家外汇管理局公告2021年第1号）第十四条外汇局对行政许可申请审查后，应区分下列情况分别作出处理：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方正仿宋_GBK" w:hAnsi="方正仿宋_GBK" w:eastAsia="方正仿宋_GBK" w:cs="方正仿宋_GBK"/>
          <w:sz w:val="28"/>
          <w:szCs w:val="28"/>
        </w:rPr>
        <w:t>否</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方正仿宋_GBK" w:hAnsi="方正仿宋_GBK" w:eastAsia="方正仿宋_GBK" w:cs="方正仿宋_GBK"/>
          <w:sz w:val="28"/>
          <w:szCs w:val="28"/>
        </w:rPr>
        <w:t>5个工作日</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方正仿宋_GBK" w:hAnsi="方正仿宋_GBK" w:eastAsia="方正仿宋_GBK" w:cs="方正仿宋_GBK"/>
          <w:sz w:val="28"/>
          <w:szCs w:val="28"/>
        </w:rPr>
        <w:t>20个工作日</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（1）《国家外汇管理局行政许可实施办法》（国家外汇管理局公告2021年第1号）第十五条外汇局应根据以下要求确保行政许可依法按时完成：</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（一）能当场作出决定的，应当场作出行政许可决定。当场作出行政许可决定的，可不出具行政许可受理通知书；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外汇局征求其他部门意见的时间计算在以上办理时限内；依法需要听证、检验、检测、鉴定、专家评审等的时间，不计算在上述办理时限内。</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各级外汇局对行政许可办理时限具有对外承诺的，应按照其承诺的时限完成；对外承诺的时限应短于20个工作日。</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4.承诺审批时限：</w:t>
      </w:r>
      <w:r>
        <w:rPr>
          <w:rFonts w:ascii="方正仿宋_GBK" w:hAnsi="方正仿宋_GBK" w:eastAsia="方正仿宋_GBK" w:cs="方正仿宋_GBK"/>
          <w:sz w:val="28"/>
          <w:szCs w:val="28"/>
        </w:rPr>
        <w:t>20个工作日</w:t>
      </w:r>
    </w:p>
    <w:p>
      <w:pPr>
        <w:widowControl w:val="0"/>
        <w:wordWrap/>
        <w:adjustRightInd/>
        <w:snapToGrid/>
        <w:spacing w:before="0" w:after="0" w:line="540" w:lineRule="exact"/>
        <w:ind w:left="0" w:leftChars="0" w:right="0" w:firstLine="562" w:firstLineChars="200"/>
        <w:textAlignment w:val="auto"/>
        <w:rPr>
          <w:rFonts w:ascii="方正仿宋_GBK" w:hAnsi="方正仿宋_GBK" w:eastAsia="方正仿宋_GBK" w:cs="方正仿宋_GBK"/>
          <w:sz w:val="28"/>
          <w:szCs w:val="28"/>
        </w:rPr>
      </w:pPr>
      <w:r>
        <w:rPr>
          <w:rFonts w:hint="eastAsia" w:ascii="仿宋" w:hAnsi="仿宋" w:eastAsia="仿宋" w:cs="仿宋"/>
          <w:b/>
          <w:bCs/>
          <w:color w:val="auto"/>
          <w:sz w:val="28"/>
          <w:szCs w:val="28"/>
        </w:rPr>
        <w:t>5.办件类型：</w:t>
      </w:r>
      <w:r>
        <w:rPr>
          <w:rFonts w:hint="eastAsia" w:ascii="方正仿宋_GBK" w:hAnsi="方正仿宋_GBK" w:eastAsia="方正仿宋_GBK" w:cs="方正仿宋_GBK"/>
          <w:sz w:val="28"/>
          <w:szCs w:val="28"/>
        </w:rPr>
        <w:t>承诺件</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p>
    <w:p>
      <w:pPr>
        <w:spacing w:line="600" w:lineRule="exact"/>
        <w:ind w:firstLine="560" w:firstLineChars="200"/>
        <w:rPr>
          <w:rFonts w:ascii="方正仿宋_GBK" w:hAnsi="方正仿宋_GBK" w:eastAsia="方正仿宋_GBK" w:cs="方正仿宋_GBK"/>
          <w:b/>
          <w:bCs/>
          <w:color w:val="FF0000"/>
          <w:sz w:val="28"/>
          <w:szCs w:val="28"/>
        </w:rPr>
      </w:pP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方正仿宋_GBK" w:hAnsi="方正仿宋_GBK" w:eastAsia="方正仿宋_GBK" w:cs="方正仿宋_GBK"/>
          <w:sz w:val="28"/>
          <w:szCs w:val="28"/>
        </w:rPr>
        <w:t>批文</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方正仿宋_GBK" w:hAnsi="方正仿宋_GBK" w:eastAsia="方正仿宋_GBK" w:cs="方正仿宋_GBK"/>
          <w:sz w:val="28"/>
          <w:szCs w:val="28"/>
        </w:rPr>
        <w:t>《业务登记凭证》</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方正仿宋_GBK" w:hAnsi="方正仿宋_GBK" w:eastAsia="方正仿宋_GBK" w:cs="方正仿宋_GBK"/>
          <w:sz w:val="28"/>
          <w:szCs w:val="28"/>
        </w:rPr>
        <w:t>当次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p>
    <w:p>
      <w:pPr>
        <w:spacing w:line="600" w:lineRule="exact"/>
        <w:ind w:firstLine="560" w:firstLineChars="200"/>
        <w:rPr>
          <w:rFonts w:ascii="Times New Roman" w:hAnsi="Times New Roman" w:eastAsia="仿宋GB2312"/>
          <w:sz w:val="32"/>
          <w:szCs w:val="32"/>
        </w:rPr>
      </w:pPr>
      <w:r>
        <w:rPr>
          <w:rFonts w:hint="eastAsia" w:ascii="方正仿宋_GBK" w:hAnsi="方正仿宋_GBK" w:eastAsia="方正仿宋_GBK" w:cs="方正仿宋_GBK"/>
          <w:sz w:val="28"/>
          <w:szCs w:val="28"/>
        </w:rPr>
        <w:t>（1）无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p>
    <w:p>
      <w:pPr>
        <w:spacing w:line="600" w:lineRule="exact"/>
        <w:ind w:firstLine="560" w:firstLineChars="200"/>
        <w:rPr>
          <w:rFonts w:ascii="Times New Roman" w:hAnsi="Times New Roman" w:eastAsia="仿宋GB2312"/>
          <w:sz w:val="32"/>
          <w:szCs w:val="32"/>
        </w:rPr>
      </w:pP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p>
    <w:p>
      <w:pPr>
        <w:spacing w:line="600" w:lineRule="exact"/>
        <w:ind w:firstLine="560" w:firstLineChars="200"/>
        <w:rPr>
          <w:rFonts w:ascii="Times New Roman" w:hAnsi="Times New Roman" w:eastAsia="仿宋GB2312"/>
          <w:sz w:val="32"/>
          <w:szCs w:val="32"/>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全国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p>
    <w:p>
      <w:pPr>
        <w:spacing w:line="600" w:lineRule="exact"/>
        <w:ind w:firstLine="560" w:firstLineChars="200"/>
        <w:rPr>
          <w:rFonts w:ascii="Times New Roman" w:hAnsi="Times New Roman" w:eastAsia="仿宋GB2312"/>
          <w:sz w:val="28"/>
          <w:szCs w:val="28"/>
        </w:rPr>
      </w:pPr>
      <w:r>
        <w:rPr>
          <w:rFonts w:hint="eastAsia" w:ascii="方正仿宋_GBK" w:hAnsi="方正仿宋_GBK" w:eastAsia="方正仿宋_GBK" w:cs="方正仿宋_GBK"/>
          <w:sz w:val="28"/>
          <w:szCs w:val="28"/>
        </w:rPr>
        <w:t>（1）无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方正仿宋_GBK" w:hAnsi="方正仿宋_GBK" w:eastAsia="方正仿宋_GBK" w:cs="方正仿宋_GBK"/>
          <w:sz w:val="28"/>
          <w:szCs w:val="28"/>
        </w:rPr>
        <w:t>无</w:t>
      </w:r>
    </w:p>
    <w:p>
      <w:pPr>
        <w:spacing w:line="600" w:lineRule="exact"/>
        <w:ind w:firstLine="562" w:firstLineChars="200"/>
        <w:jc w:val="left"/>
        <w:rPr>
          <w:rFonts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p>
    <w:p>
      <w:pPr>
        <w:spacing w:line="600" w:lineRule="exact"/>
        <w:ind w:firstLine="560" w:firstLineChars="200"/>
        <w:jc w:val="left"/>
        <w:rPr>
          <w:rFonts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2.设定年检要求的依据</w:t>
      </w:r>
    </w:p>
    <w:p>
      <w:pPr>
        <w:spacing w:line="540" w:lineRule="exact"/>
        <w:ind w:firstLine="560" w:firstLineChars="200"/>
        <w:outlineLvl w:val="2"/>
        <w:rPr>
          <w:rFonts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p>
    <w:p>
      <w:pPr>
        <w:spacing w:line="600" w:lineRule="exact"/>
        <w:ind w:firstLine="560" w:firstLineChars="200"/>
        <w:rPr>
          <w:rFonts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国家外汇局及其分局</w:t>
      </w:r>
    </w:p>
    <w:p>
      <w:pPr>
        <w:widowControl w:val="0"/>
        <w:wordWrap/>
        <w:adjustRightInd/>
        <w:snapToGrid/>
        <w:spacing w:before="0" w:after="0" w:line="540" w:lineRule="exact"/>
        <w:ind w:left="0" w:leftChars="0" w:right="0" w:firstLine="0" w:firstLineChars="0"/>
        <w:textAlignment w:val="auto"/>
        <w:outlineLvl w:val="1"/>
        <w:rPr>
          <w:rFonts w:hint="eastAsia" w:ascii="黑体" w:hAnsi="黑体" w:eastAsia="黑体" w:cs="黑体"/>
          <w:b/>
          <w:bCs/>
          <w:color w:val="auto"/>
          <w:sz w:val="28"/>
          <w:szCs w:val="28"/>
        </w:rPr>
      </w:pPr>
      <w:bookmarkStart w:id="0" w:name="_Toc625546740_WPSOffice_Level1"/>
      <w:r>
        <w:rPr>
          <w:rFonts w:hint="eastAsia" w:ascii="黑体" w:hAnsi="黑体" w:eastAsia="黑体" w:cs="黑体"/>
          <w:b w:val="0"/>
          <w:bCs w:val="0"/>
          <w:color w:val="auto"/>
          <w:sz w:val="28"/>
          <w:szCs w:val="28"/>
        </w:rPr>
        <w:t>十五、业务办理信息</w:t>
      </w:r>
      <w:bookmarkEnd w:id="0"/>
    </w:p>
    <w:p>
      <w:pPr>
        <w:widowControl w:val="0"/>
        <w:wordWrap/>
        <w:adjustRightInd/>
        <w:snapToGrid/>
        <w:spacing w:before="0" w:after="0" w:line="540" w:lineRule="exact"/>
        <w:ind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1.是否通办：</w:t>
      </w:r>
      <w:r>
        <w:rPr>
          <w:rFonts w:hint="eastAsia" w:ascii="方正仿宋_GBK" w:hAnsi="方正仿宋_GBK" w:eastAsia="方正仿宋_GBK" w:cs="方正仿宋_GBK"/>
          <w:sz w:val="28"/>
          <w:szCs w:val="28"/>
        </w:rPr>
        <w:t>否</w:t>
      </w:r>
    </w:p>
    <w:p>
      <w:pPr>
        <w:widowControl w:val="0"/>
        <w:wordWrap/>
        <w:adjustRightInd/>
        <w:snapToGrid/>
        <w:spacing w:before="0" w:after="0" w:line="540" w:lineRule="exact"/>
        <w:ind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2.通办业务模式：</w:t>
      </w:r>
      <w:r>
        <w:rPr>
          <w:rFonts w:hint="eastAsia" w:ascii="方正仿宋_GBK" w:hAnsi="方正仿宋_GBK" w:eastAsia="方正仿宋_GBK" w:cs="方正仿宋_GBK"/>
          <w:sz w:val="28"/>
          <w:szCs w:val="28"/>
        </w:rPr>
        <w:t>无</w:t>
      </w:r>
    </w:p>
    <w:p>
      <w:pPr>
        <w:widowControl w:val="0"/>
        <w:wordWrap/>
        <w:adjustRightInd/>
        <w:snapToGrid/>
        <w:spacing w:before="0" w:after="0" w:line="540" w:lineRule="exact"/>
        <w:ind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3.跨省通办事项名称：</w:t>
      </w:r>
      <w:r>
        <w:rPr>
          <w:rFonts w:hint="eastAsia" w:ascii="方正仿宋_GBK" w:hAnsi="方正仿宋_GBK" w:eastAsia="方正仿宋_GBK" w:cs="方正仿宋_GBK"/>
          <w:sz w:val="28"/>
          <w:szCs w:val="28"/>
        </w:rPr>
        <w:t>无</w:t>
      </w:r>
    </w:p>
    <w:p>
      <w:pPr>
        <w:widowControl w:val="0"/>
        <w:wordWrap/>
        <w:adjustRightInd/>
        <w:snapToGrid/>
        <w:spacing w:before="0" w:after="0" w:line="540" w:lineRule="exact"/>
        <w:ind w:right="0" w:firstLine="562"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rPr>
        <w:t>4.是否是35号文中的跨省通办事项：</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5.是否网办：</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right="0" w:firstLine="562"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b/>
          <w:bCs/>
          <w:color w:val="auto"/>
          <w:sz w:val="28"/>
          <w:szCs w:val="28"/>
        </w:rPr>
        <w:t>6.网上办理深度：</w:t>
      </w:r>
      <w:r>
        <w:rPr>
          <w:rFonts w:hint="eastAsia" w:ascii="方正仿宋_GBK" w:hAnsi="方正仿宋_GBK" w:eastAsia="方正仿宋_GBK" w:cs="方正仿宋_GBK"/>
          <w:sz w:val="28"/>
          <w:szCs w:val="28"/>
          <w:lang w:val="en-US" w:eastAsia="zh-CN"/>
        </w:rPr>
        <w:t>无</w:t>
      </w:r>
    </w:p>
    <w:p>
      <w:pPr>
        <w:widowControl w:val="0"/>
        <w:wordWrap/>
        <w:adjustRightInd/>
        <w:snapToGrid/>
        <w:spacing w:before="0" w:after="0" w:line="540" w:lineRule="exact"/>
        <w:ind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7.到办事现场次数：</w:t>
      </w:r>
      <w:r>
        <w:rPr>
          <w:rFonts w:hint="eastAsia" w:ascii="方正仿宋_GBK" w:hAnsi="方正仿宋_GBK" w:eastAsia="方正仿宋_GBK" w:cs="方正仿宋_GBK"/>
          <w:sz w:val="28"/>
          <w:szCs w:val="28"/>
          <w:lang w:val="en-US" w:eastAsia="zh-CN"/>
        </w:rPr>
        <w:t>1</w:t>
      </w:r>
    </w:p>
    <w:p>
      <w:pPr>
        <w:widowControl w:val="0"/>
        <w:wordWrap/>
        <w:adjustRightInd/>
        <w:snapToGrid/>
        <w:spacing w:before="0" w:after="0" w:line="540" w:lineRule="exact"/>
        <w:ind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8.必须现场办理原因说明：</w:t>
      </w:r>
      <w:r>
        <w:rPr>
          <w:rFonts w:hint="eastAsia" w:ascii="方正仿宋_GBK" w:hAnsi="方正仿宋_GBK" w:eastAsia="方正仿宋_GBK" w:cs="方正仿宋_GBK"/>
          <w:sz w:val="28"/>
          <w:szCs w:val="28"/>
          <w:lang w:val="en-US" w:eastAsia="zh-CN"/>
        </w:rPr>
        <w:t>不能网办</w:t>
      </w:r>
    </w:p>
    <w:p>
      <w:pPr>
        <w:widowControl w:val="0"/>
        <w:wordWrap/>
        <w:adjustRightInd/>
        <w:snapToGrid/>
        <w:spacing w:before="0" w:after="0" w:line="540" w:lineRule="exact"/>
        <w:ind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9.是否进驻政务大厅：</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10.办理地点：</w:t>
      </w:r>
      <w:r>
        <w:rPr>
          <w:rFonts w:hint="eastAsia" w:ascii="方正仿宋_GBK" w:hAnsi="方正仿宋_GBK" w:eastAsia="方正仿宋_GBK" w:cs="方正仿宋_GBK"/>
          <w:sz w:val="28"/>
          <w:szCs w:val="28"/>
          <w:lang w:val="en-US" w:eastAsia="zh-CN"/>
        </w:rPr>
        <w:t>详见国家外汇管理局吉林省分局子网站（www.safe.gov.cn/jilin/）“咨询反馈——联系我们”</w:t>
      </w:r>
    </w:p>
    <w:p>
      <w:pPr>
        <w:widowControl w:val="0"/>
        <w:wordWrap/>
        <w:adjustRightInd/>
        <w:snapToGrid/>
        <w:spacing w:before="0" w:after="0" w:line="540" w:lineRule="exact"/>
        <w:ind w:right="0" w:firstLine="562"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rPr>
        <w:t>11.办理时间：</w:t>
      </w:r>
      <w:r>
        <w:rPr>
          <w:rFonts w:hint="eastAsia" w:ascii="方正仿宋_GBK" w:hAnsi="方正仿宋_GBK" w:eastAsia="方正仿宋_GBK" w:cs="方正仿宋_GBK"/>
          <w:sz w:val="28"/>
          <w:szCs w:val="28"/>
          <w:lang w:val="en-US" w:eastAsia="zh-CN"/>
        </w:rPr>
        <w:t>详见国家外汇管理局吉林省分局子网站（www.safe.gov.cn/jilin/）“咨询反馈——联系我们”</w:t>
      </w:r>
    </w:p>
    <w:p>
      <w:pPr>
        <w:widowControl w:val="0"/>
        <w:wordWrap/>
        <w:adjustRightInd/>
        <w:snapToGrid/>
        <w:spacing w:before="0" w:after="0" w:line="540" w:lineRule="exact"/>
        <w:ind w:right="0" w:firstLine="562"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rPr>
        <w:t>12.咨询方式：</w:t>
      </w:r>
      <w:r>
        <w:rPr>
          <w:rFonts w:hint="eastAsia" w:ascii="方正仿宋_GBK" w:hAnsi="方正仿宋_GBK" w:eastAsia="方正仿宋_GBK" w:cs="方正仿宋_GBK"/>
          <w:sz w:val="28"/>
          <w:szCs w:val="28"/>
          <w:lang w:val="en-US" w:eastAsia="zh-CN"/>
        </w:rPr>
        <w:t>详见国家外汇管理局吉林省分局子网站（www.safe.gov.cn/jilin/）“咨询反馈——联系我们”</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rPr>
        <w:t>13.监督投诉方式：</w:t>
      </w:r>
      <w:r>
        <w:rPr>
          <w:rFonts w:hint="eastAsia" w:ascii="方正仿宋_GBK" w:hAnsi="方正仿宋_GBK" w:eastAsia="方正仿宋_GBK" w:cs="方正仿宋_GBK"/>
          <w:sz w:val="28"/>
          <w:szCs w:val="28"/>
          <w:lang w:val="en-US" w:eastAsia="zh-CN"/>
        </w:rPr>
        <w:t>详见国家外汇管理局吉林省分局子网站（www.safe.gov.cn/jilin/）“咨询反馈——联系我们”</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14.是否支持网上支付：</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15.是否支持物流快递：</w:t>
      </w:r>
      <w:r>
        <w:rPr>
          <w:rFonts w:hint="eastAsia" w:ascii="方正仿宋_GBK" w:hAnsi="方正仿宋_GBK" w:eastAsia="方正仿宋_GBK" w:cs="方正仿宋_GBK"/>
          <w:sz w:val="28"/>
          <w:szCs w:val="28"/>
          <w:lang w:val="en-US" w:eastAsia="zh-CN"/>
        </w:rPr>
        <w:t>否</w:t>
      </w:r>
      <w:bookmarkStart w:id="1" w:name="_GoBack"/>
      <w:bookmarkEnd w:id="1"/>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_GBK">
    <w:altName w:val="微软雅黑"/>
    <w:panose1 w:val="00000000000000000000"/>
    <w:charset w:val="86"/>
    <w:family w:val="auto"/>
    <w:pitch w:val="default"/>
    <w:sig w:usb0="00000001" w:usb1="080E0000" w:usb2="00000000" w:usb3="00000000" w:csb0="00040000"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2000000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153"/>
        <w:tab w:val="right" w:pos="8306"/>
      </w:tabs>
      <w:snapToGrid w:val="0"/>
      <w:jc w:val="left"/>
    </w:pPr>
    <w:rPr>
      <w:sz w:val="18"/>
      <w:szCs w:val="18"/>
    </w:rPr>
  </w:style>
  <w:style w:type="paragraph" w:styleId="3">
    <w:name w:val="header"/>
    <w:basedOn w:val="1"/>
    <w:link w:val="5"/>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Char"/>
    <w:basedOn w:val="4"/>
    <w:link w:val="3"/>
    <w:uiPriority w:val="99"/>
    <w:rPr>
      <w:rFonts w:ascii="Calibri" w:hAnsi="Calibri" w:eastAsia="宋体" w:cs="Times New Roman"/>
      <w:sz w:val="18"/>
      <w:szCs w:val="18"/>
    </w:rPr>
  </w:style>
  <w:style w:type="character" w:customStyle="1" w:styleId="6">
    <w:name w:val="页脚 Char Char"/>
    <w:basedOn w:val="4"/>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696</Words>
  <Characters>3968</Characters>
  <Lines>33</Lines>
  <Paragraphs>9</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2023-09-28T08:16:00Z</dcterms:created>
  <dc:creator>kylin</dc:creator>
  <cp:lastModifiedBy>wangxm</cp:lastModifiedBy>
  <dcterms:modified xsi:type="dcterms:W3CDTF">2024-03-26T09:02:11Z</dcterms:modified>
  <dc:title>地（市）分局办理的境内机构开展境外衍生业务登记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