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省级分局和计划单列市分局办理的境内机构开展境外衍生业务登记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【000171107006】</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省级分局和计划单列市分局办理的境内机构开展境外衍生业务登记【000171107006】</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1.省级分局和计划单列市分局办理的境内机构境外衍生业务外汇新办登记(00017110700601)</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2.省级分局和计划单列市分局办理的境内机构境外衍生业务外汇变更登记(00017110700602)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3.省级分局和计划单列市分局办理的境内机构境外衍生业务外汇注销登记(00017110700603)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（1）《国家外汇管理局关于国有企业境外期货套期保值业务外汇管理有关问题的通知》（汇发〔2013〕25号）第一条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（2）《国家外汇管理局行政许可实施办法》（国家外汇管理局公告2021年第1号）全文</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境内机构境外衍生业务外汇登记及变更、注销登记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1.省级分局和计划单列市分局办理的境内机构境外衍生业务外汇新办登记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（1）取得中国证券监督管理委员会颁发的《境外期货业务许可证》；</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（2）属于国有企业；</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（3）开展境外期货套期保值业务。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2.省级分局和计划单列市分局办理的境内机构境外衍生业务外汇变更登记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持证企业年度风险敞口及其他登记事项（如机构名称、机构代码、许可证号等）发生变更。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3.省级分局和计划单列市分局办理的境内机构境外衍生业务外汇注销登记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持证企业境外期货业务终止。</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国有企业境外期货套期保值业务外汇管理有关问题的通知》（汇发〔2013〕25号）第一条、第三条本通知所指的国有企业境外期货套期保值业务（以下简称境外期货业务）是指根据《国有企业境外期货套期保值业务管理办法》（证监发[2001]81号）取得中国证券监督管理委员会（以下简称中国证监会）颁发的《境外期货业务许可证》的国有企业（以下简称持证企业）所开展的相关业务。国家外汇管理局及其分支机构（以下简称外汇局）依法对持证企业境外期货业务相关的外汇登记、资金汇出入、结汇及购汇等实施监督管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1.省级分局和计划单列市分局办理的境内机构境外衍生业务外汇新办登记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（2）加盖公章的书面申请原件1份（附《境内机构境外衍生业务登记申请表》）。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证监部门（证监会或地方证监局）关于国有企业境外期货业务的证明性文件（或无异议函）或国资委关于中央企业从事境外金融衍生业务的证明性文件（或无异议函）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（4）加盖公章的中央企业集团内成员公司另需提交中央企业的额度分配文件原件1份。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2.省级分局和计划单列市分局办理的境内机构境外衍生业务外汇变更登记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（2）加盖公章的书面申请原件1份（附《境内机构境外衍生业务登记申请表》）。</w:t>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（3）证监部门（证监会或地方证监局）或国资委关于境内机构境外衍生业务变更（注销）的证明性文件或无异议函原件及加盖公章的复印件各1份（验原件，留存复印件）。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（4）加盖公章的中央企业对集团内成员公司额度分配变更的相关证明性文件（中央企业集团内成员公司分配的对外付汇额度发生变更的提供）原件1份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3.省级分局和计划单列市分局办理的境内机构境外衍生业务外汇注销登记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（3）《境内机构境外衍生业务登记申请表》原件1份。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（4）相关证明材料原件及加盖公章的复印件各1份。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国有企业境外期货套期保值业务外汇管理有关问题的通知》（汇发〔2013〕25号）第二条、第三条持证企业应在本通知下发后30日内，持以下材料到企业注册地国家外汇管理局分支机构（以下简称所在地外汇局）重新办理境外期货业务外汇登记：（一）填写完备并加盖公章的《境内机构境外衍生业务登记申请表》（以下简称《申请表》，见附件1）；（二）中国证监会颁发的《境外期货业务许可证》复印件及核定的年度风险敞口批复文件......所在地外汇局审核材料无误后为企业办理外汇登记，依据中国证监会批复的企业年度风险敞口确认企业对外付汇额度，并向企业出具相关业务登记凭证。</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2" w:firstLineChars="200"/>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bookmarkStart w:id="0" w:name="_Toc625546740_WPSOffice_Level1"/>
      <w:r>
        <w:rPr>
          <w:rFonts w:hint="eastAsia" w:ascii="黑体" w:hAnsi="黑体" w:eastAsia="黑体" w:cs="黑体"/>
          <w:b w:val="0"/>
          <w:bCs w:val="0"/>
          <w:color w:val="auto"/>
          <w:sz w:val="28"/>
          <w:szCs w:val="28"/>
        </w:rPr>
        <w:t>十五、业务办理信息</w:t>
      </w:r>
      <w:bookmarkEnd w:id="0"/>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1</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不能网办</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吉林省长春市人民大街2133号 吉林省金融大厦3楼外汇行政审批窗口</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周一至周五（法定节假日除外）</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上午8：30～11：30，下午13：30～17：00</w:t>
      </w:r>
    </w:p>
    <w:p>
      <w:pPr>
        <w:pStyle w:val="2"/>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12.咨询方式：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咨询电话：外汇行政审批窗口：0431-88945674</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经常项目业务：0431-88572449</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资本项目业务：0431-88572930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国际收支业务：0431-88572482</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13.监督投诉方式：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（1）投诉电话：0431-88572601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（2）投诉网站：国家外汇管理局吉林省分局子网站</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（www.safe.gov.cn/jilin/）</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pPr>
      <w:r>
        <w:rPr>
          <w:rFonts w:hint="eastAsia" w:ascii="仿宋" w:hAnsi="仿宋" w:eastAsia="仿宋" w:cs="仿宋"/>
          <w:b/>
          <w:bCs/>
          <w:color w:val="auto"/>
          <w:sz w:val="28"/>
          <w:szCs w:val="28"/>
        </w:rPr>
        <w:t>15.是否支持物流快递：</w:t>
      </w:r>
      <w:r>
        <w:rPr>
          <w:rFonts w:hint="eastAsia" w:ascii="方正仿宋_GBK" w:hAnsi="方正仿宋_GBK" w:eastAsia="方正仿宋_GBK" w:cs="方正仿宋_GBK"/>
          <w:sz w:val="28"/>
          <w:szCs w:val="28"/>
          <w:lang w:val="en-US" w:eastAsia="zh-CN"/>
        </w:rPr>
        <w:t>否</w:t>
      </w:r>
      <w:bookmarkStart w:id="1" w:name="_GoBack"/>
      <w:bookmarkEnd w:id="1"/>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toc 3"/>
    <w:basedOn w:val="1"/>
    <w:next w:val="1"/>
    <w:semiHidden/>
    <w:unhideWhenUsed/>
    <w:uiPriority w:val="39"/>
    <w:pPr>
      <w:ind w:left="840" w:leftChars="400"/>
    </w:pPr>
  </w:style>
  <w:style w:type="paragraph" w:styleId="3">
    <w:name w:val="footer"/>
    <w:basedOn w:val="1"/>
    <w:link w:val="7"/>
    <w:semiHidden/>
    <w:unhideWhenUsed/>
    <w:uiPriority w:val="99"/>
    <w:pPr>
      <w:tabs>
        <w:tab w:val="center" w:pos="4153"/>
        <w:tab w:val="right" w:pos="8306"/>
      </w:tabs>
      <w:snapToGrid w:val="0"/>
      <w:jc w:val="left"/>
    </w:pPr>
    <w:rPr>
      <w:sz w:val="18"/>
      <w:szCs w:val="18"/>
    </w:rPr>
  </w:style>
  <w:style w:type="paragraph" w:styleId="4">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4"/>
    <w:uiPriority w:val="99"/>
    <w:rPr>
      <w:rFonts w:ascii="Calibri" w:hAnsi="Calibri" w:eastAsia="宋体" w:cs="Times New Roman"/>
      <w:sz w:val="18"/>
      <w:szCs w:val="18"/>
    </w:rPr>
  </w:style>
  <w:style w:type="character" w:customStyle="1" w:styleId="7">
    <w:name w:val="页脚 Char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706</Words>
  <Characters>4030</Characters>
  <Lines>33</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2023-09-28T08:06:00Z</dcterms:created>
  <dc:creator>kylin</dc:creator>
  <cp:lastModifiedBy>wangxm</cp:lastModifiedBy>
  <dcterms:modified xsi:type="dcterms:W3CDTF">2024-03-27T02:45:23Z</dcterms:modified>
  <dc:title>省级分局和计划单列市分局办理的境内机构开展境外衍生业务登记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