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color w:val="000000"/>
          <w:sz w:val="48"/>
          <w:szCs w:val="48"/>
        </w:rPr>
      </w:pPr>
      <w:r>
        <w:rPr>
          <w:rFonts w:ascii="Times New Roman" w:hAnsi="Times New Roman" w:eastAsia="黑体" w:cs="Times New Roman"/>
          <w:color w:val="000000"/>
          <w:sz w:val="48"/>
          <w:szCs w:val="48"/>
        </w:rPr>
        <w:t>编号：57004</w:t>
      </w:r>
      <w:r>
        <w:rPr>
          <w:rFonts w:hint="eastAsia" w:ascii="Times New Roman" w:hAnsi="Times New Roman" w:eastAsia="黑体" w:cs="Times New Roman"/>
          <w:color w:val="000000"/>
          <w:sz w:val="48"/>
          <w:szCs w:val="48"/>
        </w:rPr>
        <w:t xml:space="preserve">                 </w:t>
      </w:r>
      <w:r>
        <w:rPr>
          <w:rFonts w:ascii="Times New Roman" w:hAnsi="Times New Roman" w:eastAsia="黑体" w:cs="Times New Roman"/>
          <w:color w:val="000000"/>
          <w:kern w:val="2"/>
          <w:sz w:val="48"/>
          <w:szCs w:val="48"/>
          <w:lang w:val="en-US" w:eastAsia="zh-CN" w:bidi="ar-SA"/>
        </w:rPr>
        <w:pict>
          <v:shape id="图片框 1065" o:spid="_x0000_s1026" type="#_x0000_t75" style="height:70.15pt;width:86.9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52"/>
          <w:szCs w:val="52"/>
        </w:rPr>
      </w:pP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“跨境从事有价证券、衍生产品发行、交易外汇登记”行政审批</w:t>
      </w: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服务指南</w:t>
      </w: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发布机构：国家外汇管理局</w:t>
      </w:r>
      <w:r>
        <w:rPr>
          <w:rFonts w:hint="eastAsia" w:ascii="Times New Roman" w:hAnsi="Times New Roman" w:eastAsia="仿宋_GB2312" w:cs="Times New Roman"/>
          <w:color w:val="000000"/>
          <w:sz w:val="30"/>
          <w:szCs w:val="30"/>
        </w:rPr>
        <w:t>吉林省分局</w:t>
      </w:r>
    </w:p>
    <w:p>
      <w:pPr>
        <w:ind w:right="300"/>
        <w:rPr>
          <w:rFonts w:ascii="Times New Roman" w:hAnsi="Times New Roman" w:eastAsia="仿宋_GB2312" w:cs="Times New Roman"/>
          <w:color w:val="000000"/>
          <w:sz w:val="30"/>
          <w:szCs w:val="30"/>
        </w:rPr>
      </w:pPr>
    </w:p>
    <w:p>
      <w:pPr>
        <w:ind w:right="300"/>
        <w:rPr>
          <w:rFonts w:ascii="Times New Roman" w:hAnsi="Times New Roman" w:eastAsia="仿宋_GB2312" w:cs="Times New Roman"/>
          <w:color w:val="000000"/>
          <w:sz w:val="30"/>
          <w:szCs w:val="30"/>
        </w:rPr>
        <w:sectPr>
          <w:footerReference r:id="rId5" w:type="first"/>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项目编号：57004；</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审批类别：行政许可；</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审查类型：前审后批。</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二、适用范围</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三、设定依据</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3.《H股公司境内未上市股份申请“全流通”业务指引》（证监会公告〔201</w:t>
      </w:r>
      <w:r>
        <w:rPr>
          <w:rFonts w:hint="eastAsia" w:ascii="Times New Roman" w:hAnsi="Times New Roman" w:eastAsia="仿宋_GB2312" w:cs="Times New Roman"/>
          <w:color w:val="000000"/>
          <w:sz w:val="30"/>
          <w:szCs w:val="30"/>
        </w:rPr>
        <w:t>9</w:t>
      </w:r>
      <w:r>
        <w:rPr>
          <w:rFonts w:ascii="Times New Roman" w:hAnsi="Times New Roman" w:eastAsia="仿宋_GB2312" w:cs="Times New Roman"/>
          <w:color w:val="000000"/>
          <w:sz w:val="30"/>
          <w:szCs w:val="30"/>
        </w:rPr>
        <w:t>〕22号）。</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 《存托凭证跨境资金管理办法（试行）》（中国人民银行 国家外汇管理局公告〔201</w:t>
      </w:r>
      <w:r>
        <w:rPr>
          <w:rFonts w:hint="eastAsia" w:ascii="Times New Roman" w:hAnsi="Times New Roman" w:eastAsia="仿宋_GB2312" w:cs="Times New Roman"/>
          <w:color w:val="000000"/>
          <w:sz w:val="30"/>
          <w:szCs w:val="30"/>
        </w:rPr>
        <w:t>9</w:t>
      </w:r>
      <w:r>
        <w:rPr>
          <w:rFonts w:ascii="Times New Roman" w:hAnsi="Times New Roman" w:eastAsia="仿宋_GB2312" w:cs="Times New Roman"/>
          <w:color w:val="000000"/>
          <w:sz w:val="30"/>
          <w:szCs w:val="30"/>
        </w:rPr>
        <w:t>〕第8号）。</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（二）受理机构</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仿宋_GB2312" w:cs="Times New Roman"/>
          <w:color w:val="000000"/>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无数量限制。</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（六）申请材料</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1</w:t>
      </w:r>
      <w:r>
        <w:rPr>
          <w:rFonts w:hint="eastAsia" w:ascii="Times New Roman" w:hAnsi="Times New Roman" w:eastAsia="黑体" w:cs="Times New Roman"/>
          <w:color w:val="000000"/>
          <w:sz w:val="30"/>
          <w:szCs w:val="30"/>
        </w:rPr>
        <w:t>.</w:t>
      </w:r>
      <w:r>
        <w:rPr>
          <w:rFonts w:ascii="Times New Roman" w:hAnsi="Times New Roman" w:eastAsia="黑体" w:cs="Times New Roman"/>
          <w:color w:val="000000"/>
          <w:sz w:val="30"/>
          <w:szCs w:val="30"/>
        </w:rPr>
        <w:t>境内公司境外上市</w:t>
      </w:r>
      <w:r>
        <w:rPr>
          <w:rFonts w:hint="eastAsia" w:ascii="Times New Roman" w:hAnsi="Times New Roman" w:eastAsia="黑体" w:cs="Times New Roman"/>
          <w:color w:val="000000"/>
          <w:sz w:val="30"/>
          <w:szCs w:val="30"/>
        </w:rPr>
        <w:t>或发行境外存托凭证</w:t>
      </w:r>
      <w:r>
        <w:rPr>
          <w:rFonts w:ascii="Times New Roman" w:hAnsi="Times New Roman" w:eastAsia="黑体" w:cs="Times New Roman"/>
          <w:color w:val="000000"/>
          <w:sz w:val="30"/>
          <w:szCs w:val="30"/>
        </w:rPr>
        <w:t>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中国证监会许可境内公司境外上市</w:t>
            </w:r>
            <w:r>
              <w:rPr>
                <w:rFonts w:hint="eastAsia" w:ascii="Times New Roman" w:hAnsi="Times New Roman" w:eastAsia="仿宋_GB2312" w:cs="Times New Roman"/>
                <w:color w:val="000000"/>
                <w:kern w:val="0"/>
                <w:sz w:val="24"/>
                <w:szCs w:val="24"/>
              </w:rPr>
              <w:t>或发行境外存托凭证</w:t>
            </w:r>
            <w:r>
              <w:rPr>
                <w:rFonts w:ascii="Times New Roman" w:hAnsi="Times New Roman" w:eastAsia="仿宋_GB2312" w:cs="Times New Roman"/>
                <w:color w:val="000000"/>
                <w:kern w:val="0"/>
                <w:sz w:val="24"/>
                <w:szCs w:val="24"/>
              </w:rPr>
              <w:t>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验原件，留存加盖公章的复印件</w:t>
            </w:r>
          </w:p>
        </w:tc>
      </w:tr>
      <w:tr>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国家外汇管理局关于境内投资者参与境外上市购付汇的批准文件（如有）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验原件，留存加盖公章的复印件</w:t>
            </w:r>
          </w:p>
        </w:tc>
      </w:tr>
    </w:tbl>
    <w:p>
      <w:pPr>
        <w:ind w:right="-58"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2</w:t>
      </w:r>
      <w:r>
        <w:rPr>
          <w:rFonts w:hint="eastAsia" w:ascii="Times New Roman" w:hAnsi="Times New Roman" w:eastAsia="黑体" w:cs="Times New Roman"/>
          <w:color w:val="000000"/>
          <w:sz w:val="30"/>
          <w:szCs w:val="30"/>
        </w:rPr>
        <w:t>.</w:t>
      </w:r>
      <w:r>
        <w:rPr>
          <w:rFonts w:ascii="Times New Roman" w:hAnsi="Times New Roman" w:eastAsia="黑体" w:cs="Times New Roman"/>
          <w:color w:val="000000"/>
          <w:sz w:val="30"/>
          <w:szCs w:val="30"/>
        </w:rPr>
        <w:t>H</w:t>
      </w:r>
      <w:r>
        <w:rPr>
          <w:rFonts w:hint="eastAsia" w:ascii="Times New Roman" w:hAnsi="Times New Roman" w:eastAsia="黑体" w:cs="Times New Roman"/>
          <w:color w:val="000000"/>
          <w:sz w:val="30"/>
          <w:szCs w:val="30"/>
        </w:rPr>
        <w:t>股</w:t>
      </w:r>
      <w:r>
        <w:rPr>
          <w:rFonts w:ascii="Times New Roman" w:hAnsi="Times New Roman" w:eastAsia="黑体" w:cs="Times New Roman"/>
          <w:color w:val="000000"/>
          <w:sz w:val="30"/>
          <w:szCs w:val="30"/>
        </w:rPr>
        <w:t>“</w:t>
      </w:r>
      <w:r>
        <w:rPr>
          <w:rFonts w:hint="eastAsia" w:ascii="Times New Roman" w:hAnsi="Times New Roman" w:eastAsia="黑体" w:cs="Times New Roman"/>
          <w:color w:val="000000"/>
          <w:sz w:val="30"/>
          <w:szCs w:val="30"/>
        </w:rPr>
        <w:t>全流通</w:t>
      </w:r>
      <w:r>
        <w:rPr>
          <w:rFonts w:ascii="Times New Roman" w:hAnsi="Times New Roman" w:eastAsia="黑体" w:cs="Times New Roman"/>
          <w:color w:val="000000"/>
          <w:sz w:val="30"/>
          <w:szCs w:val="30"/>
        </w:rPr>
        <w:t>”</w:t>
      </w:r>
      <w:r>
        <w:rPr>
          <w:rFonts w:hint="eastAsia" w:ascii="Times New Roman" w:hAnsi="Times New Roman" w:eastAsia="黑体" w:cs="Times New Roman"/>
          <w:color w:val="000000"/>
          <w:sz w:val="30"/>
          <w:szCs w:val="30"/>
        </w:rPr>
        <w:t>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中国证监会批准参加</w:t>
            </w:r>
            <w:r>
              <w:rPr>
                <w:rFonts w:ascii="Times New Roman" w:hAnsi="Times New Roman" w:eastAsia="仿宋_GB2312" w:cs="Times New Roman"/>
                <w:color w:val="000000"/>
                <w:kern w:val="0"/>
                <w:sz w:val="24"/>
                <w:szCs w:val="24"/>
              </w:rPr>
              <w:t>H</w:t>
            </w:r>
            <w:r>
              <w:rPr>
                <w:rFonts w:hint="eastAsia" w:ascii="Times New Roman" w:hAnsi="Times New Roman" w:eastAsia="仿宋_GB2312" w:cs="Times New Roman"/>
                <w:color w:val="000000"/>
                <w:kern w:val="0"/>
                <w:sz w:val="24"/>
                <w:szCs w:val="24"/>
              </w:rPr>
              <w:t>股</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全流通</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境外上市公司关于开展</w:t>
            </w:r>
            <w:r>
              <w:rPr>
                <w:rFonts w:ascii="Times New Roman" w:hAnsi="Times New Roman" w:eastAsia="仿宋_GB2312" w:cs="Times New Roman"/>
                <w:color w:val="000000"/>
                <w:kern w:val="0"/>
                <w:sz w:val="24"/>
                <w:szCs w:val="24"/>
              </w:rPr>
              <w:t>H</w:t>
            </w:r>
            <w:r>
              <w:rPr>
                <w:rFonts w:hint="eastAsia" w:ascii="Times New Roman" w:hAnsi="Times New Roman" w:eastAsia="仿宋_GB2312" w:cs="Times New Roman"/>
                <w:color w:val="000000"/>
                <w:kern w:val="0"/>
                <w:sz w:val="24"/>
                <w:szCs w:val="24"/>
              </w:rPr>
              <w:t>股</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全流通</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bl>
    <w:p>
      <w:pPr>
        <w:ind w:right="-58"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3</w:t>
      </w:r>
      <w:r>
        <w:rPr>
          <w:rFonts w:hint="eastAsia" w:ascii="Times New Roman" w:hAnsi="Times New Roman" w:eastAsia="黑体" w:cs="Times New Roman"/>
          <w:color w:val="000000"/>
          <w:sz w:val="30"/>
          <w:szCs w:val="30"/>
        </w:rPr>
        <w:t>.</w:t>
      </w:r>
      <w:r>
        <w:rPr>
          <w:rFonts w:ascii="Times New Roman" w:hAnsi="Times New Roman" w:eastAsia="黑体" w:cs="Times New Roman"/>
          <w:color w:val="000000"/>
          <w:sz w:val="30"/>
          <w:szCs w:val="30"/>
        </w:rPr>
        <w:t>境内公司境外上市其他变更登记申请材料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书面申请</w:t>
            </w:r>
            <w:r>
              <w:rPr>
                <w:rFonts w:hint="eastAsia" w:ascii="Times New Roman" w:hAnsi="Times New Roman" w:eastAsia="仿宋_GB2312" w:cs="Times New Roman"/>
                <w:color w:val="000000"/>
                <w:kern w:val="0"/>
                <w:sz w:val="24"/>
                <w:szCs w:val="24"/>
              </w:rPr>
              <w:t>（含获准H股“全流通”后，参与“全流通”的境内股东H股持股信息）</w:t>
            </w:r>
            <w:r>
              <w:rPr>
                <w:rFonts w:ascii="Times New Roman" w:hAnsi="Times New Roman" w:eastAsia="仿宋_GB2312" w:cs="Times New Roman"/>
                <w:color w:val="000000"/>
                <w:kern w:val="0"/>
                <w:sz w:val="24"/>
                <w:szCs w:val="24"/>
              </w:rPr>
              <w:t>，并附《境外上市登记表》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变更事项相关公告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4</w:t>
      </w:r>
      <w:r>
        <w:rPr>
          <w:rFonts w:hint="eastAsia" w:ascii="Times New Roman" w:hAnsi="Times New Roman" w:eastAsia="黑体" w:cs="Times New Roman"/>
          <w:color w:val="000000"/>
          <w:sz w:val="30"/>
          <w:szCs w:val="30"/>
        </w:rPr>
        <w:t>.</w:t>
      </w:r>
      <w:r>
        <w:rPr>
          <w:rFonts w:ascii="Times New Roman" w:hAnsi="Times New Roman" w:eastAsia="黑体" w:cs="Times New Roman"/>
          <w:color w:val="000000"/>
          <w:sz w:val="30"/>
          <w:szCs w:val="30"/>
        </w:rPr>
        <w:t>境内公司境外上市注销登记申请材料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color w:val="000000"/>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主管部门关于注销事项的相关批复或备案文件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color w:val="000000"/>
          <w:sz w:val="30"/>
          <w:szCs w:val="30"/>
        </w:rPr>
      </w:pPr>
    </w:p>
    <w:p>
      <w:pPr>
        <w:adjustRightInd w:val="0"/>
        <w:snapToGrid w:val="0"/>
        <w:spacing w:line="540" w:lineRule="exact"/>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（七）申请接受</w:t>
      </w:r>
    </w:p>
    <w:p>
      <w:pPr>
        <w:adjustRightInd w:val="0"/>
        <w:snapToGrid w:val="0"/>
        <w:spacing w:line="54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申请人可通过所在地外汇局业务窗口</w:t>
      </w:r>
      <w:r>
        <w:rPr>
          <w:rFonts w:hint="eastAsia" w:ascii="Times New Roman" w:hAnsi="Times New Roman" w:eastAsia="仿宋_GB2312" w:cs="Times New Roman"/>
          <w:color w:val="000000"/>
          <w:sz w:val="30"/>
          <w:szCs w:val="30"/>
        </w:rPr>
        <w:t>或国家外汇管理局政务服务网上办理系统</w:t>
      </w:r>
      <w:r>
        <w:rPr>
          <w:rFonts w:ascii="Times New Roman" w:hAnsi="Times New Roman" w:eastAsia="仿宋_GB2312" w:cs="Times New Roman"/>
          <w:color w:val="000000"/>
          <w:sz w:val="30"/>
          <w:szCs w:val="30"/>
        </w:rPr>
        <w:t>提交材料</w:t>
      </w:r>
      <w:r>
        <w:rPr>
          <w:rFonts w:hint="eastAsia" w:ascii="Times New Roman" w:hAnsi="Times New Roman" w:eastAsia="仿宋_GB2312" w:cs="Times New Roman"/>
          <w:color w:val="000000"/>
          <w:sz w:val="30"/>
          <w:szCs w:val="30"/>
        </w:rPr>
        <w:t>。</w:t>
      </w:r>
    </w:p>
    <w:p>
      <w:pPr>
        <w:adjustRightInd w:val="0"/>
        <w:snapToGrid w:val="0"/>
        <w:spacing w:line="540" w:lineRule="exact"/>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（八）基本办理流程</w:t>
      </w:r>
    </w:p>
    <w:p>
      <w:pPr>
        <w:tabs>
          <w:tab w:val="left" w:pos="615"/>
        </w:tabs>
        <w:adjustRightInd w:val="0"/>
        <w:snapToGrid w:val="0"/>
        <w:spacing w:line="54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ab/>
      </w:r>
      <w:r>
        <w:rPr>
          <w:rFonts w:ascii="Times New Roman" w:hAnsi="Times New Roman" w:eastAsia="仿宋_GB2312" w:cs="Times New Roman"/>
          <w:color w:val="000000"/>
          <w:sz w:val="30"/>
          <w:szCs w:val="30"/>
        </w:rPr>
        <w:t>1.申请人提交申请；</w:t>
      </w:r>
    </w:p>
    <w:p>
      <w:pPr>
        <w:adjustRightInd w:val="0"/>
        <w:snapToGrid w:val="0"/>
        <w:spacing w:line="540" w:lineRule="exact"/>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（九）办理方式</w:t>
      </w:r>
    </w:p>
    <w:p>
      <w:pPr>
        <w:adjustRightInd w:val="0"/>
        <w:snapToGrid w:val="0"/>
        <w:spacing w:line="540" w:lineRule="exact"/>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（十）审批时限</w:t>
      </w:r>
    </w:p>
    <w:p>
      <w:pPr>
        <w:adjustRightInd w:val="0"/>
        <w:snapToGrid w:val="0"/>
        <w:spacing w:line="540" w:lineRule="exact"/>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（十一）审批收费依据及标准</w:t>
      </w:r>
    </w:p>
    <w:p>
      <w:pPr>
        <w:adjustRightInd w:val="0"/>
        <w:snapToGrid w:val="0"/>
        <w:spacing w:line="540" w:lineRule="exact"/>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不收费。</w:t>
      </w:r>
    </w:p>
    <w:p>
      <w:pPr>
        <w:adjustRightInd w:val="0"/>
        <w:snapToGrid w:val="0"/>
        <w:spacing w:line="540" w:lineRule="exact"/>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（十二）审批结果</w:t>
      </w:r>
    </w:p>
    <w:p>
      <w:pPr>
        <w:adjustRightInd w:val="0"/>
        <w:snapToGrid w:val="0"/>
        <w:spacing w:line="540" w:lineRule="exact"/>
        <w:ind w:firstLine="600"/>
        <w:rPr>
          <w:rFonts w:ascii="Times New Roman" w:hAnsi="Times New Roman" w:eastAsia="仿宋_GB2312" w:cs="Times New Roman"/>
          <w:color w:val="000000"/>
          <w:sz w:val="30"/>
        </w:rPr>
      </w:pPr>
      <w:r>
        <w:rPr>
          <w:rFonts w:ascii="Times New Roman" w:hAnsi="Times New Roman" w:eastAsia="仿宋_GB2312" w:cs="Times New Roman"/>
          <w:color w:val="000000"/>
          <w:sz w:val="30"/>
        </w:rPr>
        <w:t>出具相关业务办理凭证。</w:t>
      </w:r>
    </w:p>
    <w:p>
      <w:pPr>
        <w:adjustRightInd w:val="0"/>
        <w:snapToGrid w:val="0"/>
        <w:spacing w:line="540" w:lineRule="exact"/>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（十三）结果送达</w:t>
      </w:r>
    </w:p>
    <w:p>
      <w:pPr>
        <w:adjustRightInd w:val="0"/>
        <w:snapToGrid w:val="0"/>
        <w:spacing w:line="540" w:lineRule="exact"/>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（十四）申请人权利和义务</w:t>
      </w:r>
    </w:p>
    <w:p>
      <w:pPr>
        <w:adjustRightInd w:val="0"/>
        <w:snapToGrid w:val="0"/>
        <w:spacing w:line="540" w:lineRule="exact"/>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color w:val="000000"/>
          <w:sz w:val="30"/>
          <w:szCs w:val="30"/>
        </w:rPr>
      </w:pPr>
      <w:r>
        <w:rPr>
          <w:rFonts w:ascii="Times New Roman" w:hAnsi="Times New Roman" w:eastAsia="黑体" w:cs="Times New Roman"/>
          <w:color w:val="000000"/>
          <w:sz w:val="30"/>
          <w:szCs w:val="30"/>
        </w:rPr>
        <w:t>（十五）咨询途径、监督和投诉</w:t>
      </w:r>
    </w:p>
    <w:p>
      <w:pPr>
        <w:ind w:firstLine="600"/>
        <w:rPr>
          <w:rFonts w:eastAsia="仿宋_GB2312"/>
          <w:color w:val="000000"/>
          <w:sz w:val="30"/>
          <w:szCs w:val="30"/>
        </w:rPr>
      </w:pPr>
      <w:r>
        <w:rPr>
          <w:rFonts w:eastAsia="仿宋_GB2312"/>
          <w:color w:val="000000"/>
          <w:sz w:val="30"/>
          <w:szCs w:val="30"/>
        </w:rPr>
        <w:t>向国家外汇管理局咨询、监督投诉等可通过国家外汇管理局官方互联网站公众交流栏目进行</w:t>
      </w:r>
      <w:r>
        <w:rPr>
          <w:rFonts w:hint="eastAsia" w:eastAsia="仿宋_GB2312"/>
          <w:color w:val="000000"/>
          <w:sz w:val="30"/>
          <w:szCs w:val="30"/>
        </w:rPr>
        <w:t>，</w:t>
      </w:r>
      <w:r>
        <w:rPr>
          <w:rFonts w:eastAsia="仿宋_GB2312"/>
          <w:color w:val="000000"/>
          <w:sz w:val="30"/>
          <w:szCs w:val="30"/>
        </w:rPr>
        <w:t>网址为</w:t>
      </w:r>
      <w:r>
        <w:rPr>
          <w:color w:val="000000"/>
        </w:rPr>
        <w:fldChar w:fldCharType="begin"/>
      </w:r>
      <w:r>
        <w:rPr>
          <w:color w:val="000000"/>
        </w:rPr>
        <w:instrText xml:space="preserve">HYPERLINK "http://www.safe.gov.cn/" </w:instrText>
      </w:r>
      <w:r>
        <w:rPr>
          <w:color w:val="000000"/>
        </w:rPr>
        <w:fldChar w:fldCharType="separate"/>
      </w:r>
      <w:r>
        <w:rPr>
          <w:rFonts w:eastAsia="仿宋_GB2312"/>
          <w:color w:val="000000"/>
          <w:spacing w:val="-4"/>
          <w:sz w:val="30"/>
          <w:szCs w:val="30"/>
        </w:rPr>
        <w:t>www.safe.gov.cn</w:t>
      </w:r>
      <w:r>
        <w:rPr>
          <w:color w:val="000000"/>
        </w:rPr>
        <w:fldChar w:fldCharType="end"/>
      </w:r>
      <w:r>
        <w:rPr>
          <w:rFonts w:eastAsia="仿宋_GB2312"/>
          <w:color w:val="000000"/>
          <w:sz w:val="30"/>
          <w:szCs w:val="30"/>
        </w:rPr>
        <w:t>。</w:t>
      </w:r>
    </w:p>
    <w:p>
      <w:pPr>
        <w:ind w:firstLine="600"/>
        <w:rPr>
          <w:rFonts w:eastAsia="仿宋_GB2312"/>
          <w:color w:val="000000"/>
          <w:sz w:val="30"/>
          <w:szCs w:val="30"/>
        </w:rPr>
      </w:pPr>
      <w:r>
        <w:rPr>
          <w:rFonts w:eastAsia="仿宋_GB2312"/>
          <w:color w:val="000000"/>
          <w:sz w:val="30"/>
          <w:szCs w:val="30"/>
        </w:rPr>
        <w:t>向外汇局</w:t>
      </w:r>
      <w:r>
        <w:rPr>
          <w:rFonts w:hint="eastAsia" w:eastAsia="仿宋_GB2312"/>
          <w:color w:val="000000"/>
          <w:sz w:val="30"/>
          <w:szCs w:val="30"/>
        </w:rPr>
        <w:t>吉林省分局及</w:t>
      </w:r>
      <w:r>
        <w:rPr>
          <w:rFonts w:hint="eastAsia" w:eastAsia="仿宋_GB2312"/>
          <w:color w:val="000000"/>
          <w:sz w:val="30"/>
          <w:szCs w:val="30"/>
          <w:lang w:eastAsia="zh-CN"/>
        </w:rPr>
        <w:t>分支机构</w:t>
      </w:r>
      <w:r>
        <w:rPr>
          <w:rFonts w:eastAsia="仿宋_GB2312"/>
          <w:color w:val="000000"/>
          <w:sz w:val="30"/>
          <w:szCs w:val="30"/>
        </w:rPr>
        <w:t>进行咨询、监督和投诉等可通过</w:t>
      </w:r>
      <w:r>
        <w:rPr>
          <w:rFonts w:hint="eastAsia" w:eastAsia="仿宋_GB2312"/>
          <w:color w:val="000000"/>
          <w:sz w:val="30"/>
          <w:szCs w:val="30"/>
        </w:rPr>
        <w:t>国家外汇管理局吉林省分局官方互联网站“咨询反馈”栏目进行，网址为</w:t>
      </w:r>
      <w:r>
        <w:rPr>
          <w:color w:val="000000"/>
        </w:rPr>
        <w:fldChar w:fldCharType="begin"/>
      </w:r>
      <w:r>
        <w:rPr>
          <w:color w:val="000000"/>
        </w:rPr>
        <w:instrText xml:space="preserve">HYPERLINK "http://www.safe.gov.cn/jilin" </w:instrText>
      </w:r>
      <w:r>
        <w:rPr>
          <w:color w:val="000000"/>
        </w:rPr>
        <w:fldChar w:fldCharType="separate"/>
      </w:r>
      <w:r>
        <w:rPr>
          <w:rStyle w:val="15"/>
          <w:rFonts w:eastAsia="仿宋_GB2312"/>
          <w:color w:val="000000"/>
          <w:sz w:val="30"/>
          <w:szCs w:val="30"/>
        </w:rPr>
        <w:t>www.safe.gov.cn/jilin</w:t>
      </w:r>
      <w:r>
        <w:rPr>
          <w:color w:val="000000"/>
        </w:rPr>
        <w:fldChar w:fldCharType="end"/>
      </w:r>
      <w:r>
        <w:rPr>
          <w:rFonts w:hint="eastAsia" w:eastAsia="仿宋_GB2312"/>
          <w:color w:val="000000"/>
          <w:sz w:val="30"/>
          <w:szCs w:val="30"/>
        </w:rPr>
        <w:t>。也可通过国家外汇管理局吉林省分局官方互联网站“咨询反馈——联系我们”栏目中</w:t>
      </w:r>
      <w:r>
        <w:rPr>
          <w:rFonts w:eastAsia="仿宋_GB2312"/>
          <w:color w:val="000000"/>
          <w:sz w:val="30"/>
          <w:szCs w:val="30"/>
        </w:rPr>
        <w:t>公布的电话进行。</w:t>
      </w:r>
    </w:p>
    <w:p>
      <w:pPr>
        <w:ind w:firstLine="600"/>
        <w:rPr>
          <w:rFonts w:eastAsia="仿宋_GB2312"/>
          <w:b/>
          <w:color w:val="000000"/>
          <w:sz w:val="30"/>
          <w:szCs w:val="30"/>
        </w:rPr>
      </w:pPr>
      <w:r>
        <w:rPr>
          <w:rFonts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rPr>
        <w:t>六</w:t>
      </w:r>
      <w:r>
        <w:rPr>
          <w:rFonts w:ascii="Times New Roman" w:hAnsi="Times New Roman" w:eastAsia="黑体" w:cs="Times New Roman"/>
          <w:color w:val="000000"/>
          <w:sz w:val="30"/>
          <w:szCs w:val="30"/>
        </w:rPr>
        <w:t>）办公地址和时间</w:t>
      </w:r>
    </w:p>
    <w:p>
      <w:pPr>
        <w:ind w:firstLine="600" w:firstLineChars="200"/>
        <w:rPr>
          <w:rFonts w:eastAsia="仿宋_GB2312"/>
          <w:color w:val="000000"/>
          <w:sz w:val="30"/>
          <w:szCs w:val="30"/>
        </w:rPr>
      </w:pPr>
      <w:r>
        <w:rPr>
          <w:rFonts w:eastAsia="仿宋_GB2312"/>
          <w:color w:val="000000"/>
          <w:sz w:val="30"/>
          <w:szCs w:val="30"/>
        </w:rPr>
        <w:t>该项行政许可具体由国家外汇管理局</w:t>
      </w:r>
      <w:r>
        <w:rPr>
          <w:rFonts w:hint="eastAsia" w:eastAsia="仿宋_GB2312"/>
          <w:color w:val="000000"/>
          <w:sz w:val="30"/>
          <w:szCs w:val="30"/>
          <w:lang w:eastAsia="zh-CN"/>
        </w:rPr>
        <w:t>吉林省分局及分支机构</w:t>
      </w:r>
      <w:r>
        <w:rPr>
          <w:rFonts w:eastAsia="仿宋_GB2312"/>
          <w:color w:val="000000"/>
          <w:sz w:val="30"/>
          <w:szCs w:val="30"/>
        </w:rPr>
        <w:t>办理，</w:t>
      </w:r>
      <w:r>
        <w:rPr>
          <w:rFonts w:hint="eastAsia" w:eastAsia="仿宋_GB2312"/>
          <w:color w:val="000000"/>
          <w:sz w:val="30"/>
          <w:szCs w:val="30"/>
        </w:rPr>
        <w:t>国家外汇管理局吉林省</w:t>
      </w:r>
      <w:r>
        <w:rPr>
          <w:rFonts w:hint="eastAsia" w:eastAsia="仿宋_GB2312"/>
          <w:color w:val="000000"/>
          <w:sz w:val="30"/>
          <w:szCs w:val="30"/>
          <w:lang w:eastAsia="zh-CN"/>
        </w:rPr>
        <w:t>分局及</w:t>
      </w:r>
      <w:bookmarkStart w:id="3" w:name="_GoBack"/>
      <w:bookmarkEnd w:id="3"/>
      <w:r>
        <w:rPr>
          <w:rFonts w:hint="eastAsia" w:eastAsia="仿宋_GB2312"/>
          <w:color w:val="000000"/>
          <w:sz w:val="30"/>
          <w:szCs w:val="30"/>
          <w:lang w:eastAsia="zh-CN"/>
        </w:rPr>
        <w:t>分支机构</w:t>
      </w:r>
      <w:r>
        <w:rPr>
          <w:rFonts w:hint="eastAsia" w:eastAsia="仿宋_GB2312"/>
          <w:color w:val="000000"/>
          <w:sz w:val="30"/>
          <w:szCs w:val="30"/>
        </w:rPr>
        <w:t>的</w:t>
      </w:r>
      <w:r>
        <w:rPr>
          <w:rFonts w:eastAsia="仿宋_GB2312"/>
          <w:color w:val="000000"/>
          <w:sz w:val="30"/>
          <w:szCs w:val="30"/>
        </w:rPr>
        <w:t>办公地址和办公时间见</w:t>
      </w:r>
      <w:r>
        <w:rPr>
          <w:rFonts w:hint="eastAsia" w:eastAsia="仿宋_GB2312"/>
          <w:color w:val="000000"/>
          <w:sz w:val="30"/>
          <w:szCs w:val="30"/>
        </w:rPr>
        <w:t>国家外汇管理局吉林省分局官方互联网站“咨询反馈——联系我们”栏目。</w:t>
      </w: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ind w:right="3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附录一</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基本流程图</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kern w:val="2"/>
          <w:sz w:val="30"/>
          <w:szCs w:val="30"/>
          <w:lang w:val="en-US" w:eastAsia="zh-CN" w:bidi="ar-SA"/>
        </w:rPr>
        <w:pict>
          <v:group id="组合 1026" o:spid="_x0000_s1027" style="position:absolute;left:0;margin-left:-21pt;margin-top:14.85pt;height:586.05pt;width:455.05pt;rotation:0f;z-index:251659264;"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ab/>
      </w: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sz w:val="30"/>
          <w:szCs w:val="30"/>
        </w:rPr>
        <w:br w:type="page"/>
      </w:r>
      <w:r>
        <w:rPr>
          <w:rFonts w:ascii="Times New Roman" w:hAnsi="Times New Roman" w:eastAsia="宋体" w:cs="Times New Roman"/>
          <w:color w:val="000000"/>
          <w:kern w:val="2"/>
          <w:sz w:val="21"/>
          <w:szCs w:val="22"/>
          <w:lang w:val="en-US" w:eastAsia="zh-CN" w:bidi="ar-SA"/>
        </w:rPr>
        <w:pict>
          <v:roundrect id="AutoShape 667" o:spid="_x0000_s1061"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color w:val="000000"/>
          <w:kern w:val="0"/>
          <w:sz w:val="30"/>
          <w:szCs w:val="30"/>
        </w:rPr>
        <w:t>附录二</w:t>
      </w:r>
      <w:bookmarkStart w:id="0" w:name="_Toc495992544"/>
      <w:bookmarkStart w:id="1" w:name="_Toc492328427"/>
      <w:bookmarkStart w:id="2" w:name="_Toc487492185"/>
    </w:p>
    <w:p>
      <w:pPr>
        <w:ind w:right="300"/>
        <w:jc w:val="center"/>
        <w:rPr>
          <w:rFonts w:ascii="Times New Roman" w:hAnsi="Times New Roman" w:eastAsia="仿宋_GB2312" w:cs="Times New Roman"/>
          <w:color w:val="000000"/>
          <w:kern w:val="0"/>
          <w:sz w:val="30"/>
          <w:szCs w:val="30"/>
        </w:rPr>
      </w:pPr>
      <w:r>
        <w:rPr>
          <w:rFonts w:ascii="Times New Roman" w:hAnsi="Times New Roman" w:eastAsia="黑体" w:cs="Times New Roman"/>
          <w:color w:val="000000"/>
          <w:sz w:val="30"/>
          <w:szCs w:val="30"/>
        </w:rPr>
        <w:t>境外上市登记表</w:t>
      </w:r>
      <w:bookmarkEnd w:id="0"/>
      <w:bookmarkEnd w:id="1"/>
      <w:bookmarkEnd w:id="2"/>
      <w:r>
        <w:rPr>
          <w:rFonts w:ascii="Times New Roman" w:hAnsi="Times New Roman" w:eastAsia="黑体" w:cs="Times New Roman"/>
          <w:color w:val="000000"/>
          <w:sz w:val="30"/>
          <w:szCs w:val="30"/>
        </w:rPr>
        <w:t>（示范文本）</w:t>
      </w:r>
    </w:p>
    <w:p>
      <w:pPr>
        <w:spacing w:line="40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登记类别：</w:t>
      </w:r>
      <w:r>
        <w:rPr>
          <w:rFonts w:ascii="Times New Roman" w:hAnsi="Times New Roman" w:eastAsia="华文楷体" w:cs="Times New Roman"/>
          <w:color w:val="000000"/>
          <w:sz w:val="24"/>
        </w:rPr>
        <w:t>□</w:t>
      </w:r>
      <w:r>
        <w:rPr>
          <w:rFonts w:ascii="Times New Roman" w:hAnsi="华文楷体" w:eastAsia="华文楷体" w:cs="Times New Roman"/>
          <w:color w:val="000000"/>
          <w:sz w:val="24"/>
        </w:rPr>
        <w:t>登记</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变更登记</w:t>
      </w:r>
      <w:r>
        <w:rPr>
          <w:rFonts w:ascii="Times New Roman" w:hAnsi="Times New Roman" w:eastAsia="华文楷体" w:cs="Times New Roman"/>
          <w:color w:val="000000"/>
          <w:sz w:val="24"/>
        </w:rPr>
        <w:t xml:space="preserve"> </w:t>
      </w:r>
      <w:r>
        <w:rPr>
          <w:rFonts w:hint="eastAsia" w:ascii="Times New Roman" w:hAnsi="Times New Roman" w:eastAsia="华文楷体" w:cs="Times New Roman"/>
          <w:color w:val="000000"/>
          <w:sz w:val="24"/>
        </w:rPr>
        <w:t xml:space="preserve"> </w:t>
      </w:r>
      <w:r>
        <w:rPr>
          <w:rFonts w:ascii="Times New Roman" w:hAnsi="Times New Roman" w:eastAsia="华文楷体" w:cs="Times New Roman"/>
          <w:color w:val="000000"/>
          <w:sz w:val="24"/>
        </w:rPr>
        <w:t>□</w:t>
      </w:r>
      <w:r>
        <w:rPr>
          <w:rFonts w:ascii="Times New Roman" w:hAnsi="华文楷体" w:eastAsia="华文楷体" w:cs="Times New Roman"/>
          <w:color w:val="000000"/>
          <w:sz w:val="24"/>
        </w:rPr>
        <w:t>注销登记</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编号（外汇局填写）：</w:t>
      </w:r>
    </w:p>
    <w:tbl>
      <w:tblPr>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境外上市的境内公司（以下简称境内公司）基本信息</w:t>
            </w: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境内公司名称</w:t>
            </w:r>
          </w:p>
        </w:tc>
        <w:tc>
          <w:tcPr>
            <w:tcW w:w="3187" w:type="dxa"/>
            <w:gridSpan w:val="12"/>
            <w:vAlign w:val="center"/>
          </w:tcPr>
          <w:p>
            <w:pPr>
              <w:spacing w:line="340" w:lineRule="exact"/>
              <w:jc w:val="center"/>
              <w:rPr>
                <w:rFonts w:ascii="Times New Roman" w:hAnsi="Times New Roman" w:eastAsia="华文楷体" w:cs="Times New Roman"/>
                <w:color w:val="000000"/>
                <w:sz w:val="24"/>
              </w:rPr>
            </w:pPr>
          </w:p>
        </w:tc>
        <w:tc>
          <w:tcPr>
            <w:tcW w:w="1701" w:type="dxa"/>
            <w:gridSpan w:val="6"/>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注册地址</w:t>
            </w:r>
          </w:p>
        </w:tc>
        <w:tc>
          <w:tcPr>
            <w:tcW w:w="3187" w:type="dxa"/>
            <w:gridSpan w:val="12"/>
            <w:vAlign w:val="center"/>
          </w:tcPr>
          <w:p>
            <w:pPr>
              <w:spacing w:line="340" w:lineRule="exact"/>
              <w:jc w:val="center"/>
              <w:rPr>
                <w:rFonts w:ascii="Times New Roman" w:hAnsi="Times New Roman" w:eastAsia="华文楷体" w:cs="Times New Roman"/>
                <w:color w:val="000000"/>
                <w:sz w:val="24"/>
              </w:rPr>
            </w:pPr>
          </w:p>
        </w:tc>
        <w:tc>
          <w:tcPr>
            <w:tcW w:w="1701" w:type="dxa"/>
            <w:gridSpan w:val="6"/>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法定代表人</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color w:val="000000"/>
                <w:sz w:val="24"/>
              </w:rPr>
            </w:pPr>
          </w:p>
        </w:tc>
        <w:tc>
          <w:tcPr>
            <w:tcW w:w="1701" w:type="dxa"/>
            <w:gridSpan w:val="6"/>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上市时间</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701" w:type="dxa"/>
            <w:gridSpan w:val="6"/>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证券代码</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增发（含超额配售）</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回购</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可转债转股</w:t>
            </w:r>
          </w:p>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资本公积、盈余公积、未分配利润转增股本</w:t>
            </w:r>
          </w:p>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其他</w:t>
            </w:r>
            <w:r>
              <w:rPr>
                <w:rFonts w:ascii="Times New Roman" w:hAnsi="华文楷体" w:eastAsia="华文楷体" w:cs="Times New Roman"/>
                <w:color w:val="000000"/>
                <w:sz w:val="24"/>
                <w:u w:val="single"/>
              </w:rPr>
              <w:t>（具体说明：</w:t>
            </w:r>
            <w:r>
              <w:rPr>
                <w:rFonts w:ascii="Times New Roman" w:hAnsi="Times New Roman" w:eastAsia="华文楷体" w:cs="Times New Roman"/>
                <w:color w:val="000000"/>
                <w:sz w:val="24"/>
                <w:u w:val="single"/>
              </w:rPr>
              <w:t xml:space="preserve">                                 </w:t>
            </w:r>
            <w:r>
              <w:rPr>
                <w:rFonts w:ascii="Times New Roman" w:hAnsi="华文楷体" w:eastAsia="华文楷体" w:cs="Times New Roman"/>
                <w:color w:val="000000"/>
                <w:sz w:val="24"/>
                <w:u w:val="single"/>
              </w:rPr>
              <w:t>）</w:t>
            </w: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联系人</w:t>
            </w:r>
          </w:p>
        </w:tc>
        <w:tc>
          <w:tcPr>
            <w:tcW w:w="4037" w:type="dxa"/>
            <w:gridSpan w:val="16"/>
            <w:vAlign w:val="center"/>
          </w:tcPr>
          <w:p>
            <w:pPr>
              <w:spacing w:line="340" w:lineRule="exact"/>
              <w:jc w:val="center"/>
              <w:rPr>
                <w:rFonts w:ascii="Times New Roman" w:hAnsi="Times New Roman" w:eastAsia="华文楷体" w:cs="Times New Roman"/>
                <w:color w:val="000000"/>
                <w:sz w:val="24"/>
              </w:rPr>
            </w:pPr>
          </w:p>
        </w:tc>
        <w:tc>
          <w:tcPr>
            <w:tcW w:w="851" w:type="dxa"/>
            <w:gridSpan w:val="2"/>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联系电话</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主要境内股东的基本信息</w:t>
            </w: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color w:val="000000"/>
                <w:sz w:val="24"/>
              </w:rPr>
            </w:pPr>
          </w:p>
        </w:tc>
        <w:tc>
          <w:tcPr>
            <w:tcW w:w="1482" w:type="dxa"/>
            <w:gridSpan w:val="6"/>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名称（或姓名）</w:t>
            </w:r>
          </w:p>
        </w:tc>
        <w:tc>
          <w:tcPr>
            <w:tcW w:w="1825" w:type="dxa"/>
            <w:gridSpan w:val="6"/>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持股比例</w:t>
            </w:r>
          </w:p>
        </w:tc>
        <w:tc>
          <w:tcPr>
            <w:tcW w:w="1513" w:type="dxa"/>
            <w:gridSpan w:val="3"/>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注册地址</w:t>
            </w: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境内股东</w:t>
            </w:r>
            <w:r>
              <w:rPr>
                <w:rFonts w:ascii="Times New Roman" w:hAnsi="Times New Roman" w:eastAsia="华文楷体" w:cs="Times New Roman"/>
                <w:color w:val="000000"/>
                <w:sz w:val="24"/>
              </w:rPr>
              <w:t>1</w:t>
            </w:r>
          </w:p>
        </w:tc>
        <w:tc>
          <w:tcPr>
            <w:tcW w:w="1482" w:type="dxa"/>
            <w:gridSpan w:val="6"/>
            <w:vAlign w:val="center"/>
          </w:tcPr>
          <w:p>
            <w:pPr>
              <w:spacing w:line="340" w:lineRule="exact"/>
              <w:jc w:val="center"/>
              <w:rPr>
                <w:rFonts w:ascii="Times New Roman" w:hAnsi="Times New Roman" w:eastAsia="华文楷体" w:cs="Times New Roman"/>
                <w:color w:val="000000"/>
                <w:sz w:val="24"/>
              </w:rPr>
            </w:pPr>
          </w:p>
        </w:tc>
        <w:tc>
          <w:tcPr>
            <w:tcW w:w="1825" w:type="dxa"/>
            <w:gridSpan w:val="6"/>
            <w:vAlign w:val="center"/>
          </w:tcPr>
          <w:p>
            <w:pPr>
              <w:spacing w:line="340" w:lineRule="exact"/>
              <w:jc w:val="center"/>
              <w:rPr>
                <w:rFonts w:ascii="Times New Roman" w:hAnsi="Times New Roman" w:eastAsia="华文楷体" w:cs="Times New Roman"/>
                <w:color w:val="000000"/>
                <w:sz w:val="24"/>
              </w:rPr>
            </w:pPr>
          </w:p>
        </w:tc>
        <w:tc>
          <w:tcPr>
            <w:tcW w:w="1526" w:type="dxa"/>
            <w:gridSpan w:val="5"/>
            <w:vAlign w:val="center"/>
          </w:tcPr>
          <w:p>
            <w:pPr>
              <w:spacing w:line="340" w:lineRule="exact"/>
              <w:jc w:val="center"/>
              <w:rPr>
                <w:rFonts w:ascii="Times New Roman" w:hAnsi="Times New Roman" w:eastAsia="华文楷体" w:cs="Times New Roman"/>
                <w:color w:val="000000"/>
                <w:sz w:val="24"/>
              </w:rPr>
            </w:pP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境内股东</w:t>
            </w:r>
            <w:r>
              <w:rPr>
                <w:rFonts w:ascii="Times New Roman" w:hAnsi="Times New Roman" w:eastAsia="华文楷体" w:cs="Times New Roman"/>
                <w:color w:val="000000"/>
                <w:sz w:val="24"/>
              </w:rPr>
              <w:t>2</w:t>
            </w:r>
          </w:p>
        </w:tc>
        <w:tc>
          <w:tcPr>
            <w:tcW w:w="1482" w:type="dxa"/>
            <w:gridSpan w:val="6"/>
            <w:vAlign w:val="center"/>
          </w:tcPr>
          <w:p>
            <w:pPr>
              <w:spacing w:line="340" w:lineRule="exact"/>
              <w:jc w:val="center"/>
              <w:rPr>
                <w:rFonts w:ascii="Times New Roman" w:hAnsi="Times New Roman" w:eastAsia="华文楷体" w:cs="Times New Roman"/>
                <w:color w:val="000000"/>
                <w:sz w:val="24"/>
              </w:rPr>
            </w:pPr>
          </w:p>
        </w:tc>
        <w:tc>
          <w:tcPr>
            <w:tcW w:w="1825" w:type="dxa"/>
            <w:gridSpan w:val="6"/>
            <w:vAlign w:val="center"/>
          </w:tcPr>
          <w:p>
            <w:pPr>
              <w:spacing w:line="340" w:lineRule="exact"/>
              <w:jc w:val="center"/>
              <w:rPr>
                <w:rFonts w:ascii="Times New Roman" w:hAnsi="Times New Roman" w:eastAsia="华文楷体" w:cs="Times New Roman"/>
                <w:color w:val="000000"/>
                <w:sz w:val="24"/>
              </w:rPr>
            </w:pPr>
          </w:p>
        </w:tc>
        <w:tc>
          <w:tcPr>
            <w:tcW w:w="1526" w:type="dxa"/>
            <w:gridSpan w:val="5"/>
            <w:vAlign w:val="center"/>
          </w:tcPr>
          <w:p>
            <w:pPr>
              <w:spacing w:line="340" w:lineRule="exact"/>
              <w:jc w:val="center"/>
              <w:rPr>
                <w:rFonts w:ascii="Times New Roman" w:hAnsi="Times New Roman" w:eastAsia="华文楷体" w:cs="Times New Roman"/>
                <w:color w:val="000000"/>
                <w:sz w:val="24"/>
              </w:rPr>
            </w:pP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（可加行）</w:t>
            </w:r>
          </w:p>
        </w:tc>
        <w:tc>
          <w:tcPr>
            <w:tcW w:w="1482" w:type="dxa"/>
            <w:gridSpan w:val="6"/>
            <w:vAlign w:val="center"/>
          </w:tcPr>
          <w:p>
            <w:pPr>
              <w:spacing w:line="340" w:lineRule="exact"/>
              <w:jc w:val="center"/>
              <w:rPr>
                <w:rFonts w:ascii="Times New Roman" w:hAnsi="Times New Roman" w:eastAsia="华文楷体" w:cs="Times New Roman"/>
                <w:color w:val="000000"/>
                <w:sz w:val="24"/>
              </w:rPr>
            </w:pPr>
          </w:p>
        </w:tc>
        <w:tc>
          <w:tcPr>
            <w:tcW w:w="1825" w:type="dxa"/>
            <w:gridSpan w:val="6"/>
            <w:vAlign w:val="center"/>
          </w:tcPr>
          <w:p>
            <w:pPr>
              <w:spacing w:line="340" w:lineRule="exact"/>
              <w:jc w:val="center"/>
              <w:rPr>
                <w:rFonts w:ascii="Times New Roman" w:hAnsi="Times New Roman" w:eastAsia="华文楷体" w:cs="Times New Roman"/>
                <w:color w:val="000000"/>
                <w:sz w:val="24"/>
              </w:rPr>
            </w:pPr>
          </w:p>
        </w:tc>
        <w:tc>
          <w:tcPr>
            <w:tcW w:w="1526" w:type="dxa"/>
            <w:gridSpan w:val="5"/>
            <w:vAlign w:val="center"/>
          </w:tcPr>
          <w:p>
            <w:pPr>
              <w:spacing w:line="340" w:lineRule="exact"/>
              <w:jc w:val="center"/>
              <w:rPr>
                <w:rFonts w:ascii="Times New Roman" w:hAnsi="Times New Roman" w:eastAsia="华文楷体" w:cs="Times New Roman"/>
                <w:color w:val="000000"/>
                <w:sz w:val="24"/>
              </w:rPr>
            </w:pP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发行信息</w:t>
            </w: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发行方式</w:t>
            </w:r>
          </w:p>
        </w:tc>
        <w:tc>
          <w:tcPr>
            <w:tcW w:w="7385" w:type="dxa"/>
            <w:gridSpan w:val="24"/>
            <w:vAlign w:val="center"/>
          </w:tcPr>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首次发行</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增发（含超额配售）</w:t>
            </w:r>
          </w:p>
        </w:tc>
      </w:tr>
      <w:tr>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发行种类</w:t>
            </w:r>
          </w:p>
        </w:tc>
        <w:tc>
          <w:tcPr>
            <w:tcW w:w="3462" w:type="dxa"/>
            <w:gridSpan w:val="14"/>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其他</w:t>
            </w:r>
          </w:p>
        </w:tc>
      </w:tr>
      <w:tr>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color w:val="000000"/>
                <w:sz w:val="24"/>
              </w:rPr>
            </w:pPr>
          </w:p>
        </w:tc>
        <w:tc>
          <w:tcPr>
            <w:tcW w:w="1761" w:type="dxa"/>
            <w:gridSpan w:val="6"/>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普通股</w:t>
            </w:r>
          </w:p>
        </w:tc>
        <w:tc>
          <w:tcPr>
            <w:tcW w:w="1701" w:type="dxa"/>
            <w:gridSpan w:val="8"/>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color w:val="000000"/>
                <w:sz w:val="24"/>
              </w:rPr>
            </w:pPr>
          </w:p>
        </w:tc>
        <w:tc>
          <w:tcPr>
            <w:tcW w:w="2364" w:type="dxa"/>
            <w:gridSpan w:val="5"/>
            <w:vMerge w:val="continue"/>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名称及代码</w:t>
            </w:r>
          </w:p>
        </w:tc>
        <w:tc>
          <w:tcPr>
            <w:tcW w:w="1761" w:type="dxa"/>
            <w:gridSpan w:val="6"/>
            <w:vAlign w:val="center"/>
          </w:tcPr>
          <w:p>
            <w:pPr>
              <w:spacing w:line="340" w:lineRule="exact"/>
              <w:jc w:val="left"/>
              <w:rPr>
                <w:rFonts w:ascii="Times New Roman" w:hAnsi="Times New Roman" w:eastAsia="华文楷体" w:cs="Times New Roman"/>
                <w:color w:val="000000"/>
                <w:sz w:val="24"/>
              </w:rPr>
            </w:pPr>
          </w:p>
        </w:tc>
        <w:tc>
          <w:tcPr>
            <w:tcW w:w="1701" w:type="dxa"/>
            <w:gridSpan w:val="8"/>
            <w:vAlign w:val="center"/>
          </w:tcPr>
          <w:p>
            <w:pPr>
              <w:spacing w:line="340" w:lineRule="exact"/>
              <w:jc w:val="left"/>
              <w:rPr>
                <w:rFonts w:ascii="Times New Roman" w:hAnsi="Times New Roman" w:eastAsia="华文楷体" w:cs="Times New Roman"/>
                <w:color w:val="000000"/>
                <w:sz w:val="24"/>
              </w:rPr>
            </w:pPr>
          </w:p>
        </w:tc>
        <w:tc>
          <w:tcPr>
            <w:tcW w:w="1559" w:type="dxa"/>
            <w:gridSpan w:val="5"/>
            <w:vAlign w:val="center"/>
          </w:tcPr>
          <w:p>
            <w:pPr>
              <w:spacing w:line="340" w:lineRule="exact"/>
              <w:jc w:val="left"/>
              <w:rPr>
                <w:rFonts w:ascii="Times New Roman" w:hAnsi="Times New Roman" w:eastAsia="华文楷体" w:cs="Times New Roman"/>
                <w:color w:val="000000"/>
                <w:sz w:val="24"/>
              </w:rPr>
            </w:pPr>
          </w:p>
        </w:tc>
        <w:tc>
          <w:tcPr>
            <w:tcW w:w="2364" w:type="dxa"/>
            <w:gridSpan w:val="5"/>
            <w:vAlign w:val="center"/>
          </w:tcPr>
          <w:p>
            <w:pPr>
              <w:spacing w:line="340" w:lineRule="exact"/>
              <w:jc w:val="left"/>
              <w:rPr>
                <w:rFonts w:ascii="Times New Roman" w:hAnsi="Times New Roman" w:eastAsia="华文楷体" w:cs="Times New Roman"/>
                <w:color w:val="000000"/>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发行时间</w:t>
            </w:r>
          </w:p>
        </w:tc>
        <w:tc>
          <w:tcPr>
            <w:tcW w:w="1761" w:type="dxa"/>
            <w:gridSpan w:val="6"/>
            <w:vAlign w:val="center"/>
          </w:tcPr>
          <w:p>
            <w:pPr>
              <w:spacing w:line="340" w:lineRule="exact"/>
              <w:jc w:val="left"/>
              <w:rPr>
                <w:rFonts w:ascii="Times New Roman" w:hAnsi="Times New Roman" w:eastAsia="华文楷体" w:cs="Times New Roman"/>
                <w:color w:val="000000"/>
                <w:sz w:val="24"/>
              </w:rPr>
            </w:pPr>
          </w:p>
        </w:tc>
        <w:tc>
          <w:tcPr>
            <w:tcW w:w="1701" w:type="dxa"/>
            <w:gridSpan w:val="8"/>
            <w:vAlign w:val="center"/>
          </w:tcPr>
          <w:p>
            <w:pPr>
              <w:spacing w:line="340" w:lineRule="exact"/>
              <w:jc w:val="left"/>
              <w:rPr>
                <w:rFonts w:ascii="Times New Roman" w:hAnsi="Times New Roman" w:eastAsia="华文楷体" w:cs="Times New Roman"/>
                <w:color w:val="000000"/>
                <w:sz w:val="24"/>
              </w:rPr>
            </w:pPr>
          </w:p>
        </w:tc>
        <w:tc>
          <w:tcPr>
            <w:tcW w:w="1559" w:type="dxa"/>
            <w:gridSpan w:val="5"/>
            <w:vAlign w:val="center"/>
          </w:tcPr>
          <w:p>
            <w:pPr>
              <w:spacing w:line="340" w:lineRule="exact"/>
              <w:jc w:val="left"/>
              <w:rPr>
                <w:rFonts w:ascii="Times New Roman" w:hAnsi="Times New Roman" w:eastAsia="华文楷体" w:cs="Times New Roman"/>
                <w:color w:val="000000"/>
                <w:sz w:val="24"/>
              </w:rPr>
            </w:pPr>
          </w:p>
        </w:tc>
        <w:tc>
          <w:tcPr>
            <w:tcW w:w="2364" w:type="dxa"/>
            <w:gridSpan w:val="5"/>
            <w:vAlign w:val="center"/>
          </w:tcPr>
          <w:p>
            <w:pPr>
              <w:spacing w:line="340" w:lineRule="exact"/>
              <w:jc w:val="left"/>
              <w:rPr>
                <w:rFonts w:ascii="Times New Roman" w:hAnsi="Times New Roman" w:eastAsia="华文楷体" w:cs="Times New Roman"/>
                <w:color w:val="000000"/>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发行数量</w:t>
            </w:r>
          </w:p>
        </w:tc>
        <w:tc>
          <w:tcPr>
            <w:tcW w:w="1761" w:type="dxa"/>
            <w:gridSpan w:val="6"/>
            <w:vAlign w:val="center"/>
          </w:tcPr>
          <w:p>
            <w:pPr>
              <w:spacing w:line="340" w:lineRule="exact"/>
              <w:jc w:val="left"/>
              <w:rPr>
                <w:rFonts w:ascii="Times New Roman" w:hAnsi="Times New Roman" w:eastAsia="华文楷体" w:cs="Times New Roman"/>
                <w:color w:val="000000"/>
                <w:sz w:val="24"/>
              </w:rPr>
            </w:pPr>
          </w:p>
        </w:tc>
        <w:tc>
          <w:tcPr>
            <w:tcW w:w="1701" w:type="dxa"/>
            <w:gridSpan w:val="8"/>
            <w:vAlign w:val="center"/>
          </w:tcPr>
          <w:p>
            <w:pPr>
              <w:spacing w:line="340" w:lineRule="exact"/>
              <w:jc w:val="left"/>
              <w:rPr>
                <w:rFonts w:ascii="Times New Roman" w:hAnsi="Times New Roman" w:eastAsia="华文楷体" w:cs="Times New Roman"/>
                <w:color w:val="000000"/>
                <w:sz w:val="24"/>
              </w:rPr>
            </w:pPr>
          </w:p>
        </w:tc>
        <w:tc>
          <w:tcPr>
            <w:tcW w:w="1559" w:type="dxa"/>
            <w:gridSpan w:val="5"/>
            <w:vAlign w:val="center"/>
          </w:tcPr>
          <w:p>
            <w:pPr>
              <w:spacing w:line="340" w:lineRule="exact"/>
              <w:jc w:val="left"/>
              <w:rPr>
                <w:rFonts w:ascii="Times New Roman" w:hAnsi="Times New Roman" w:eastAsia="华文楷体" w:cs="Times New Roman"/>
                <w:color w:val="000000"/>
                <w:sz w:val="24"/>
              </w:rPr>
            </w:pPr>
          </w:p>
        </w:tc>
        <w:tc>
          <w:tcPr>
            <w:tcW w:w="2364" w:type="dxa"/>
            <w:gridSpan w:val="5"/>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实际募集资金</w:t>
            </w:r>
          </w:p>
        </w:tc>
        <w:tc>
          <w:tcPr>
            <w:tcW w:w="746" w:type="dxa"/>
            <w:gridSpan w:val="3"/>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金额</w:t>
            </w:r>
          </w:p>
        </w:tc>
        <w:tc>
          <w:tcPr>
            <w:tcW w:w="1761" w:type="dxa"/>
            <w:gridSpan w:val="6"/>
            <w:vAlign w:val="center"/>
          </w:tcPr>
          <w:p>
            <w:pPr>
              <w:spacing w:line="340" w:lineRule="exact"/>
              <w:jc w:val="left"/>
              <w:rPr>
                <w:rFonts w:ascii="Times New Roman" w:hAnsi="Times New Roman" w:eastAsia="华文楷体" w:cs="Times New Roman"/>
                <w:color w:val="000000"/>
                <w:sz w:val="24"/>
              </w:rPr>
            </w:pPr>
          </w:p>
        </w:tc>
        <w:tc>
          <w:tcPr>
            <w:tcW w:w="1701" w:type="dxa"/>
            <w:gridSpan w:val="8"/>
            <w:vAlign w:val="center"/>
          </w:tcPr>
          <w:p>
            <w:pPr>
              <w:spacing w:line="340" w:lineRule="exact"/>
              <w:jc w:val="left"/>
              <w:rPr>
                <w:rFonts w:ascii="Times New Roman" w:hAnsi="Times New Roman" w:eastAsia="华文楷体" w:cs="Times New Roman"/>
                <w:color w:val="000000"/>
                <w:sz w:val="24"/>
              </w:rPr>
            </w:pPr>
          </w:p>
        </w:tc>
        <w:tc>
          <w:tcPr>
            <w:tcW w:w="1559" w:type="dxa"/>
            <w:gridSpan w:val="5"/>
            <w:vAlign w:val="center"/>
          </w:tcPr>
          <w:p>
            <w:pPr>
              <w:spacing w:line="340" w:lineRule="exact"/>
              <w:jc w:val="left"/>
              <w:rPr>
                <w:rFonts w:ascii="Times New Roman" w:hAnsi="Times New Roman" w:eastAsia="华文楷体" w:cs="Times New Roman"/>
                <w:color w:val="000000"/>
                <w:sz w:val="24"/>
              </w:rPr>
            </w:pPr>
          </w:p>
        </w:tc>
        <w:tc>
          <w:tcPr>
            <w:tcW w:w="2364" w:type="dxa"/>
            <w:gridSpan w:val="5"/>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color w:val="000000"/>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color w:val="000000"/>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发行募集资金运用信息</w:t>
            </w: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color w:val="000000"/>
                <w:sz w:val="24"/>
              </w:rPr>
            </w:pPr>
            <w:r>
              <w:rPr>
                <w:rFonts w:ascii="Times New Roman" w:hAnsi="华文楷体" w:eastAsia="华文楷体" w:cs="Times New Roman"/>
                <w:color w:val="000000"/>
                <w:sz w:val="24"/>
              </w:rPr>
              <w:t>其中</w:t>
            </w:r>
            <w:r>
              <w:rPr>
                <w:rFonts w:ascii="Times New Roman" w:hAnsi="Times New Roman" w:eastAsia="华文楷体" w:cs="Times New Roman"/>
                <w:color w:val="000000"/>
                <w:sz w:val="24"/>
              </w:rPr>
              <w:t>:</w:t>
            </w:r>
            <w:r>
              <w:rPr>
                <w:rFonts w:ascii="Times New Roman" w:hAnsi="华文楷体" w:eastAsia="华文楷体" w:cs="Times New Roman"/>
                <w:color w:val="000000"/>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结汇待支付账户账号</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调回境内</w:t>
            </w:r>
            <w:r>
              <w:rPr>
                <w:rFonts w:ascii="Times New Roman" w:hAnsi="Times New Roman" w:eastAsia="华文楷体" w:cs="Times New Roman"/>
                <w:color w:val="000000"/>
                <w:sz w:val="24"/>
              </w:rPr>
              <w:t xml:space="preserve">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其中</w:t>
            </w:r>
            <w:r>
              <w:rPr>
                <w:rFonts w:ascii="Times New Roman" w:hAnsi="Times New Roman" w:eastAsia="华文楷体" w:cs="Times New Roman"/>
                <w:color w:val="000000"/>
                <w:sz w:val="24"/>
              </w:rPr>
              <w:t>:</w:t>
            </w:r>
            <w:r>
              <w:rPr>
                <w:rFonts w:ascii="Times New Roman" w:hAnsi="华文楷体" w:eastAsia="华文楷体" w:cs="Times New Roman"/>
                <w:color w:val="000000"/>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回购境外股份信息</w:t>
            </w:r>
          </w:p>
        </w:tc>
      </w:tr>
      <w:tr>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w:t>
            </w:r>
          </w:p>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境内</w:t>
            </w:r>
          </w:p>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w:t>
            </w:r>
          </w:p>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完成</w:t>
            </w:r>
          </w:p>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color w:val="000000"/>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可转债转股信息</w:t>
            </w:r>
          </w:p>
        </w:tc>
      </w:tr>
      <w:tr>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其他需要说明的信息</w:t>
            </w:r>
          </w:p>
        </w:tc>
      </w:tr>
      <w:tr>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color w:val="000000"/>
                <w:sz w:val="24"/>
              </w:rPr>
            </w:pPr>
          </w:p>
        </w:tc>
      </w:tr>
      <w:tr>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color w:val="000000"/>
                <w:sz w:val="24"/>
              </w:rPr>
            </w:pPr>
            <w:r>
              <w:rPr>
                <w:rFonts w:ascii="Times New Roman" w:hAnsi="华文楷体" w:eastAsia="华文楷体" w:cs="Times New Roman"/>
                <w:b/>
                <w:color w:val="000000"/>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color w:val="000000"/>
                <w:sz w:val="24"/>
              </w:rPr>
            </w:pPr>
          </w:p>
          <w:p>
            <w:pPr>
              <w:spacing w:line="460" w:lineRule="exact"/>
              <w:ind w:firstLine="1922" w:firstLineChars="800"/>
              <w:rPr>
                <w:rFonts w:ascii="Times New Roman" w:hAnsi="Times New Roman" w:eastAsia="华文楷体" w:cs="Times New Roman"/>
                <w:b/>
                <w:color w:val="000000"/>
                <w:sz w:val="24"/>
              </w:rPr>
            </w:pPr>
            <w:r>
              <w:rPr>
                <w:rFonts w:ascii="Times New Roman" w:hAnsi="华文楷体" w:eastAsia="华文楷体" w:cs="Times New Roman"/>
                <w:b/>
                <w:color w:val="000000"/>
                <w:sz w:val="24"/>
              </w:rPr>
              <w:t>境外上市的境内公司（名称及公章）：</w:t>
            </w:r>
          </w:p>
          <w:p>
            <w:pPr>
              <w:spacing w:line="46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年</w:t>
            </w:r>
            <w:r>
              <w:rPr>
                <w:rFonts w:ascii="Times New Roman" w:hAnsi="Times New Roman" w:eastAsia="华文楷体" w:cs="Times New Roman"/>
                <w:b/>
                <w:color w:val="000000"/>
                <w:sz w:val="24"/>
              </w:rPr>
              <w:t xml:space="preserve">      </w:t>
            </w:r>
            <w:r>
              <w:rPr>
                <w:rFonts w:ascii="Times New Roman" w:hAnsi="华文楷体" w:eastAsia="华文楷体" w:cs="Times New Roman"/>
                <w:b/>
                <w:color w:val="000000"/>
                <w:sz w:val="24"/>
              </w:rPr>
              <w:t>月</w:t>
            </w:r>
            <w:r>
              <w:rPr>
                <w:rFonts w:ascii="Times New Roman" w:hAnsi="Times New Roman" w:eastAsia="华文楷体" w:cs="Times New Roman"/>
                <w:b/>
                <w:color w:val="000000"/>
                <w:sz w:val="24"/>
              </w:rPr>
              <w:t xml:space="preserve">      </w:t>
            </w:r>
            <w:r>
              <w:rPr>
                <w:rFonts w:ascii="Times New Roman" w:hAnsi="华文楷体" w:eastAsia="华文楷体" w:cs="Times New Roman"/>
                <w:b/>
                <w:color w:val="000000"/>
                <w:sz w:val="24"/>
              </w:rPr>
              <w:t>日</w:t>
            </w:r>
          </w:p>
        </w:tc>
      </w:tr>
    </w:tbl>
    <w:p>
      <w:pPr>
        <w:rPr>
          <w:rFonts w:ascii="Times New Roman" w:hAnsi="Times New Roman" w:cs="Times New Roman"/>
          <w:b/>
          <w:color w:val="000000"/>
        </w:rPr>
      </w:pPr>
      <w:r>
        <w:rPr>
          <w:rFonts w:ascii="Times New Roman" w:hAnsi="宋体" w:cs="Times New Roman"/>
          <w:b/>
          <w:color w:val="000000"/>
        </w:rPr>
        <w:t>填表说明：</w:t>
      </w:r>
    </w:p>
    <w:p>
      <w:pPr>
        <w:rPr>
          <w:rFonts w:ascii="Times New Roman" w:hAnsi="Times New Roman" w:cs="Times New Roman"/>
          <w:color w:val="000000"/>
        </w:rPr>
      </w:pPr>
      <w:r>
        <w:rPr>
          <w:rFonts w:ascii="Times New Roman" w:hAnsi="Times New Roman" w:cs="Times New Roman"/>
          <w:color w:val="000000"/>
        </w:rPr>
        <w:t>1</w:t>
      </w:r>
      <w:r>
        <w:rPr>
          <w:rFonts w:ascii="Times New Roman" w:hAnsi="宋体" w:cs="Times New Roman"/>
          <w:color w:val="000000"/>
        </w:rPr>
        <w:t>、境内公司填报本登记表，外汇局审核无误并在资本项目信息系统办理登记后，将加盖业务印章的《业务登记凭证》交境内公司。</w:t>
      </w:r>
    </w:p>
    <w:p>
      <w:pPr>
        <w:rPr>
          <w:rFonts w:ascii="Times New Roman" w:hAnsi="Times New Roman" w:eastAsia="华文仿宋" w:cs="Times New Roman"/>
          <w:color w:val="000000"/>
        </w:rPr>
      </w:pPr>
      <w:r>
        <w:rPr>
          <w:rFonts w:ascii="Times New Roman" w:hAnsi="Times New Roman" w:cs="Times New Roman"/>
          <w:color w:val="000000"/>
        </w:rPr>
        <w:t>2</w:t>
      </w:r>
      <w:r>
        <w:rPr>
          <w:rFonts w:ascii="Times New Roman" w:hAnsi="宋体" w:cs="Times New Roman"/>
          <w:color w:val="000000"/>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color w:val="000000"/>
        </w:rPr>
        <w:t>。</w:t>
      </w:r>
    </w:p>
    <w:p>
      <w:pPr>
        <w:rPr>
          <w:rFonts w:ascii="Times New Roman" w:hAnsi="Times New Roman" w:eastAsia="华文仿宋" w:cs="Times New Roman"/>
          <w:color w:val="000000"/>
        </w:rPr>
      </w:pPr>
    </w:p>
    <w:p>
      <w:pPr>
        <w:widowControl/>
        <w:jc w:val="left"/>
        <w:rPr>
          <w:rFonts w:ascii="Times New Roman" w:hAnsi="Times New Roman" w:eastAsia="华文仿宋" w:cs="Times New Roman"/>
          <w:color w:val="000000"/>
        </w:rPr>
      </w:pPr>
      <w:r>
        <w:rPr>
          <w:rFonts w:ascii="Times New Roman" w:hAnsi="Times New Roman" w:eastAsia="华文仿宋" w:cs="Times New Roman"/>
          <w:color w:val="000000"/>
        </w:rPr>
        <w:br w:type="page"/>
      </w:r>
    </w:p>
    <w:p>
      <w:pPr>
        <w:widowControl/>
        <w:spacing w:line="384" w:lineRule="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附录三             </w:t>
      </w:r>
    </w:p>
    <w:p>
      <w:pPr>
        <w:widowControl/>
        <w:spacing w:line="384" w:lineRule="auto"/>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境外上市登记表（错误示例）</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登记类别：　□登记　□变更登记  □注销登记　　　编号（外汇局填写）：</w:t>
      </w:r>
    </w:p>
    <w:tbl>
      <w:tblPr>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境外上市的境内公司（以下简称境内公司）基本信息</w:t>
            </w: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上市地及证券交易</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证券名</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总股数</w:t>
            </w:r>
          </w:p>
          <w:p>
            <w:pPr>
              <w:autoSpaceDE w:val="0"/>
              <w:autoSpaceDN w:val="0"/>
              <w:adjustRightInd w:val="0"/>
              <w:jc w:val="left"/>
              <w:rPr>
                <w:rFonts w:ascii="Times New Roman" w:hAnsi="Times New Roman" w:eastAsia="仿宋_GB2312" w:cs="Times New Roman"/>
                <w:color w:val="000000"/>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□增发（含超额配售）　　　□回购　　　□可转债转股</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w:t>
            </w:r>
            <w:r>
              <w:rPr>
                <w:rFonts w:ascii="Times New Roman" w:hAnsi="Times New Roman" w:eastAsia="仿宋_GB2312" w:cs="Times New Roman"/>
                <w:color w:val="000000"/>
                <w:kern w:val="0"/>
                <w:sz w:val="24"/>
                <w:szCs w:val="24"/>
                <w:u w:val="single"/>
              </w:rPr>
              <w:t>具体说明　　　　　　　　　　　　　　　　　　　</w:t>
            </w:r>
            <w:r>
              <w:rPr>
                <w:rFonts w:ascii="Times New Roman" w:hAnsi="Times New Roman" w:eastAsia="仿宋_GB2312" w:cs="Times New Roman"/>
                <w:color w:val="000000"/>
                <w:kern w:val="0"/>
                <w:sz w:val="24"/>
                <w:szCs w:val="24"/>
              </w:rPr>
              <w:t>）</w:t>
            </w: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主要境内股东的基本信息</w:t>
            </w: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名称（或姓名）</w:t>
            </w:r>
          </w:p>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持股比例</w:t>
            </w:r>
          </w:p>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注册地址</w:t>
            </w: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发行信息</w:t>
            </w: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□首次发行　　　　　　　□增发（含超额配售）</w:t>
            </w:r>
          </w:p>
        </w:tc>
      </w:tr>
      <w:tr>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w:t>
            </w:r>
          </w:p>
        </w:tc>
      </w:tr>
      <w:tr>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宋体" w:cs="Times New Roman"/>
                <w:color w:val="000000"/>
                <w:kern w:val="2"/>
                <w:sz w:val="21"/>
                <w:szCs w:val="22"/>
                <w:lang w:val="en-US" w:eastAsia="zh-CN" w:bidi="ar-SA"/>
              </w:rPr>
              <w:pict>
                <v:shape id="Oval 1760" o:spid="_x0000_s1062" type="#_x0000_t3" style="position:absolute;left:0;margin-left:72.85pt;margin-top:-4.45pt;height:25.5pt;width:62.25pt;rotation:0f;z-index:251660288;"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Times New Roman" w:eastAsia="宋体" w:cs="Times New Roman"/>
                <w:color w:val="000000"/>
                <w:kern w:val="2"/>
                <w:sz w:val="21"/>
                <w:szCs w:val="22"/>
                <w:lang w:val="en-US" w:eastAsia="zh-CN" w:bidi="ar-SA"/>
              </w:rPr>
              <w:pict>
                <v:shape id="Text Box 1763" o:spid="_x0000_s1063" type="#_x0000_t202" style="position:absolute;left:0;margin-left:-73.8pt;margin-top:-0.7pt;height:66.7pt;width:44.15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color w:val="000000"/>
                <w:kern w:val="2"/>
                <w:sz w:val="21"/>
                <w:szCs w:val="22"/>
                <w:lang w:val="en-US" w:eastAsia="zh-CN" w:bidi="ar-SA"/>
              </w:rPr>
              <w:pict>
                <v:rect id="Rectangle 1761" o:spid="_x0000_s1064" style="position:absolute;left:0;margin-left:-83pt;margin-top:-13.65pt;height:91.5pt;width:59.8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color w:val="000000"/>
                <w:kern w:val="2"/>
                <w:sz w:val="21"/>
                <w:szCs w:val="22"/>
                <w:lang w:val="en-US" w:eastAsia="zh-CN" w:bidi="ar-SA"/>
              </w:rPr>
              <w:pict>
                <v:shape id="AutoShape 1762" o:spid="_x0000_s1065" type="#_x0000_t32" style="position:absolute;left:0;flip:x;margin-left:-24.75pt;margin-top:8.9pt;height:12pt;width:97.5pt;rotation:0f;z-index:251662336;"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000000"/>
                <w:kern w:val="0"/>
                <w:sz w:val="24"/>
                <w:szCs w:val="24"/>
              </w:rPr>
              <w:t>实际</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发行募集资金运用信息</w:t>
            </w: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募集资金</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经常项下</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境外上市专用</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结汇待支付账户账号</w:t>
            </w: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募集资金</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实际运用</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情况</w:t>
            </w:r>
          </w:p>
          <w:p>
            <w:pPr>
              <w:autoSpaceDE w:val="0"/>
              <w:autoSpaceDN w:val="0"/>
              <w:adjustRightInd w:val="0"/>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经常项下</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回购境外股份信息</w:t>
            </w:r>
          </w:p>
        </w:tc>
      </w:tr>
      <w:tr>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计划</w:t>
            </w:r>
          </w:p>
          <w:p>
            <w:pPr>
              <w:autoSpaceDE w:val="0"/>
              <w:autoSpaceDN w:val="0"/>
              <w:adjustRightInd w:val="0"/>
              <w:jc w:val="left"/>
              <w:rPr>
                <w:rFonts w:ascii="Times New Roman" w:hAnsi="Times New Roman" w:eastAsia="仿宋_GB2312" w:cs="Times New Roman"/>
                <w:color w:val="000000"/>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回购金额</w:t>
            </w:r>
          </w:p>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计划</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使用</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金额</w:t>
            </w:r>
          </w:p>
          <w:p>
            <w:pPr>
              <w:autoSpaceDE w:val="0"/>
              <w:autoSpaceDN w:val="0"/>
              <w:adjustRightInd w:val="0"/>
              <w:jc w:val="left"/>
              <w:rPr>
                <w:rFonts w:ascii="Times New Roman" w:hAnsi="Times New Roman" w:eastAsia="仿宋_GB2312" w:cs="Times New Roman"/>
                <w:color w:val="000000"/>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汇出</w:t>
            </w:r>
          </w:p>
          <w:p>
            <w:pPr>
              <w:autoSpaceDE w:val="0"/>
              <w:autoSpaceDN w:val="0"/>
              <w:adjustRightInd w:val="0"/>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完成</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情况</w:t>
            </w:r>
          </w:p>
          <w:p>
            <w:pPr>
              <w:autoSpaceDE w:val="0"/>
              <w:autoSpaceDN w:val="0"/>
              <w:adjustRightInd w:val="0"/>
              <w:jc w:val="left"/>
              <w:rPr>
                <w:rFonts w:ascii="Times New Roman" w:hAnsi="Times New Roman" w:eastAsia="仿宋_GB2312" w:cs="Times New Roman"/>
                <w:color w:val="000000"/>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可转债转股信息</w:t>
            </w:r>
          </w:p>
        </w:tc>
      </w:tr>
      <w:tr>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其他需要说明的信息</w:t>
            </w: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　　月　　日　</w:t>
            </w:r>
          </w:p>
          <w:p>
            <w:pPr>
              <w:autoSpaceDE w:val="0"/>
              <w:autoSpaceDN w:val="0"/>
              <w:adjustRightInd w:val="0"/>
              <w:jc w:val="left"/>
              <w:rPr>
                <w:rFonts w:ascii="Times New Roman" w:hAnsi="Times New Roman" w:eastAsia="仿宋_GB2312" w:cs="Times New Roman"/>
                <w:color w:val="000000"/>
                <w:kern w:val="0"/>
                <w:sz w:val="24"/>
                <w:szCs w:val="24"/>
              </w:rPr>
            </w:pPr>
          </w:p>
        </w:tc>
      </w:tr>
    </w:tbl>
    <w:p>
      <w:pPr>
        <w:autoSpaceDE w:val="0"/>
        <w:autoSpaceDN w:val="0"/>
        <w:adjustRightInd w:val="0"/>
        <w:jc w:val="left"/>
        <w:rPr>
          <w:rFonts w:ascii="Times New Roman" w:hAnsi="Times New Roman" w:cs="Times New Roman"/>
          <w:color w:val="000000"/>
          <w:kern w:val="0"/>
          <w:szCs w:val="21"/>
        </w:rPr>
      </w:pPr>
      <w:r>
        <w:rPr>
          <w:rFonts w:ascii="Times New Roman" w:hAnsi="宋体" w:cs="Times New Roman"/>
          <w:color w:val="000000"/>
          <w:kern w:val="0"/>
          <w:szCs w:val="21"/>
        </w:rPr>
        <w:t>填表说明：</w:t>
      </w:r>
    </w:p>
    <w:p>
      <w:pPr>
        <w:autoSpaceDE w:val="0"/>
        <w:autoSpaceDN w:val="0"/>
        <w:adjustRightInd w:val="0"/>
        <w:jc w:val="left"/>
        <w:rPr>
          <w:rFonts w:ascii="Times New Roman" w:hAnsi="Times New Roman" w:cs="Times New Roman"/>
          <w:color w:val="000000"/>
          <w:kern w:val="0"/>
          <w:szCs w:val="21"/>
        </w:rPr>
      </w:pPr>
      <w:r>
        <w:rPr>
          <w:rFonts w:ascii="Times New Roman" w:hAnsi="宋体" w:cs="Times New Roman"/>
          <w:color w:val="000000"/>
          <w:kern w:val="0"/>
          <w:szCs w:val="21"/>
        </w:rPr>
        <w:t>１</w:t>
      </w:r>
      <w:r>
        <w:rPr>
          <w:rFonts w:hint="eastAsia" w:ascii="Times New Roman" w:hAnsi="宋体" w:cs="Times New Roman"/>
          <w:color w:val="000000"/>
          <w:kern w:val="0"/>
          <w:szCs w:val="21"/>
        </w:rPr>
        <w:t>.</w:t>
      </w:r>
      <w:r>
        <w:rPr>
          <w:rFonts w:ascii="Times New Roman" w:hAnsi="宋体" w:cs="Times New Roman"/>
          <w:color w:val="000000"/>
          <w:kern w:val="0"/>
          <w:szCs w:val="21"/>
        </w:rPr>
        <w:t>境内公司填报本登记表，外汇局审核无误并在资本项目信息系统办理登记后，</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将加盖业务印章的业务登记凭证交境内公司。</w:t>
      </w:r>
    </w:p>
    <w:p>
      <w:pPr>
        <w:autoSpaceDE w:val="0"/>
        <w:autoSpaceDN w:val="0"/>
        <w:adjustRightInd w:val="0"/>
        <w:jc w:val="left"/>
        <w:rPr>
          <w:rFonts w:ascii="Times New Roman" w:hAnsi="Times New Roman" w:cs="Times New Roman"/>
          <w:color w:val="000000"/>
          <w:kern w:val="0"/>
          <w:szCs w:val="21"/>
        </w:rPr>
      </w:pPr>
      <w:r>
        <w:rPr>
          <w:rFonts w:ascii="Times New Roman" w:hAnsi="宋体" w:cs="Times New Roman"/>
          <w:color w:val="000000"/>
          <w:kern w:val="0"/>
          <w:szCs w:val="21"/>
        </w:rPr>
        <w:t>２</w:t>
      </w:r>
      <w:r>
        <w:rPr>
          <w:rFonts w:hint="eastAsia" w:ascii="Times New Roman" w:hAnsi="宋体" w:cs="Times New Roman"/>
          <w:color w:val="000000"/>
          <w:kern w:val="0"/>
          <w:szCs w:val="21"/>
        </w:rPr>
        <w:t>.</w:t>
      </w:r>
      <w:r>
        <w:rPr>
          <w:rFonts w:ascii="Times New Roman" w:hAnsi="宋体" w:cs="Times New Roman"/>
          <w:color w:val="000000"/>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color w:val="000000"/>
          <w:kern w:val="0"/>
          <w:szCs w:val="21"/>
        </w:rPr>
        <w:t>。</w:t>
      </w:r>
    </w:p>
    <w:p>
      <w:pPr>
        <w:adjustRightInd w:val="0"/>
        <w:snapToGrid w:val="0"/>
        <w:spacing w:line="360" w:lineRule="auto"/>
        <w:rPr>
          <w:rFonts w:ascii="Times New Roman" w:hAnsi="Times New Roman" w:eastAsia="仿宋_GB2312" w:cs="Times New Roman"/>
          <w:color w:val="000000"/>
          <w:kern w:val="0"/>
          <w:sz w:val="30"/>
          <w:szCs w:val="30"/>
        </w:rPr>
      </w:pPr>
      <w:r>
        <w:rPr>
          <w:rFonts w:ascii="Times New Roman" w:hAnsi="Times New Roman" w:cs="Times New Roman"/>
          <w:color w:val="000000"/>
        </w:rPr>
        <w:br w:type="page"/>
      </w:r>
      <w:r>
        <w:rPr>
          <w:rFonts w:ascii="Times New Roman" w:hAnsi="Times New Roman" w:eastAsia="仿宋_GB2312" w:cs="Times New Roman"/>
          <w:color w:val="000000"/>
          <w:kern w:val="0"/>
          <w:sz w:val="30"/>
          <w:szCs w:val="30"/>
        </w:rPr>
        <w:t xml:space="preserve">附录四            </w:t>
      </w:r>
    </w:p>
    <w:p>
      <w:pPr>
        <w:adjustRightInd w:val="0"/>
        <w:snapToGrid w:val="0"/>
        <w:spacing w:line="360" w:lineRule="auto"/>
        <w:rPr>
          <w:rFonts w:ascii="Times New Roman" w:hAnsi="Times New Roman" w:eastAsia="仿宋_GB2312" w:cs="Times New Roman"/>
          <w:b/>
          <w:color w:val="000000"/>
          <w:kern w:val="0"/>
          <w:sz w:val="30"/>
          <w:szCs w:val="30"/>
        </w:rPr>
      </w:pPr>
    </w:p>
    <w:p>
      <w:pPr>
        <w:adjustRightInd w:val="0"/>
        <w:snapToGrid w:val="0"/>
        <w:spacing w:line="360" w:lineRule="auto"/>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常见问题</w:t>
      </w:r>
    </w:p>
    <w:p>
      <w:pPr>
        <w:adjustRightInd w:val="0"/>
        <w:snapToGrid w:val="0"/>
        <w:spacing w:line="360" w:lineRule="auto"/>
        <w:jc w:val="center"/>
        <w:rPr>
          <w:rFonts w:ascii="Times New Roman" w:hAnsi="Times New Roman" w:eastAsia="黑体" w:cs="Times New Roman"/>
          <w:color w:val="000000"/>
          <w:sz w:val="30"/>
          <w:szCs w:val="30"/>
          <w:highlight w:val="yellow"/>
        </w:rPr>
      </w:pPr>
    </w:p>
    <w:p>
      <w:pPr>
        <w:adjustRightInd w:val="0"/>
        <w:snapToGrid w:val="0"/>
        <w:spacing w:line="360" w:lineRule="auto"/>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color w:val="000000"/>
        </w:rPr>
      </w:pPr>
      <w:r>
        <w:rPr>
          <w:rFonts w:ascii="Times New Roman" w:hAnsi="Times New Roman" w:eastAsia="仿宋_GB2312" w:cs="Times New Roman"/>
          <w:color w:val="000000"/>
          <w:kern w:val="0"/>
          <w:sz w:val="30"/>
          <w:szCs w:val="30"/>
        </w:rPr>
        <w:t>答：境内公司回购其境外股份的，应在拟回购前20个工作日内办理回购相关信息登记。</w:t>
      </w:r>
    </w:p>
    <w:p>
      <w:pPr>
        <w:rPr>
          <w:rFonts w:ascii="Times New Roman" w:hAnsi="Times New Roman" w:eastAsia="华文仿宋" w:cs="Times New Roman"/>
          <w:color w:val="000000"/>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78</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qFormat/>
    <w:uiPriority w:val="99"/>
    <w:pPr>
      <w:jc w:val="left"/>
    </w:pPr>
    <w:rPr>
      <w:rFonts w:cs="Times New Roman"/>
    </w:rPr>
  </w:style>
  <w:style w:type="paragraph" w:styleId="7">
    <w:name w:val="Balloon Text"/>
    <w:basedOn w:val="1"/>
    <w:link w:val="27"/>
    <w:unhideWhenUsed/>
    <w:qFormat/>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894</Words>
  <Characters>5098</Characters>
  <Lines>42</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韩美琪/收支处/长春/PBC</cp:lastModifiedBy>
  <cp:lastPrinted>2017-11-24T00:22:00Z</cp:lastPrinted>
  <dcterms:modified xsi:type="dcterms:W3CDTF">2023-09-01T05:51:14Z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