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color w:val="auto"/>
          <w:sz w:val="48"/>
          <w:szCs w:val="48"/>
        </w:rPr>
      </w:pPr>
      <w:bookmarkStart w:id="0" w:name="_GoBack"/>
      <w:bookmarkEnd w:id="0"/>
      <w:r>
        <w:rPr>
          <w:rFonts w:ascii="Times New Roman" w:hAnsi="Times New Roman" w:eastAsia="黑体" w:cs="Times New Roman"/>
          <w:color w:val="auto"/>
          <w:sz w:val="48"/>
          <w:szCs w:val="48"/>
        </w:rPr>
        <w:t xml:space="preserve">编号：57001-1              </w:t>
      </w:r>
      <w:r>
        <w:rPr>
          <w:rFonts w:ascii="Times New Roman" w:hAnsi="Times New Roman" w:eastAsia="黑体" w:cs="Times New Roman"/>
          <w:color w:val="auto"/>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“进口单位名录登记”</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项目编号：57001；</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子项名称：进口单位名录登记；</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四、办理依据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（四）《国家外汇管理局关于印发</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支付机构外汇业务管理办法</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（六）《国家外汇管理局关于印发</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经常项目外汇业务指引</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2020年版</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的通知》（汇发〔2020〕14号）。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申请人注册所在地国家外汇管理局</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（支付机构限于分局）。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申请人注册所在地国家外汇管理局</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（支付机构、审核交易电子信息的银行限于分局）。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八、办事条件</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支付机构外汇业务管理办法</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提出登记变更申请，并提供相关说明材料。</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（三）注销条件。支付机构1.被行业主管部门终止支付业务；</w:t>
      </w:r>
      <w:r>
        <w:rPr>
          <w:rFonts w:ascii="Times New Roman" w:hAnsi="Times New Roman" w:eastAsia="仿宋_GB2312" w:cs="Times New Roman"/>
          <w:b w:val="0"/>
          <w:bCs w:val="0"/>
          <w:color w:val="auto"/>
          <w:sz w:val="30"/>
          <w:szCs w:val="30"/>
        </w:rPr>
        <w:t>2.支付机构主动终止外汇业务，发生下列情况之一应在5个工作</w:t>
      </w:r>
      <w:r>
        <w:rPr>
          <w:rFonts w:ascii="Times New Roman" w:hAnsi="Times New Roman" w:eastAsia="仿宋_GB2312" w:cs="Times New Roman"/>
          <w:color w:val="auto"/>
          <w:sz w:val="30"/>
          <w:szCs w:val="30"/>
        </w:rPr>
        <w:t>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黑体" w:cs="Times New Roman"/>
          <w:color w:val="auto"/>
          <w:sz w:val="30"/>
          <w:szCs w:val="30"/>
        </w:rPr>
        <w:t>九、申请材料</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（一）进口单位名录登记申请材料清单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77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12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《贸易外汇收支企业名录登记申请表》</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126"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法定代表人签字并加盖公章。</w:t>
            </w:r>
          </w:p>
        </w:tc>
        <w:tc>
          <w:tcPr>
            <w:tcW w:w="1417" w:type="dxa"/>
            <w:vMerge w:val="restart"/>
            <w:vAlign w:val="center"/>
          </w:tcPr>
          <w:p>
            <w:pPr>
              <w:jc w:val="left"/>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营业执照</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126" w:type="dxa"/>
            <w:vAlign w:val="center"/>
          </w:tcPr>
          <w:p>
            <w:pPr>
              <w:keepNext/>
              <w:keepLine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53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12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《贸易外汇收支企业名录登记申请表》</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纸质 </w:t>
            </w:r>
          </w:p>
        </w:tc>
        <w:tc>
          <w:tcPr>
            <w:tcW w:w="2126"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营业执照</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color w:val="auto"/>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126"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126"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承诺函</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126"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126"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1539"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417"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（三）支付机构及审核交易电子信息的银行</w:t>
      </w:r>
      <w:r>
        <w:rPr>
          <w:rFonts w:ascii="Times New Roman" w:hAnsi="Times New Roman" w:eastAsia="仿宋_GB2312" w:cs="Times New Roman"/>
          <w:color w:val="auto"/>
          <w:kern w:val="0"/>
          <w:sz w:val="28"/>
          <w:szCs w:val="28"/>
        </w:rPr>
        <w:t>名录登记</w:t>
      </w:r>
      <w:r>
        <w:rPr>
          <w:rFonts w:ascii="Times New Roman" w:hAnsi="Times New Roman" w:eastAsia="仿宋_GB2312" w:cs="Times New Roman"/>
          <w:color w:val="auto"/>
          <w:sz w:val="30"/>
          <w:szCs w:val="30"/>
        </w:rPr>
        <w:t>变更材料清单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59"/>
        <w:gridCol w:w="1776"/>
        <w:gridCol w:w="1417"/>
        <w:gridCol w:w="567"/>
        <w:gridCol w:w="851"/>
        <w:gridCol w:w="1842"/>
        <w:gridCol w:w="1701"/>
      </w:tblGrid>
      <w:tr>
        <w:tc>
          <w:tcPr>
            <w:tcW w:w="45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77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84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1</w:t>
            </w:r>
          </w:p>
        </w:tc>
        <w:tc>
          <w:tcPr>
            <w:tcW w:w="177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color w:val="auto"/>
                <w:sz w:val="24"/>
                <w:szCs w:val="24"/>
              </w:rPr>
              <w:t>相应变更文件或证明</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color w:val="auto"/>
                <w:sz w:val="24"/>
                <w:szCs w:val="24"/>
              </w:rPr>
              <w:t>原件及加盖企业公章的复印件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1</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color w:val="auto"/>
                <w:sz w:val="24"/>
                <w:szCs w:val="24"/>
              </w:rPr>
              <w:t>纸质</w:t>
            </w:r>
          </w:p>
        </w:tc>
        <w:tc>
          <w:tcPr>
            <w:tcW w:w="184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color w:val="auto"/>
                <w:sz w:val="24"/>
                <w:szCs w:val="24"/>
              </w:rPr>
            </w:pPr>
          </w:p>
        </w:tc>
      </w:tr>
    </w:tbl>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04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343"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9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1103"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338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69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04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注销登记申请</w:t>
            </w:r>
          </w:p>
        </w:tc>
        <w:tc>
          <w:tcPr>
            <w:tcW w:w="134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59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0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338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支付机构被行业主管部门终止支付业务，支付机构名录登记相应失效</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04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终止外汇业务方案</w:t>
            </w:r>
          </w:p>
        </w:tc>
        <w:tc>
          <w:tcPr>
            <w:tcW w:w="134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59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0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color w:val="auto"/>
                <w:sz w:val="24"/>
                <w:szCs w:val="24"/>
              </w:rPr>
            </w:pPr>
          </w:p>
        </w:tc>
      </w:tr>
    </w:tbl>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十、申请接受</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w:t>
      </w:r>
      <w:r>
        <w:rPr>
          <w:rFonts w:hint="eastAsia" w:ascii="Times New Roman" w:hAnsi="Times New Roman" w:eastAsia="仿宋_GB2312" w:cs="Times New Roman"/>
          <w:color w:val="auto"/>
          <w:sz w:val="30"/>
          <w:szCs w:val="30"/>
        </w:rPr>
        <w:t>政务服务平台或外汇服务窗口</w:t>
      </w:r>
      <w:r>
        <w:rPr>
          <w:rFonts w:ascii="Times New Roman" w:hAnsi="Times New Roman" w:eastAsia="仿宋_GB2312" w:cs="Times New Roman"/>
          <w:color w:val="auto"/>
          <w:sz w:val="30"/>
          <w:szCs w:val="30"/>
        </w:rPr>
        <w:t>提交申请。</w:t>
      </w:r>
    </w:p>
    <w:p>
      <w:pPr>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政务服务平台网址：</w:t>
      </w:r>
      <w:r>
        <w:rPr>
          <w:color w:val="auto"/>
        </w:rPr>
        <w:fldChar w:fldCharType="begin"/>
      </w:r>
      <w:r>
        <w:rPr>
          <w:color w:val="auto"/>
        </w:rPr>
        <w:instrText xml:space="preserve">HYPERLINK "http://zwfw.safe.gov.cn/asone" </w:instrText>
      </w:r>
      <w:r>
        <w:rPr>
          <w:color w:val="auto"/>
        </w:rPr>
        <w:fldChar w:fldCharType="separate"/>
      </w:r>
      <w:r>
        <w:rPr>
          <w:rStyle w:val="6"/>
          <w:rFonts w:hint="eastAsia" w:ascii="Times New Roman" w:hAnsi="Times New Roman" w:eastAsia="仿宋_GB2312" w:cs="Times New Roman"/>
          <w:color w:val="auto"/>
          <w:sz w:val="30"/>
          <w:szCs w:val="30"/>
        </w:rPr>
        <w:t>http://zwfw.safe.gov.cn/asone</w:t>
      </w:r>
      <w:r>
        <w:rPr>
          <w:color w:val="auto"/>
        </w:rPr>
        <w:fldChar w:fldCharType="end"/>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十一、基本办理流程</w:t>
      </w:r>
    </w:p>
    <w:p>
      <w:pPr>
        <w:tabs>
          <w:tab w:val="left" w:pos="615"/>
        </w:tabs>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r>
        <w:rPr>
          <w:rFonts w:ascii="Times New Roman" w:hAnsi="Times New Roman" w:eastAsia="仿宋_GB2312" w:cs="Times New Roman"/>
          <w:color w:val="auto"/>
          <w:sz w:val="30"/>
          <w:szCs w:val="30"/>
        </w:rPr>
        <w:t>（一）申请人提交申请；</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（二）决定是否予以受理； </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（三）不属于本机构受理范围的，出具不予受理行政许可通知书； </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（五）材料齐全的，依法予以受理，并出具行政许可受理通知书；</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十二、办理方式</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一般程序：申请、受理、审查、决定。</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十三、审批时限</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20个工作日。</w:t>
      </w:r>
    </w:p>
    <w:p>
      <w:pPr>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十四、审批收费依据及标准</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十五、审批结果</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外汇局向申请企业出具行政许可决定书。</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十七、申请人权利和义务</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十八、咨询途径、监督和投诉</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w:t>
      </w:r>
      <w:r>
        <w:rPr>
          <w:rFonts w:ascii="Times New Roman" w:hAnsi="Times New Roman" w:eastAsia="仿宋_GB2312" w:cs="Times New Roman"/>
          <w:b w:val="0"/>
          <w:bCs w:val="0"/>
          <w:color w:val="auto"/>
          <w:sz w:val="30"/>
          <w:szCs w:val="30"/>
        </w:rPr>
        <w:t>网址为</w:t>
      </w:r>
      <w:r>
        <w:rPr>
          <w:b w:val="0"/>
          <w:bCs w:val="0"/>
          <w:color w:val="auto"/>
        </w:rPr>
        <w:fldChar w:fldCharType="begin"/>
      </w:r>
      <w:r>
        <w:rPr>
          <w:b w:val="0"/>
          <w:bCs w:val="0"/>
          <w:color w:val="auto"/>
        </w:rPr>
        <w:instrText xml:space="preserve">HYPERLINK "http://www.safe.gov.cn/" </w:instrText>
      </w:r>
      <w:r>
        <w:rPr>
          <w:b w:val="0"/>
          <w:bCs w:val="0"/>
          <w:color w:val="auto"/>
        </w:rPr>
        <w:fldChar w:fldCharType="separate"/>
      </w:r>
      <w:r>
        <w:rPr>
          <w:rStyle w:val="6"/>
          <w:rFonts w:ascii="Times New Roman" w:hAnsi="Times New Roman" w:eastAsia="仿宋_GB2312" w:cs="Times New Roman"/>
          <w:b w:val="0"/>
          <w:bCs w:val="0"/>
          <w:color w:val="auto"/>
          <w:sz w:val="30"/>
          <w:szCs w:val="30"/>
        </w:rPr>
        <w:t>www.safe.gov.cn</w:t>
      </w:r>
      <w:r>
        <w:rPr>
          <w:b w:val="0"/>
          <w:bCs w:val="0"/>
          <w:color w:val="auto"/>
        </w:rPr>
        <w:fldChar w:fldCharType="end"/>
      </w:r>
      <w:r>
        <w:rPr>
          <w:rFonts w:ascii="Times New Roman" w:hAnsi="Times New Roman" w:eastAsia="仿宋_GB2312" w:cs="Times New Roman"/>
          <w:color w:val="auto"/>
          <w:sz w:val="30"/>
          <w:szCs w:val="30"/>
        </w:rPr>
        <w:t>。</w:t>
      </w:r>
    </w:p>
    <w:p>
      <w:pPr>
        <w:ind w:firstLine="600"/>
        <w:rPr>
          <w:rFonts w:ascii="Times New Roman" w:hAnsi="Times New Roman" w:eastAsia="仿宋_GB2312" w:cs="Times New Roman"/>
          <w:color w:val="auto"/>
          <w:sz w:val="30"/>
          <w:szCs w:val="30"/>
        </w:rPr>
      </w:pPr>
      <w:r>
        <w:rPr>
          <w:rFonts w:ascii="Times New Roman" w:eastAsia="仿宋_GB2312" w:cs="Times New Roman"/>
          <w:color w:val="auto"/>
          <w:sz w:val="30"/>
          <w:szCs w:val="30"/>
        </w:rPr>
        <w:t>向外汇局吉林省分局及</w:t>
      </w:r>
      <w:r>
        <w:rPr>
          <w:rFonts w:hint="eastAsia" w:ascii="Times New Roman" w:eastAsia="仿宋_GB2312" w:cs="Times New Roman"/>
          <w:color w:val="auto"/>
          <w:sz w:val="30"/>
          <w:szCs w:val="30"/>
          <w:lang w:eastAsia="zh-CN"/>
        </w:rPr>
        <w:t>分支机构</w:t>
      </w:r>
      <w:r>
        <w:rPr>
          <w:rFonts w:ascii="Times New Roman" w:eastAsia="仿宋_GB2312" w:cs="Times New Roman"/>
          <w:color w:val="auto"/>
          <w:sz w:val="30"/>
          <w:szCs w:val="30"/>
        </w:rPr>
        <w:t>进行咨询、监督和投诉等可通过国家外汇管理局吉林省分局官方互联网站</w:t>
      </w:r>
      <w:r>
        <w:rPr>
          <w:rFonts w:ascii="Times New Roman" w:hAnsi="Times New Roman" w:eastAsia="仿宋_GB2312" w:cs="Times New Roman"/>
          <w:color w:val="auto"/>
          <w:sz w:val="30"/>
          <w:szCs w:val="30"/>
        </w:rPr>
        <w:t>“</w:t>
      </w:r>
      <w:r>
        <w:rPr>
          <w:rFonts w:ascii="Times New Roman" w:eastAsia="仿宋_GB2312" w:cs="Times New Roman"/>
          <w:color w:val="auto"/>
          <w:sz w:val="30"/>
          <w:szCs w:val="30"/>
        </w:rPr>
        <w:t>咨询反馈</w:t>
      </w:r>
      <w:r>
        <w:rPr>
          <w:rFonts w:ascii="Times New Roman" w:hAnsi="Times New Roman" w:eastAsia="仿宋_GB2312" w:cs="Times New Roman"/>
          <w:color w:val="auto"/>
          <w:sz w:val="30"/>
          <w:szCs w:val="30"/>
        </w:rPr>
        <w:t>”</w:t>
      </w:r>
      <w:r>
        <w:rPr>
          <w:rFonts w:ascii="Times New Roman" w:eastAsia="仿宋_GB2312" w:cs="Times New Roman"/>
          <w:color w:val="auto"/>
          <w:sz w:val="30"/>
          <w:szCs w:val="30"/>
        </w:rPr>
        <w:t>栏目进行。网址为</w:t>
      </w:r>
      <w:r>
        <w:rPr>
          <w:color w:val="auto"/>
        </w:rPr>
        <w:fldChar w:fldCharType="begin"/>
      </w:r>
      <w:r>
        <w:rPr>
          <w:color w:val="auto"/>
        </w:rPr>
        <w:instrText xml:space="preserve">HYPERLINK "http://www.safe.gov.cn/jilin" </w:instrText>
      </w:r>
      <w:r>
        <w:rPr>
          <w:color w:val="auto"/>
        </w:rPr>
        <w:fldChar w:fldCharType="separate"/>
      </w:r>
      <w:r>
        <w:rPr>
          <w:rStyle w:val="6"/>
          <w:rFonts w:ascii="Times New Roman" w:hAnsi="Times New Roman" w:eastAsia="仿宋_GB2312" w:cs="Times New Roman"/>
          <w:color w:val="auto"/>
          <w:sz w:val="30"/>
          <w:szCs w:val="30"/>
        </w:rPr>
        <w:t>www.safe.gov.cn/jilin</w:t>
      </w:r>
      <w:r>
        <w:rPr>
          <w:color w:val="auto"/>
        </w:rPr>
        <w:fldChar w:fldCharType="end"/>
      </w:r>
      <w:r>
        <w:rPr>
          <w:rFonts w:ascii="Times New Roman" w:eastAsia="仿宋_GB2312" w:cs="Times New Roman"/>
          <w:color w:val="auto"/>
          <w:sz w:val="30"/>
          <w:szCs w:val="30"/>
        </w:rPr>
        <w:t>，也可通过国家外汇管理局吉林省分局官方互联网站</w:t>
      </w:r>
      <w:r>
        <w:rPr>
          <w:rFonts w:ascii="Times New Roman" w:hAnsi="Times New Roman" w:eastAsia="仿宋_GB2312" w:cs="Times New Roman"/>
          <w:color w:val="auto"/>
          <w:sz w:val="30"/>
          <w:szCs w:val="30"/>
        </w:rPr>
        <w:t>“</w:t>
      </w:r>
      <w:r>
        <w:rPr>
          <w:rFonts w:ascii="Times New Roman" w:eastAsia="仿宋_GB2312" w:cs="Times New Roman"/>
          <w:color w:val="auto"/>
          <w:sz w:val="30"/>
          <w:szCs w:val="30"/>
        </w:rPr>
        <w:t>咨询反馈</w:t>
      </w:r>
      <w:r>
        <w:rPr>
          <w:rFonts w:ascii="Times New Roman" w:hAnsi="Times New Roman" w:eastAsia="仿宋_GB2312" w:cs="Times New Roman"/>
          <w:color w:val="auto"/>
          <w:sz w:val="30"/>
          <w:szCs w:val="30"/>
        </w:rPr>
        <w:t>——</w:t>
      </w:r>
      <w:r>
        <w:rPr>
          <w:rFonts w:ascii="Times New Roman" w:eastAsia="仿宋_GB2312" w:cs="Times New Roman"/>
          <w:color w:val="auto"/>
          <w:sz w:val="30"/>
          <w:szCs w:val="30"/>
        </w:rPr>
        <w:t>联系我们</w:t>
      </w:r>
      <w:r>
        <w:rPr>
          <w:rFonts w:ascii="Times New Roman" w:hAnsi="Times New Roman" w:eastAsia="仿宋_GB2312" w:cs="Times New Roman"/>
          <w:color w:val="auto"/>
          <w:sz w:val="30"/>
          <w:szCs w:val="30"/>
        </w:rPr>
        <w:t>”</w:t>
      </w:r>
      <w:r>
        <w:rPr>
          <w:rFonts w:ascii="Times New Roman" w:eastAsia="仿宋_GB2312" w:cs="Times New Roman"/>
          <w:color w:val="auto"/>
          <w:sz w:val="30"/>
          <w:szCs w:val="30"/>
        </w:rPr>
        <w:t>栏目中公布的电话进行。</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十九、事项审查类型</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二十、办公地址和时间</w:t>
      </w:r>
    </w:p>
    <w:p>
      <w:pPr>
        <w:ind w:firstLine="600" w:firstLineChars="200"/>
        <w:rPr>
          <w:rFonts w:ascii="Times New Roman" w:hAnsi="Times New Roman" w:eastAsia="仿宋_GB2312" w:cs="Times New Roman"/>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二十一、常见问题解答及错误示例</w:t>
      </w:r>
    </w:p>
    <w:p>
      <w:pPr>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2</w:t>
      </w:r>
      <w:r>
        <w:rPr>
          <w:rFonts w:ascii="Times New Roman" w:hAnsi="Times New Roman" w:eastAsia="仿宋_GB2312" w:cs="Times New Roman"/>
          <w:color w:val="auto"/>
          <w:kern w:val="0"/>
          <w:sz w:val="30"/>
          <w:szCs w:val="30"/>
        </w:rPr>
        <w:t>.错误示例</w:t>
      </w:r>
    </w:p>
    <w:p>
      <w:pPr>
        <w:widowControl/>
        <w:spacing w:line="384"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仿宋_GB2312" w:cs="Times New Roman"/>
          <w:color w:val="auto"/>
          <w:kern w:val="2"/>
          <w:sz w:val="30"/>
          <w:szCs w:val="30"/>
          <w:lang w:val="en-US" w:eastAsia="zh-CN" w:bidi="ar-SA"/>
        </w:rPr>
        <w:pict>
          <v:shape id="_x0000_s1103"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kern w:val="2"/>
          <w:sz w:val="30"/>
          <w:szCs w:val="30"/>
          <w:lang w:val="en-US" w:eastAsia="zh-CN" w:bidi="ar-SA"/>
        </w:rPr>
        <w:pict>
          <v:shape id="_x0000_s1111" o:spid="_x0000_s1028" type="#_x0000_t32" style="position:absolute;left:0;margin-left:41.45pt;margin-top:6.65pt;height:57.95pt;width:0.05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5"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4"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color w:val="auto"/>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color w:val="auto"/>
          <w:kern w:val="2"/>
          <w:sz w:val="30"/>
          <w:szCs w:val="30"/>
          <w:lang w:val="en-US" w:eastAsia="zh-CN" w:bidi="ar-SA"/>
        </w:rPr>
        <w:pict>
          <v:shape id="_x0000_s1117" o:spid="_x0000_s1031" type="#_x0000_t32" style="position:absolute;left:0;margin-left:236.5pt;margin-top:334.05pt;height:50.5pt;width:0.8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09"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color w:val="auto"/>
          <w:kern w:val="2"/>
          <w:sz w:val="30"/>
          <w:szCs w:val="30"/>
          <w:lang w:val="en-US" w:eastAsia="zh-CN" w:bidi="ar-SA"/>
        </w:rPr>
        <w:pict>
          <v:shape id="_x0000_s1110"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color w:val="auto"/>
          <w:kern w:val="2"/>
          <w:sz w:val="30"/>
          <w:szCs w:val="30"/>
          <w:lang w:val="en-US" w:eastAsia="zh-CN" w:bidi="ar-SA"/>
        </w:rPr>
        <w:pict>
          <v:shape id="_x0000_s1118" o:spid="_x0000_s1034" type="#_x0000_t32" style="position:absolute;left:0;margin-left:131.35pt;margin-top:339.3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3" o:spid="_x0000_s1035" type="#_x0000_t32" style="position:absolute;left:0;margin-left:93.35pt;margin-top:103.05pt;height:0.05pt;width:58.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05"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color w:val="auto"/>
          <w:kern w:val="2"/>
          <w:sz w:val="30"/>
          <w:szCs w:val="30"/>
          <w:lang w:val="en-US" w:eastAsia="zh-CN" w:bidi="ar-SA"/>
        </w:rPr>
        <w:pict>
          <v:shape id="_x0000_s1116" o:spid="_x0000_s1037" type="#_x0000_t32" style="position:absolute;left:0;margin-left:179.6pt;margin-top:231.3pt;height:36.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21"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color w:val="auto"/>
          <w:kern w:val="2"/>
          <w:sz w:val="30"/>
          <w:szCs w:val="30"/>
          <w:lang w:val="en-US" w:eastAsia="zh-CN" w:bidi="ar-SA"/>
        </w:rPr>
        <w:pict>
          <v:shape id="_x0000_s1119" o:spid="_x0000_s1039" type="#_x0000_t32" style="position:absolute;left:0;margin-left:40.6pt;margin-top:132.95pt;height:49.9pt;width:0.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6"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color w:val="auto"/>
          <w:kern w:val="2"/>
          <w:sz w:val="30"/>
          <w:szCs w:val="30"/>
          <w:lang w:val="en-US" w:eastAsia="zh-CN" w:bidi="ar-SA"/>
        </w:rPr>
        <w:pict>
          <v:shape id="_x0000_s1120" o:spid="_x0000_s1041" type="#_x0000_t32" style="position:absolute;left:0;margin-left:40.6pt;margin-top:182.85pt;height:0.05pt;width:41.1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7"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color w:val="auto"/>
          <w:kern w:val="2"/>
          <w:sz w:val="30"/>
          <w:szCs w:val="30"/>
          <w:lang w:val="en-US" w:eastAsia="zh-CN" w:bidi="ar-SA"/>
        </w:rPr>
        <w:pict>
          <v:shape id="_x0000_s1114" o:spid="_x0000_s1043" type="#_x0000_t32" style="position:absolute;left:0;flip:y;margin-left:345.35pt;margin-top:4.1pt;height:44.7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8"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color w:val="auto"/>
          <w:kern w:val="2"/>
          <w:sz w:val="30"/>
          <w:szCs w:val="30"/>
          <w:lang w:val="en-US" w:eastAsia="zh-CN" w:bidi="ar-SA"/>
        </w:rPr>
        <w:pict>
          <v:shape id="_x0000_s1112" o:spid="_x0000_s1045" type="#_x0000_t32" style="position:absolute;left:0;margin-left:93.35pt;margin-top:61.45pt;height:0.05pt;width:58.6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附录二（材料示范文本）</w:t>
      </w:r>
    </w:p>
    <w:p>
      <w:pPr>
        <w:widowControl/>
        <w:spacing w:line="384" w:lineRule="auto"/>
        <w:jc w:val="left"/>
        <w:rPr>
          <w:rFonts w:ascii="Times New Roman" w:hAnsi="Times New Roman" w:eastAsia="仿宋_GB2312" w:cs="Times New Roman"/>
          <w:color w:val="auto"/>
          <w:kern w:val="0"/>
          <w:sz w:val="30"/>
          <w:szCs w:val="30"/>
        </w:rPr>
      </w:pPr>
    </w:p>
    <w:p>
      <w:pPr>
        <w:ind w:right="300"/>
        <w:jc w:val="center"/>
        <w:rPr>
          <w:rFonts w:ascii="Times New Roman" w:hAnsi="Times New Roman" w:eastAsia="黑体" w:cs="Times New Roman"/>
          <w:bCs/>
          <w:color w:val="auto"/>
          <w:kern w:val="0"/>
          <w:sz w:val="24"/>
          <w:szCs w:val="24"/>
        </w:rPr>
      </w:pPr>
      <w:r>
        <w:rPr>
          <w:rFonts w:ascii="Times New Roman" w:hAnsi="Times New Roman" w:eastAsia="黑体" w:cs="Times New Roman"/>
          <w:color w:val="auto"/>
          <w:kern w:val="0"/>
          <w:sz w:val="30"/>
          <w:szCs w:val="30"/>
        </w:rPr>
        <w:t>　　</w:t>
      </w:r>
      <w:r>
        <w:rPr>
          <w:rFonts w:ascii="Times New Roman" w:hAnsi="Times New Roman" w:eastAsia="黑体" w:cs="Times New Roman"/>
          <w:color w:val="auto"/>
          <w:kern w:val="0"/>
          <w:sz w:val="24"/>
          <w:szCs w:val="24"/>
        </w:rPr>
        <w:t>贸易外汇收支企业名录</w:t>
      </w:r>
      <w:r>
        <w:rPr>
          <w:rFonts w:ascii="Times New Roman" w:hAnsi="Times New Roman" w:eastAsia="黑体" w:cs="Times New Roman"/>
          <w:bCs/>
          <w:color w:val="auto"/>
          <w:kern w:val="0"/>
          <w:sz w:val="24"/>
          <w:szCs w:val="24"/>
        </w:rPr>
        <w:t>登记申请表</w:t>
      </w:r>
    </w:p>
    <w:p>
      <w:pPr>
        <w:ind w:right="300"/>
        <w:jc w:val="center"/>
        <w:rPr>
          <w:rFonts w:ascii="Times New Roman" w:hAnsi="Times New Roman" w:eastAsia="黑体" w:cs="Times New Roman"/>
          <w:b/>
          <w:bCs/>
          <w:color w:val="auto"/>
          <w:kern w:val="0"/>
          <w:sz w:val="24"/>
          <w:szCs w:val="24"/>
        </w:rPr>
      </w:pPr>
    </w:p>
    <w:p>
      <w:pPr>
        <w:spacing w:line="384" w:lineRule="auto"/>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□营业执照副本</w:t>
      </w:r>
    </w:p>
    <w:p>
      <w:pPr>
        <w:spacing w:line="384" w:lineRule="auto"/>
        <w:ind w:right="301"/>
        <w:jc w:val="left"/>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（注：以上资料需提供原件及加盖企业公章的复印件。）</w:t>
      </w:r>
    </w:p>
    <w:tbl>
      <w:tblPr>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52"/>
        <w:gridCol w:w="1134"/>
        <w:gridCol w:w="1566"/>
        <w:gridCol w:w="277"/>
        <w:gridCol w:w="1134"/>
        <w:gridCol w:w="179"/>
        <w:gridCol w:w="1013"/>
        <w:gridCol w:w="509"/>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统一社会用</w:t>
            </w:r>
          </w:p>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color w:val="auto"/>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行业类型代码</w:t>
            </w:r>
          </w:p>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lang w:val="en-US" w:eastAsia="zh-CN" w:bidi="ar-SA"/>
              </w:rPr>
              <w:pict>
                <v:shape id="_x0000_s1122" o:spid="_x0000_s1046" type="#_x0000_t32" style="position:absolute;left:0;flip:y;margin-left:142.45pt;margin-top:0.8pt;height:19.7pt;width:198.6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color w:val="auto"/>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 xml:space="preserve">是否对外贸易 </w:t>
            </w:r>
          </w:p>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是 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color w:val="auto"/>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color w:val="auto"/>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color w:val="auto"/>
                <w:kern w:val="0"/>
                <w:sz w:val="24"/>
                <w:szCs w:val="24"/>
              </w:rPr>
            </w:pPr>
          </w:p>
        </w:tc>
      </w:tr>
    </w:tbl>
    <w:p>
      <w:pPr>
        <w:spacing w:line="560" w:lineRule="exact"/>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 xml:space="preserve">    </w:t>
      </w:r>
    </w:p>
    <w:p>
      <w:pPr>
        <w:spacing w:line="560" w:lineRule="exact"/>
        <w:ind w:right="-58"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 xml:space="preserve">                                    企业（公章）：</w:t>
      </w:r>
    </w:p>
    <w:p>
      <w:pPr>
        <w:spacing w:line="560" w:lineRule="exact"/>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 xml:space="preserve">                              法定代表人（签字）：</w:t>
      </w:r>
    </w:p>
    <w:p>
      <w:pPr>
        <w:spacing w:line="560" w:lineRule="exact"/>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 xml:space="preserve">                              申请日期：    年     月     日                              </w:t>
      </w:r>
    </w:p>
    <w:p>
      <w:pPr>
        <w:spacing w:line="560" w:lineRule="exact"/>
        <w:ind w:right="301"/>
        <w:jc w:val="left"/>
        <w:rPr>
          <w:rFonts w:ascii="Times New Roman" w:hAnsi="Times New Roman" w:eastAsia="仿宋_GB2312" w:cs="Times New Roman"/>
          <w:color w:val="auto"/>
          <w:kern w:val="0"/>
          <w:sz w:val="30"/>
          <w:szCs w:val="30"/>
        </w:rPr>
      </w:pPr>
    </w:p>
    <w:p>
      <w:pPr>
        <w:spacing w:line="560" w:lineRule="exact"/>
        <w:ind w:right="301"/>
        <w:jc w:val="left"/>
        <w:rPr>
          <w:rFonts w:ascii="Times New Roman" w:hAnsi="Times New Roman" w:eastAsia="仿宋_GB2312" w:cs="Times New Roman"/>
          <w:color w:val="auto"/>
          <w:kern w:val="0"/>
          <w:sz w:val="30"/>
          <w:szCs w:val="30"/>
        </w:rPr>
      </w:pPr>
    </w:p>
    <w:p>
      <w:pPr>
        <w:spacing w:line="560" w:lineRule="exact"/>
        <w:ind w:right="301"/>
        <w:jc w:val="left"/>
        <w:rPr>
          <w:rFonts w:ascii="Times New Roman" w:hAnsi="Times New Roman" w:eastAsia="仿宋_GB2312" w:cs="Times New Roman"/>
          <w:color w:val="auto"/>
          <w:kern w:val="0"/>
          <w:sz w:val="24"/>
          <w:szCs w:val="24"/>
        </w:rPr>
      </w:pPr>
    </w:p>
    <w:p>
      <w:pPr>
        <w:spacing w:line="560" w:lineRule="exact"/>
        <w:ind w:right="301"/>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9</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修订1"/>
    <w:hidden/>
    <w:semiHidden/>
    <w:qFormat/>
    <w:uiPriority w:val="99"/>
    <w:rPr>
      <w:rFonts w:ascii="Calibri" w:hAnsi="Calibri" w:eastAsia="宋体" w:cs="黑体"/>
      <w:kern w:val="2"/>
      <w:sz w:val="21"/>
      <w:szCs w:val="22"/>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729</Words>
  <Characters>4156</Characters>
  <Lines>34</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韩美琪/收支处/长春/PBC</cp:lastModifiedBy>
  <cp:lastPrinted>2020-05-08T08:38:00Z</cp:lastPrinted>
  <dcterms:modified xsi:type="dcterms:W3CDTF">2023-09-01T06:17:18Z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