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00" w:lineRule="exact"/>
        <w:rPr>
          <w:color w:val="auto"/>
          <w:sz w:val="24"/>
          <w:szCs w:val="24"/>
        </w:rPr>
      </w:pPr>
      <w:bookmarkStart w:id="0" w:name="page1"/>
      <w:bookmarkEnd w:id="0"/>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346" w:lineRule="exact"/>
        <w:rPr>
          <w:color w:val="auto"/>
          <w:sz w:val="24"/>
          <w:szCs w:val="24"/>
          <w:highlight w:val="none"/>
        </w:rPr>
      </w:pPr>
    </w:p>
    <w:p>
      <w:pPr>
        <w:spacing w:after="0" w:line="548" w:lineRule="exact"/>
        <w:ind w:left="360"/>
        <w:rPr>
          <w:color w:val="auto"/>
          <w:sz w:val="20"/>
          <w:szCs w:val="20"/>
          <w:highlight w:val="none"/>
        </w:rPr>
      </w:pPr>
      <w:r>
        <w:rPr>
          <w:rFonts w:ascii="黑体" w:hAnsi="黑体" w:eastAsia="黑体" w:cs="黑体"/>
          <w:color w:val="auto"/>
          <w:sz w:val="48"/>
          <w:szCs w:val="48"/>
          <w:highlight w:val="none"/>
        </w:rPr>
        <w:t>编号：57016</w:t>
      </w: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81" w:lineRule="exact"/>
        <w:jc w:val="center"/>
        <w:rPr>
          <w:color w:val="auto"/>
          <w:sz w:val="24"/>
          <w:szCs w:val="24"/>
          <w:highlight w:val="none"/>
        </w:rPr>
      </w:pPr>
    </w:p>
    <w:p>
      <w:pPr>
        <w:spacing w:after="0" w:line="732" w:lineRule="exact"/>
        <w:jc w:val="center"/>
        <w:rPr>
          <w:color w:val="auto"/>
          <w:sz w:val="20"/>
          <w:szCs w:val="20"/>
          <w:highlight w:val="none"/>
        </w:rPr>
      </w:pPr>
      <w:r>
        <w:rPr>
          <w:rFonts w:ascii="黑体" w:hAnsi="黑体" w:eastAsia="黑体" w:cs="黑体"/>
          <w:color w:val="auto"/>
          <w:sz w:val="52"/>
          <w:szCs w:val="52"/>
          <w:highlight w:val="none"/>
        </w:rPr>
        <w:t>“外币现钞提取、调运和携带出境审核”行政审批服务指南</w:t>
      </w:r>
    </w:p>
    <w:p>
      <w:pPr>
        <w:spacing w:after="0" w:line="200" w:lineRule="exact"/>
        <w:jc w:val="left"/>
        <w:rPr>
          <w:color w:val="auto"/>
          <w:sz w:val="24"/>
          <w:szCs w:val="24"/>
          <w:highlight w:val="none"/>
        </w:rPr>
      </w:pPr>
    </w:p>
    <w:p>
      <w:pPr>
        <w:spacing w:after="0" w:line="200" w:lineRule="exact"/>
        <w:jc w:val="left"/>
        <w:rPr>
          <w:color w:val="auto"/>
          <w:sz w:val="24"/>
          <w:szCs w:val="24"/>
          <w:highlight w:val="none"/>
        </w:rPr>
      </w:pPr>
    </w:p>
    <w:p>
      <w:pPr>
        <w:spacing w:after="0" w:line="200" w:lineRule="exact"/>
        <w:jc w:val="left"/>
        <w:rPr>
          <w:color w:val="auto"/>
          <w:sz w:val="24"/>
          <w:szCs w:val="24"/>
          <w:highlight w:val="none"/>
        </w:rPr>
      </w:pPr>
    </w:p>
    <w:p>
      <w:pPr>
        <w:spacing w:after="0" w:line="200" w:lineRule="exact"/>
        <w:jc w:val="left"/>
        <w:rPr>
          <w:color w:val="auto"/>
          <w:sz w:val="24"/>
          <w:szCs w:val="24"/>
          <w:highlight w:val="none"/>
        </w:rPr>
      </w:pPr>
    </w:p>
    <w:p>
      <w:pPr>
        <w:spacing w:after="0" w:line="200" w:lineRule="exact"/>
        <w:jc w:val="left"/>
        <w:rPr>
          <w:color w:val="auto"/>
          <w:sz w:val="24"/>
          <w:szCs w:val="24"/>
          <w:highlight w:val="none"/>
        </w:rPr>
      </w:pPr>
    </w:p>
    <w:p>
      <w:pPr>
        <w:spacing w:after="0" w:line="200" w:lineRule="exact"/>
        <w:jc w:val="left"/>
        <w:rPr>
          <w:color w:val="auto"/>
          <w:sz w:val="24"/>
          <w:szCs w:val="24"/>
          <w:highlight w:val="none"/>
        </w:rPr>
      </w:pPr>
    </w:p>
    <w:p>
      <w:pPr>
        <w:spacing w:after="0" w:line="200" w:lineRule="exact"/>
        <w:jc w:val="left"/>
        <w:rPr>
          <w:color w:val="auto"/>
          <w:sz w:val="24"/>
          <w:szCs w:val="24"/>
          <w:highlight w:val="none"/>
        </w:rPr>
      </w:pPr>
    </w:p>
    <w:p>
      <w:pPr>
        <w:spacing w:after="0" w:line="200" w:lineRule="exact"/>
        <w:jc w:val="lef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310" w:lineRule="exact"/>
        <w:rPr>
          <w:color w:val="auto"/>
          <w:sz w:val="24"/>
          <w:szCs w:val="24"/>
          <w:highlight w:val="none"/>
        </w:rPr>
      </w:pPr>
    </w:p>
    <w:p>
      <w:pPr>
        <w:spacing w:after="0" w:line="518" w:lineRule="exact"/>
        <w:ind w:left="1920" w:right="1340"/>
        <w:jc w:val="center"/>
        <w:rPr>
          <w:rFonts w:ascii="仿宋" w:hAnsi="仿宋" w:eastAsia="仿宋" w:cs="仿宋"/>
          <w:color w:val="auto"/>
          <w:sz w:val="30"/>
          <w:szCs w:val="30"/>
          <w:highlight w:val="none"/>
        </w:rPr>
      </w:pPr>
      <w:r>
        <w:rPr>
          <w:rFonts w:ascii="仿宋" w:hAnsi="仿宋" w:eastAsia="仿宋" w:cs="仿宋"/>
          <w:color w:val="auto"/>
          <w:sz w:val="30"/>
          <w:szCs w:val="30"/>
          <w:highlight w:val="none"/>
        </w:rPr>
        <w:t>发布日期：</w:t>
      </w:r>
      <w:bookmarkStart w:id="24" w:name="_GoBack"/>
      <w:r>
        <w:rPr>
          <w:rFonts w:ascii="仿宋" w:hAnsi="仿宋" w:eastAsia="仿宋" w:cs="仿宋"/>
          <w:color w:val="auto"/>
          <w:sz w:val="30"/>
          <w:szCs w:val="30"/>
          <w:highlight w:val="none"/>
        </w:rPr>
        <w:t>20</w:t>
      </w:r>
      <w:r>
        <w:rPr>
          <w:rFonts w:hint="eastAsia" w:ascii="仿宋" w:hAnsi="仿宋" w:eastAsia="仿宋" w:cs="仿宋"/>
          <w:color w:val="auto"/>
          <w:sz w:val="30"/>
          <w:szCs w:val="30"/>
          <w:highlight w:val="none"/>
          <w:lang w:val="en-US" w:eastAsia="zh-CN"/>
        </w:rPr>
        <w:t>20</w:t>
      </w:r>
      <w:r>
        <w:rPr>
          <w:rFonts w:ascii="仿宋" w:hAnsi="仿宋" w:eastAsia="仿宋" w:cs="仿宋"/>
          <w:color w:val="auto"/>
          <w:sz w:val="30"/>
          <w:szCs w:val="30"/>
          <w:highlight w:val="none"/>
        </w:rPr>
        <w:t xml:space="preserve"> 年</w:t>
      </w:r>
      <w:r>
        <w:rPr>
          <w:rFonts w:hint="eastAsia" w:ascii="仿宋" w:hAnsi="仿宋" w:eastAsia="仿宋" w:cs="仿宋"/>
          <w:color w:val="auto"/>
          <w:sz w:val="30"/>
          <w:szCs w:val="30"/>
          <w:highlight w:val="none"/>
          <w:lang w:val="en-US" w:eastAsia="zh-CN"/>
        </w:rPr>
        <w:t>12</w:t>
      </w:r>
      <w:r>
        <w:rPr>
          <w:rFonts w:ascii="仿宋" w:hAnsi="仿宋" w:eastAsia="仿宋" w:cs="仿宋"/>
          <w:color w:val="auto"/>
          <w:sz w:val="30"/>
          <w:szCs w:val="30"/>
          <w:highlight w:val="none"/>
        </w:rPr>
        <w:t>月</w:t>
      </w:r>
      <w:r>
        <w:rPr>
          <w:rFonts w:hint="eastAsia" w:ascii="仿宋" w:hAnsi="仿宋" w:eastAsia="仿宋" w:cs="仿宋"/>
          <w:color w:val="auto"/>
          <w:sz w:val="30"/>
          <w:szCs w:val="30"/>
          <w:highlight w:val="none"/>
          <w:lang w:val="en-US" w:eastAsia="zh-CN"/>
        </w:rPr>
        <w:t>1</w:t>
      </w:r>
      <w:r>
        <w:rPr>
          <w:rFonts w:ascii="仿宋" w:hAnsi="仿宋" w:eastAsia="仿宋" w:cs="仿宋"/>
          <w:color w:val="auto"/>
          <w:sz w:val="30"/>
          <w:szCs w:val="30"/>
          <w:highlight w:val="none"/>
        </w:rPr>
        <w:t>日</w:t>
      </w:r>
      <w:bookmarkEnd w:id="24"/>
    </w:p>
    <w:p>
      <w:pPr>
        <w:spacing w:after="0" w:line="518" w:lineRule="exact"/>
        <w:ind w:left="1920" w:right="1340"/>
        <w:jc w:val="center"/>
        <w:rPr>
          <w:rFonts w:ascii="仿宋" w:hAnsi="仿宋" w:eastAsia="仿宋" w:cs="仿宋"/>
          <w:color w:val="auto"/>
          <w:sz w:val="30"/>
          <w:szCs w:val="30"/>
          <w:highlight w:val="none"/>
        </w:rPr>
      </w:pPr>
      <w:r>
        <w:rPr>
          <w:rFonts w:ascii="仿宋" w:hAnsi="仿宋" w:eastAsia="仿宋" w:cs="仿宋"/>
          <w:color w:val="auto"/>
          <w:sz w:val="30"/>
          <w:szCs w:val="30"/>
          <w:highlight w:val="none"/>
        </w:rPr>
        <w:t>实施日期：</w:t>
      </w:r>
      <w:r>
        <w:rPr>
          <w:rFonts w:hint="eastAsia" w:ascii="仿宋" w:hAnsi="仿宋" w:eastAsia="仿宋" w:cs="仿宋"/>
          <w:color w:val="auto"/>
          <w:sz w:val="30"/>
          <w:szCs w:val="30"/>
          <w:highlight w:val="none"/>
          <w:lang w:val="en-US" w:eastAsia="zh-CN"/>
        </w:rPr>
        <w:t>2020</w:t>
      </w:r>
      <w:r>
        <w:rPr>
          <w:rFonts w:ascii="仿宋" w:hAnsi="仿宋" w:eastAsia="仿宋" w:cs="仿宋"/>
          <w:color w:val="auto"/>
          <w:sz w:val="30"/>
          <w:szCs w:val="30"/>
          <w:highlight w:val="none"/>
        </w:rPr>
        <w:t xml:space="preserve"> 年</w:t>
      </w:r>
      <w:r>
        <w:rPr>
          <w:rFonts w:hint="eastAsia" w:ascii="仿宋" w:hAnsi="仿宋" w:eastAsia="仿宋" w:cs="仿宋"/>
          <w:color w:val="auto"/>
          <w:sz w:val="30"/>
          <w:szCs w:val="30"/>
          <w:highlight w:val="none"/>
          <w:lang w:val="en-US" w:eastAsia="zh-CN"/>
        </w:rPr>
        <w:t>12</w:t>
      </w:r>
      <w:r>
        <w:rPr>
          <w:rFonts w:ascii="仿宋" w:hAnsi="仿宋" w:eastAsia="仿宋" w:cs="仿宋"/>
          <w:color w:val="auto"/>
          <w:sz w:val="30"/>
          <w:szCs w:val="30"/>
          <w:highlight w:val="none"/>
        </w:rPr>
        <w:t>月</w:t>
      </w:r>
      <w:r>
        <w:rPr>
          <w:rFonts w:hint="eastAsia" w:ascii="仿宋" w:hAnsi="仿宋" w:eastAsia="仿宋" w:cs="仿宋"/>
          <w:color w:val="auto"/>
          <w:sz w:val="30"/>
          <w:szCs w:val="30"/>
          <w:highlight w:val="none"/>
          <w:lang w:val="en-US" w:eastAsia="zh-CN"/>
        </w:rPr>
        <w:t>1</w:t>
      </w:r>
      <w:r>
        <w:rPr>
          <w:rFonts w:ascii="仿宋" w:hAnsi="仿宋" w:eastAsia="仿宋" w:cs="仿宋"/>
          <w:color w:val="auto"/>
          <w:sz w:val="30"/>
          <w:szCs w:val="30"/>
          <w:highlight w:val="none"/>
        </w:rPr>
        <w:t>日</w:t>
      </w:r>
    </w:p>
    <w:p>
      <w:pPr>
        <w:spacing w:after="0" w:line="518" w:lineRule="exact"/>
        <w:ind w:left="1920" w:right="1340"/>
        <w:jc w:val="center"/>
        <w:rPr>
          <w:color w:val="auto"/>
          <w:sz w:val="20"/>
          <w:szCs w:val="20"/>
          <w:highlight w:val="none"/>
        </w:rPr>
      </w:pPr>
      <w:r>
        <w:rPr>
          <w:rFonts w:ascii="仿宋" w:hAnsi="仿宋" w:eastAsia="仿宋" w:cs="仿宋"/>
          <w:color w:val="auto"/>
          <w:sz w:val="30"/>
          <w:szCs w:val="30"/>
          <w:highlight w:val="none"/>
        </w:rPr>
        <w:t>发布机构：国家外汇管理局江西省分局</w:t>
      </w:r>
    </w:p>
    <w:p>
      <w:pPr>
        <w:rPr>
          <w:highlight w:val="none"/>
        </w:rPr>
        <w:sectPr>
          <w:footerReference r:id="rId4" w:type="default"/>
          <w:pgSz w:w="11900" w:h="16838"/>
          <w:pgMar w:top="1440" w:right="1440" w:bottom="650" w:left="1440" w:header="0" w:footer="0" w:gutter="0"/>
          <w:cols w:space="720" w:num="1"/>
        </w:sect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00" w:lineRule="exact"/>
        <w:rPr>
          <w:color w:val="auto"/>
          <w:sz w:val="24"/>
          <w:szCs w:val="24"/>
          <w:highlight w:val="none"/>
        </w:rPr>
      </w:pPr>
    </w:p>
    <w:p>
      <w:pPr>
        <w:spacing w:after="0" w:line="264" w:lineRule="exact"/>
        <w:rPr>
          <w:color w:val="auto"/>
          <w:sz w:val="24"/>
          <w:szCs w:val="24"/>
          <w:highlight w:val="none"/>
        </w:rPr>
      </w:pPr>
    </w:p>
    <w:p>
      <w:pPr>
        <w:spacing w:after="0" w:line="373" w:lineRule="exact"/>
        <w:rPr>
          <w:color w:val="auto"/>
          <w:sz w:val="20"/>
          <w:szCs w:val="20"/>
          <w:highlight w:val="none"/>
        </w:rPr>
      </w:pPr>
      <w:bookmarkStart w:id="1" w:name="page2"/>
      <w:bookmarkEnd w:id="1"/>
    </w:p>
    <w:p>
      <w:pPr>
        <w:spacing w:after="0" w:line="373"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一、项目信息</w:t>
      </w:r>
    </w:p>
    <w:p>
      <w:pPr>
        <w:spacing w:after="0" w:line="284"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项目名称：外币现钞提取、调运和携带出境审核；</w:t>
      </w:r>
    </w:p>
    <w:p>
      <w:pPr>
        <w:spacing w:after="0" w:line="282"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项目编号：57016；</w:t>
      </w:r>
    </w:p>
    <w:p>
      <w:pPr>
        <w:spacing w:after="0" w:line="282"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审批类别：行政许可。</w:t>
      </w:r>
    </w:p>
    <w:p>
      <w:pPr>
        <w:spacing w:after="0" w:line="280"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二、适用范围</w:t>
      </w:r>
    </w:p>
    <w:p>
      <w:pPr>
        <w:spacing w:after="0" w:line="284"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本指南适用于“外币现钞提取、调运和携带出境审核”的</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申请和办理。</w:t>
      </w:r>
    </w:p>
    <w:p>
      <w:pPr>
        <w:spacing w:after="0" w:line="280"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三、设定依据</w:t>
      </w:r>
    </w:p>
    <w:p>
      <w:pPr>
        <w:spacing w:after="0" w:line="320" w:lineRule="exact"/>
        <w:rPr>
          <w:color w:val="auto"/>
          <w:sz w:val="20"/>
          <w:szCs w:val="20"/>
          <w:highlight w:val="none"/>
        </w:rPr>
      </w:pPr>
    </w:p>
    <w:p>
      <w:pPr>
        <w:spacing w:after="0" w:line="518" w:lineRule="exact"/>
        <w:ind w:left="360" w:right="666" w:firstLine="586"/>
        <w:jc w:val="both"/>
        <w:rPr>
          <w:color w:val="auto"/>
          <w:sz w:val="20"/>
          <w:szCs w:val="20"/>
          <w:highlight w:val="none"/>
        </w:rPr>
      </w:pPr>
      <w:r>
        <w:rPr>
          <w:rFonts w:ascii="仿宋" w:hAnsi="仿宋" w:eastAsia="仿宋" w:cs="仿宋"/>
          <w:color w:val="auto"/>
          <w:sz w:val="30"/>
          <w:szCs w:val="30"/>
          <w:highlight w:val="none"/>
        </w:rPr>
        <w:t>（一）《中华人民共和国外汇管理条例》（国务院令第 532 号）第十五条：“携带、申报外币现钞出入境的限额，由国务院外汇管理部门规定”；</w:t>
      </w:r>
    </w:p>
    <w:p>
      <w:pPr>
        <w:spacing w:after="0" w:line="319" w:lineRule="exact"/>
        <w:rPr>
          <w:color w:val="auto"/>
          <w:sz w:val="20"/>
          <w:szCs w:val="20"/>
          <w:highlight w:val="none"/>
        </w:rPr>
      </w:pPr>
    </w:p>
    <w:p>
      <w:pPr>
        <w:spacing w:after="0" w:line="518" w:lineRule="exact"/>
        <w:ind w:left="360" w:right="666" w:firstLine="586"/>
        <w:jc w:val="both"/>
        <w:rPr>
          <w:color w:val="auto"/>
          <w:sz w:val="20"/>
          <w:szCs w:val="20"/>
          <w:highlight w:val="none"/>
        </w:rPr>
      </w:pPr>
      <w:r>
        <w:rPr>
          <w:rFonts w:ascii="仿宋" w:hAnsi="仿宋" w:eastAsia="仿宋" w:cs="仿宋"/>
          <w:color w:val="auto"/>
          <w:sz w:val="30"/>
          <w:szCs w:val="30"/>
          <w:highlight w:val="none"/>
        </w:rPr>
        <w:t>（二）《国务院对确需保留的行政审批项目设定行政许可的决定》（国务院令第 412 号）附件第 495 项“机构单笔提取超过规定金额外币现钞审批”。</w:t>
      </w:r>
    </w:p>
    <w:p>
      <w:pPr>
        <w:spacing w:after="0" w:line="281"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四、银行调运外币现钞进出境业务市场准入审批</w:t>
      </w:r>
    </w:p>
    <w:p>
      <w:pPr>
        <w:spacing w:after="0" w:line="282"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（一）办理依据</w:t>
      </w:r>
    </w:p>
    <w:p>
      <w:pPr>
        <w:widowControl/>
        <w:wordWrap/>
        <w:adjustRightInd/>
        <w:snapToGrid/>
        <w:spacing w:after="0" w:line="518" w:lineRule="exact"/>
        <w:ind w:firstLine="900" w:firstLineChars="300"/>
        <w:textAlignment w:val="auto"/>
        <w:rPr>
          <w:color w:val="auto"/>
          <w:sz w:val="30"/>
          <w:szCs w:val="30"/>
          <w:highlight w:val="none"/>
        </w:rPr>
      </w:pPr>
      <w:r>
        <w:rPr>
          <w:rFonts w:ascii="仿宋" w:hAnsi="仿宋" w:eastAsia="仿宋" w:cs="仿宋"/>
          <w:color w:val="auto"/>
          <w:sz w:val="30"/>
          <w:szCs w:val="30"/>
          <w:highlight w:val="none"/>
        </w:rPr>
        <w:t>1.《中华人民共和国外汇管理条例》（国务院令第 532 号）；</w:t>
      </w:r>
    </w:p>
    <w:p>
      <w:pPr>
        <w:widowControl/>
        <w:wordWrap/>
        <w:adjustRightInd/>
        <w:snapToGrid/>
        <w:spacing w:after="0" w:line="518" w:lineRule="exact"/>
        <w:ind w:firstLine="900" w:firstLineChars="300"/>
        <w:textAlignment w:val="auto"/>
        <w:rPr>
          <w:rFonts w:ascii="仿宋" w:hAnsi="仿宋" w:eastAsia="仿宋" w:cs="仿宋"/>
          <w:color w:val="auto"/>
          <w:sz w:val="30"/>
          <w:szCs w:val="30"/>
          <w:highlight w:val="none"/>
        </w:rPr>
      </w:pPr>
      <w:r>
        <w:rPr>
          <w:rFonts w:ascii="仿宋" w:hAnsi="仿宋" w:eastAsia="仿宋" w:cs="仿宋"/>
          <w:color w:val="auto"/>
          <w:sz w:val="30"/>
          <w:szCs w:val="30"/>
          <w:highlight w:val="none"/>
        </w:rPr>
        <w:t>2.《国家外汇管理局 海关总署关于印发〈调运外币现钞进出境管理规定〉的通知》（汇发[2019]16 号）。</w:t>
      </w:r>
    </w:p>
    <w:p>
      <w:pPr>
        <w:widowControl/>
        <w:wordWrap/>
        <w:adjustRightInd/>
        <w:snapToGrid/>
        <w:spacing w:after="0" w:line="518" w:lineRule="exact"/>
        <w:ind w:firstLine="900" w:firstLineChars="3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3.《国家外汇管理局关于修订&lt;个人本外币兑换特许业务试 点管理办法&gt;的通知》（汇发〔2020〕6 号）</w:t>
      </w:r>
    </w:p>
    <w:p>
      <w:pPr>
        <w:spacing w:after="0" w:line="280" w:lineRule="exact"/>
        <w:rPr>
          <w:color w:val="auto"/>
          <w:sz w:val="20"/>
          <w:szCs w:val="20"/>
          <w:highlight w:val="none"/>
        </w:rPr>
      </w:pPr>
    </w:p>
    <w:p>
      <w:pPr>
        <w:spacing w:after="0" w:line="343" w:lineRule="exact"/>
        <w:ind w:left="960"/>
        <w:rPr>
          <w:highlight w:val="none"/>
        </w:rPr>
        <w:sectPr>
          <w:type w:val="continuous"/>
          <w:pgSz w:w="11900" w:h="16838"/>
          <w:pgMar w:top="1440" w:right="1440" w:bottom="650" w:left="1440" w:header="0" w:footer="0" w:gutter="0"/>
          <w:cols w:space="720" w:num="1"/>
        </w:sectPr>
      </w:pPr>
      <w:r>
        <w:rPr>
          <w:rFonts w:ascii="黑体" w:hAnsi="黑体" w:eastAsia="黑体" w:cs="黑体"/>
          <w:color w:val="auto"/>
          <w:sz w:val="30"/>
          <w:szCs w:val="30"/>
          <w:highlight w:val="none"/>
        </w:rPr>
        <w:t>（二）受理机构</w:t>
      </w:r>
    </w:p>
    <w:p>
      <w:pPr>
        <w:spacing w:after="0" w:line="127" w:lineRule="exact"/>
        <w:rPr>
          <w:color w:val="auto"/>
          <w:sz w:val="20"/>
          <w:szCs w:val="20"/>
          <w:highlight w:val="none"/>
        </w:rPr>
      </w:pPr>
      <w:bookmarkStart w:id="2" w:name="page3"/>
      <w:bookmarkEnd w:id="2"/>
    </w:p>
    <w:p>
      <w:pPr>
        <w:spacing w:after="0" w:line="343" w:lineRule="exact"/>
        <w:ind w:left="960"/>
        <w:rPr>
          <w:color w:val="auto"/>
          <w:sz w:val="20"/>
          <w:szCs w:val="20"/>
          <w:highlight w:val="none"/>
        </w:rPr>
      </w:pPr>
      <w:r>
        <w:rPr>
          <w:rFonts w:ascii="仿宋" w:hAnsi="仿宋" w:eastAsia="仿宋" w:cs="仿宋"/>
          <w:color w:val="auto"/>
          <w:sz w:val="30"/>
          <w:szCs w:val="30"/>
          <w:highlight w:val="none"/>
        </w:rPr>
        <w:t>国家外汇管理局江西省分局。</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（三）决定机构</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国家外汇管理局江西省分局。</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（四）审批数量</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无数量限制。</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（五）办事条件</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申请人为银行总行（或外国银行分行主报告行），需有调运</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外币现钞进出境的实际需求。</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（六）申请材料</w:t>
      </w:r>
    </w:p>
    <w:p>
      <w:pPr>
        <w:spacing w:after="0" w:line="165" w:lineRule="exact"/>
        <w:rPr>
          <w:color w:val="auto"/>
          <w:sz w:val="20"/>
          <w:szCs w:val="20"/>
          <w:highlight w:val="none"/>
        </w:rPr>
      </w:pPr>
    </w:p>
    <w:tbl>
      <w:tblPr>
        <w:tblStyle w:val="5"/>
        <w:tblW w:w="8500" w:type="dxa"/>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
        <w:gridCol w:w="3740"/>
        <w:gridCol w:w="1020"/>
        <w:gridCol w:w="720"/>
        <w:gridCol w:w="860"/>
        <w:gridCol w:w="740"/>
        <w:gridCol w:w="620"/>
        <w:gridCol w:w="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440" w:type="dxa"/>
            <w:vAlign w:val="bottom"/>
          </w:tcPr>
          <w:p>
            <w:pPr>
              <w:spacing w:after="0" w:line="274" w:lineRule="exact"/>
              <w:ind w:right="80"/>
              <w:jc w:val="center"/>
              <w:rPr>
                <w:color w:val="auto"/>
                <w:sz w:val="20"/>
                <w:szCs w:val="20"/>
                <w:highlight w:val="none"/>
              </w:rPr>
            </w:pPr>
            <w:r>
              <w:rPr>
                <w:rFonts w:ascii="仿宋" w:hAnsi="仿宋" w:eastAsia="仿宋" w:cs="仿宋"/>
                <w:b/>
                <w:bCs/>
                <w:color w:val="auto"/>
                <w:w w:val="99"/>
                <w:sz w:val="24"/>
                <w:szCs w:val="24"/>
                <w:highlight w:val="none"/>
              </w:rPr>
              <w:t>序</w:t>
            </w:r>
          </w:p>
        </w:tc>
        <w:tc>
          <w:tcPr>
            <w:tcW w:w="3740" w:type="dxa"/>
            <w:vMerge w:val="restart"/>
            <w:vAlign w:val="bottom"/>
          </w:tcPr>
          <w:p>
            <w:pPr>
              <w:spacing w:after="0" w:line="274" w:lineRule="exact"/>
              <w:jc w:val="center"/>
              <w:rPr>
                <w:color w:val="auto"/>
                <w:sz w:val="20"/>
                <w:szCs w:val="20"/>
                <w:highlight w:val="none"/>
              </w:rPr>
            </w:pPr>
            <w:r>
              <w:rPr>
                <w:rFonts w:ascii="仿宋" w:hAnsi="仿宋" w:eastAsia="仿宋" w:cs="仿宋"/>
                <w:b/>
                <w:bCs/>
                <w:color w:val="auto"/>
                <w:sz w:val="24"/>
                <w:szCs w:val="24"/>
                <w:highlight w:val="none"/>
              </w:rPr>
              <w:t>提交材料名称</w:t>
            </w:r>
          </w:p>
        </w:tc>
        <w:tc>
          <w:tcPr>
            <w:tcW w:w="1020" w:type="dxa"/>
            <w:vAlign w:val="bottom"/>
          </w:tcPr>
          <w:p>
            <w:pPr>
              <w:spacing w:after="0" w:line="274" w:lineRule="exact"/>
              <w:jc w:val="center"/>
              <w:rPr>
                <w:color w:val="auto"/>
                <w:sz w:val="20"/>
                <w:szCs w:val="20"/>
                <w:highlight w:val="none"/>
              </w:rPr>
            </w:pPr>
            <w:r>
              <w:rPr>
                <w:rFonts w:ascii="仿宋" w:hAnsi="仿宋" w:eastAsia="仿宋" w:cs="仿宋"/>
                <w:b/>
                <w:bCs/>
                <w:color w:val="auto"/>
                <w:w w:val="99"/>
                <w:sz w:val="24"/>
                <w:szCs w:val="24"/>
                <w:highlight w:val="none"/>
              </w:rPr>
              <w:t>原件/</w:t>
            </w:r>
          </w:p>
        </w:tc>
        <w:tc>
          <w:tcPr>
            <w:tcW w:w="720" w:type="dxa"/>
            <w:vMerge w:val="restart"/>
            <w:vAlign w:val="bottom"/>
          </w:tcPr>
          <w:p>
            <w:pPr>
              <w:spacing w:after="0" w:line="274" w:lineRule="exact"/>
              <w:jc w:val="center"/>
              <w:rPr>
                <w:color w:val="auto"/>
                <w:sz w:val="20"/>
                <w:szCs w:val="20"/>
                <w:highlight w:val="none"/>
              </w:rPr>
            </w:pPr>
            <w:r>
              <w:rPr>
                <w:rFonts w:ascii="仿宋" w:hAnsi="仿宋" w:eastAsia="仿宋" w:cs="仿宋"/>
                <w:b/>
                <w:bCs/>
                <w:color w:val="auto"/>
                <w:w w:val="99"/>
                <w:sz w:val="24"/>
                <w:szCs w:val="24"/>
                <w:highlight w:val="none"/>
              </w:rPr>
              <w:t>份数</w:t>
            </w:r>
          </w:p>
        </w:tc>
        <w:tc>
          <w:tcPr>
            <w:tcW w:w="860" w:type="dxa"/>
            <w:vAlign w:val="bottom"/>
          </w:tcPr>
          <w:p>
            <w:pPr>
              <w:spacing w:after="0" w:line="274" w:lineRule="exact"/>
              <w:jc w:val="center"/>
              <w:rPr>
                <w:color w:val="auto"/>
                <w:sz w:val="20"/>
                <w:szCs w:val="20"/>
                <w:highlight w:val="none"/>
              </w:rPr>
            </w:pPr>
            <w:r>
              <w:rPr>
                <w:rFonts w:ascii="仿宋" w:hAnsi="仿宋" w:eastAsia="仿宋" w:cs="仿宋"/>
                <w:b/>
                <w:bCs/>
                <w:color w:val="auto"/>
                <w:w w:val="99"/>
                <w:sz w:val="24"/>
                <w:szCs w:val="24"/>
                <w:highlight w:val="none"/>
              </w:rPr>
              <w:t>纸质/</w:t>
            </w:r>
          </w:p>
        </w:tc>
        <w:tc>
          <w:tcPr>
            <w:tcW w:w="740" w:type="dxa"/>
            <w:vMerge w:val="restart"/>
            <w:vAlign w:val="bottom"/>
          </w:tcPr>
          <w:p>
            <w:pPr>
              <w:spacing w:after="0" w:line="274" w:lineRule="exact"/>
              <w:ind w:left="120"/>
              <w:rPr>
                <w:color w:val="auto"/>
                <w:sz w:val="20"/>
                <w:szCs w:val="20"/>
                <w:highlight w:val="none"/>
              </w:rPr>
            </w:pPr>
            <w:r>
              <w:rPr>
                <w:rFonts w:ascii="仿宋" w:hAnsi="仿宋" w:eastAsia="仿宋" w:cs="仿宋"/>
                <w:b/>
                <w:bCs/>
                <w:color w:val="auto"/>
                <w:sz w:val="24"/>
                <w:szCs w:val="24"/>
                <w:highlight w:val="none"/>
              </w:rPr>
              <w:t>要求</w:t>
            </w:r>
          </w:p>
        </w:tc>
        <w:tc>
          <w:tcPr>
            <w:tcW w:w="620" w:type="dxa"/>
            <w:vMerge w:val="restart"/>
            <w:vAlign w:val="bottom"/>
          </w:tcPr>
          <w:p>
            <w:pPr>
              <w:spacing w:after="0" w:line="274" w:lineRule="exact"/>
              <w:ind w:left="140"/>
              <w:rPr>
                <w:color w:val="auto"/>
                <w:sz w:val="20"/>
                <w:szCs w:val="20"/>
                <w:highlight w:val="none"/>
              </w:rPr>
            </w:pPr>
            <w:r>
              <w:rPr>
                <w:rFonts w:ascii="仿宋" w:hAnsi="仿宋" w:eastAsia="仿宋" w:cs="仿宋"/>
                <w:b/>
                <w:bCs/>
                <w:color w:val="auto"/>
                <w:w w:val="95"/>
                <w:sz w:val="24"/>
                <w:szCs w:val="24"/>
                <w:highlight w:val="none"/>
              </w:rPr>
              <w:t>备注</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40" w:type="dxa"/>
            <w:vMerge w:val="restart"/>
            <w:vAlign w:val="bottom"/>
          </w:tcPr>
          <w:p>
            <w:pPr>
              <w:spacing w:after="0" w:line="274" w:lineRule="exact"/>
              <w:ind w:right="80"/>
              <w:jc w:val="center"/>
              <w:rPr>
                <w:color w:val="auto"/>
                <w:sz w:val="20"/>
                <w:szCs w:val="20"/>
                <w:highlight w:val="none"/>
              </w:rPr>
            </w:pPr>
            <w:r>
              <w:rPr>
                <w:rFonts w:ascii="仿宋" w:hAnsi="仿宋" w:eastAsia="仿宋" w:cs="仿宋"/>
                <w:b/>
                <w:bCs/>
                <w:color w:val="auto"/>
                <w:w w:val="99"/>
                <w:sz w:val="24"/>
                <w:szCs w:val="24"/>
                <w:highlight w:val="none"/>
              </w:rPr>
              <w:t>号</w:t>
            </w:r>
          </w:p>
        </w:tc>
        <w:tc>
          <w:tcPr>
            <w:tcW w:w="3740" w:type="dxa"/>
            <w:vMerge w:val="continue"/>
            <w:vAlign w:val="bottom"/>
          </w:tcPr>
          <w:p>
            <w:pPr>
              <w:spacing w:after="0"/>
              <w:rPr>
                <w:color w:val="auto"/>
                <w:sz w:val="13"/>
                <w:szCs w:val="13"/>
                <w:highlight w:val="none"/>
              </w:rPr>
            </w:pPr>
          </w:p>
        </w:tc>
        <w:tc>
          <w:tcPr>
            <w:tcW w:w="1020" w:type="dxa"/>
            <w:vMerge w:val="restart"/>
            <w:vAlign w:val="bottom"/>
          </w:tcPr>
          <w:p>
            <w:pPr>
              <w:spacing w:after="0" w:line="274" w:lineRule="exact"/>
              <w:jc w:val="center"/>
              <w:rPr>
                <w:color w:val="auto"/>
                <w:sz w:val="20"/>
                <w:szCs w:val="20"/>
                <w:highlight w:val="none"/>
              </w:rPr>
            </w:pPr>
            <w:r>
              <w:rPr>
                <w:rFonts w:ascii="仿宋" w:hAnsi="仿宋" w:eastAsia="仿宋" w:cs="仿宋"/>
                <w:b/>
                <w:bCs/>
                <w:color w:val="auto"/>
                <w:w w:val="99"/>
                <w:sz w:val="24"/>
                <w:szCs w:val="24"/>
                <w:highlight w:val="none"/>
              </w:rPr>
              <w:t>复印件</w:t>
            </w:r>
          </w:p>
        </w:tc>
        <w:tc>
          <w:tcPr>
            <w:tcW w:w="720" w:type="dxa"/>
            <w:vMerge w:val="continue"/>
            <w:vAlign w:val="bottom"/>
          </w:tcPr>
          <w:p>
            <w:pPr>
              <w:spacing w:after="0"/>
              <w:rPr>
                <w:color w:val="auto"/>
                <w:sz w:val="13"/>
                <w:szCs w:val="13"/>
                <w:highlight w:val="none"/>
              </w:rPr>
            </w:pPr>
          </w:p>
        </w:tc>
        <w:tc>
          <w:tcPr>
            <w:tcW w:w="860" w:type="dxa"/>
            <w:vMerge w:val="restart"/>
            <w:vAlign w:val="bottom"/>
          </w:tcPr>
          <w:p>
            <w:pPr>
              <w:spacing w:after="0" w:line="274" w:lineRule="exact"/>
              <w:jc w:val="center"/>
              <w:rPr>
                <w:color w:val="auto"/>
                <w:sz w:val="20"/>
                <w:szCs w:val="20"/>
                <w:highlight w:val="none"/>
              </w:rPr>
            </w:pPr>
            <w:r>
              <w:rPr>
                <w:rFonts w:ascii="仿宋" w:hAnsi="仿宋" w:eastAsia="仿宋" w:cs="仿宋"/>
                <w:b/>
                <w:bCs/>
                <w:color w:val="auto"/>
                <w:w w:val="99"/>
                <w:sz w:val="24"/>
                <w:szCs w:val="24"/>
                <w:highlight w:val="none"/>
              </w:rPr>
              <w:t>电子</w:t>
            </w:r>
          </w:p>
        </w:tc>
        <w:tc>
          <w:tcPr>
            <w:tcW w:w="740" w:type="dxa"/>
            <w:vMerge w:val="continue"/>
            <w:vAlign w:val="bottom"/>
          </w:tcPr>
          <w:p>
            <w:pPr>
              <w:spacing w:after="0"/>
              <w:rPr>
                <w:color w:val="auto"/>
                <w:sz w:val="13"/>
                <w:szCs w:val="13"/>
                <w:highlight w:val="none"/>
              </w:rPr>
            </w:pPr>
          </w:p>
        </w:tc>
        <w:tc>
          <w:tcPr>
            <w:tcW w:w="620" w:type="dxa"/>
            <w:vMerge w:val="continue"/>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40" w:type="dxa"/>
            <w:vMerge w:val="continue"/>
            <w:vAlign w:val="bottom"/>
          </w:tcPr>
          <w:p>
            <w:pPr>
              <w:spacing w:after="0"/>
              <w:rPr>
                <w:color w:val="auto"/>
                <w:sz w:val="13"/>
                <w:szCs w:val="13"/>
                <w:highlight w:val="none"/>
              </w:rPr>
            </w:pPr>
          </w:p>
        </w:tc>
        <w:tc>
          <w:tcPr>
            <w:tcW w:w="3740" w:type="dxa"/>
            <w:vAlign w:val="bottom"/>
          </w:tcPr>
          <w:p>
            <w:pPr>
              <w:spacing w:after="0"/>
              <w:rPr>
                <w:color w:val="auto"/>
                <w:sz w:val="13"/>
                <w:szCs w:val="13"/>
                <w:highlight w:val="none"/>
              </w:rPr>
            </w:pPr>
          </w:p>
        </w:tc>
        <w:tc>
          <w:tcPr>
            <w:tcW w:w="1020" w:type="dxa"/>
            <w:vMerge w:val="continue"/>
            <w:vAlign w:val="bottom"/>
          </w:tcPr>
          <w:p>
            <w:pPr>
              <w:spacing w:after="0"/>
              <w:rPr>
                <w:color w:val="auto"/>
                <w:sz w:val="13"/>
                <w:szCs w:val="13"/>
                <w:highlight w:val="none"/>
              </w:rPr>
            </w:pPr>
          </w:p>
        </w:tc>
        <w:tc>
          <w:tcPr>
            <w:tcW w:w="720" w:type="dxa"/>
            <w:vAlign w:val="bottom"/>
          </w:tcPr>
          <w:p>
            <w:pPr>
              <w:spacing w:after="0"/>
              <w:rPr>
                <w:color w:val="auto"/>
                <w:sz w:val="13"/>
                <w:szCs w:val="13"/>
                <w:highlight w:val="none"/>
              </w:rPr>
            </w:pPr>
          </w:p>
        </w:tc>
        <w:tc>
          <w:tcPr>
            <w:tcW w:w="860" w:type="dxa"/>
            <w:vMerge w:val="continue"/>
            <w:vAlign w:val="bottom"/>
          </w:tcPr>
          <w:p>
            <w:pPr>
              <w:spacing w:after="0"/>
              <w:rPr>
                <w:color w:val="auto"/>
                <w:sz w:val="13"/>
                <w:szCs w:val="13"/>
                <w:highlight w:val="none"/>
              </w:rPr>
            </w:pPr>
          </w:p>
        </w:tc>
        <w:tc>
          <w:tcPr>
            <w:tcW w:w="740" w:type="dxa"/>
            <w:vAlign w:val="bottom"/>
          </w:tcPr>
          <w:p>
            <w:pPr>
              <w:spacing w:after="0"/>
              <w:rPr>
                <w:color w:val="auto"/>
                <w:sz w:val="13"/>
                <w:szCs w:val="13"/>
                <w:highlight w:val="none"/>
              </w:rPr>
            </w:pPr>
          </w:p>
        </w:tc>
        <w:tc>
          <w:tcPr>
            <w:tcW w:w="620" w:type="dxa"/>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40" w:type="dxa"/>
            <w:vMerge w:val="restart"/>
            <w:vAlign w:val="bottom"/>
          </w:tcPr>
          <w:p>
            <w:pPr>
              <w:spacing w:after="0" w:line="274" w:lineRule="exact"/>
              <w:ind w:right="80"/>
              <w:jc w:val="center"/>
              <w:rPr>
                <w:color w:val="auto"/>
                <w:sz w:val="20"/>
                <w:szCs w:val="20"/>
                <w:highlight w:val="none"/>
              </w:rPr>
            </w:pPr>
            <w:r>
              <w:rPr>
                <w:rFonts w:ascii="仿宋" w:hAnsi="仿宋" w:eastAsia="仿宋" w:cs="仿宋"/>
                <w:color w:val="auto"/>
                <w:w w:val="99"/>
                <w:sz w:val="24"/>
                <w:szCs w:val="24"/>
                <w:highlight w:val="none"/>
              </w:rPr>
              <w:t>1</w:t>
            </w:r>
          </w:p>
        </w:tc>
        <w:tc>
          <w:tcPr>
            <w:tcW w:w="3740" w:type="dxa"/>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银行办理调运外币现钞进出境业</w:t>
            </w:r>
          </w:p>
        </w:tc>
        <w:tc>
          <w:tcPr>
            <w:tcW w:w="1020" w:type="dxa"/>
            <w:vMerge w:val="restart"/>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原件</w:t>
            </w:r>
          </w:p>
        </w:tc>
        <w:tc>
          <w:tcPr>
            <w:tcW w:w="720" w:type="dxa"/>
            <w:vMerge w:val="restart"/>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2</w:t>
            </w:r>
          </w:p>
        </w:tc>
        <w:tc>
          <w:tcPr>
            <w:tcW w:w="860" w:type="dxa"/>
            <w:vMerge w:val="restart"/>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纸质</w:t>
            </w:r>
            <w:r>
              <w:rPr>
                <w:rFonts w:hint="eastAsia" w:ascii="仿宋" w:hAnsi="仿宋" w:eastAsia="仿宋" w:cs="仿宋"/>
                <w:color w:val="auto"/>
                <w:w w:val="99"/>
                <w:sz w:val="24"/>
                <w:szCs w:val="24"/>
                <w:highlight w:val="none"/>
                <w:lang w:val="en-US" w:eastAsia="zh-CN"/>
              </w:rPr>
              <w:t>/</w:t>
            </w:r>
            <w:r>
              <w:rPr>
                <w:rFonts w:hint="eastAsia" w:ascii="仿宋" w:hAnsi="仿宋" w:eastAsia="仿宋" w:cs="仿宋"/>
                <w:color w:val="auto"/>
                <w:w w:val="99"/>
                <w:sz w:val="24"/>
                <w:szCs w:val="24"/>
                <w:highlight w:val="none"/>
                <w:lang w:eastAsia="zh-CN"/>
              </w:rPr>
              <w:t>电子</w:t>
            </w:r>
          </w:p>
        </w:tc>
        <w:tc>
          <w:tcPr>
            <w:tcW w:w="740" w:type="dxa"/>
            <w:vAlign w:val="bottom"/>
          </w:tcPr>
          <w:p>
            <w:pPr>
              <w:spacing w:after="0"/>
              <w:rPr>
                <w:color w:val="auto"/>
                <w:sz w:val="24"/>
                <w:szCs w:val="24"/>
                <w:highlight w:val="none"/>
              </w:rPr>
            </w:pPr>
          </w:p>
        </w:tc>
        <w:tc>
          <w:tcPr>
            <w:tcW w:w="620" w:type="dxa"/>
            <w:vAlign w:val="bottom"/>
          </w:tcPr>
          <w:p>
            <w:pPr>
              <w:spacing w:after="0"/>
              <w:rPr>
                <w:color w:val="auto"/>
                <w:sz w:val="24"/>
                <w:szCs w:val="24"/>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40" w:type="dxa"/>
            <w:vMerge w:val="continue"/>
            <w:vAlign w:val="bottom"/>
          </w:tcPr>
          <w:p>
            <w:pPr>
              <w:spacing w:after="0"/>
              <w:rPr>
                <w:color w:val="auto"/>
                <w:sz w:val="13"/>
                <w:szCs w:val="13"/>
                <w:highlight w:val="none"/>
              </w:rPr>
            </w:pPr>
          </w:p>
        </w:tc>
        <w:tc>
          <w:tcPr>
            <w:tcW w:w="3740" w:type="dxa"/>
            <w:vMerge w:val="restart"/>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务备案表</w:t>
            </w:r>
          </w:p>
        </w:tc>
        <w:tc>
          <w:tcPr>
            <w:tcW w:w="1020" w:type="dxa"/>
            <w:vMerge w:val="continue"/>
            <w:vAlign w:val="bottom"/>
          </w:tcPr>
          <w:p>
            <w:pPr>
              <w:spacing w:after="0"/>
              <w:rPr>
                <w:color w:val="auto"/>
                <w:sz w:val="13"/>
                <w:szCs w:val="13"/>
                <w:highlight w:val="none"/>
              </w:rPr>
            </w:pPr>
          </w:p>
        </w:tc>
        <w:tc>
          <w:tcPr>
            <w:tcW w:w="720" w:type="dxa"/>
            <w:vMerge w:val="continue"/>
            <w:vAlign w:val="bottom"/>
          </w:tcPr>
          <w:p>
            <w:pPr>
              <w:spacing w:after="0"/>
              <w:rPr>
                <w:color w:val="auto"/>
                <w:sz w:val="13"/>
                <w:szCs w:val="13"/>
                <w:highlight w:val="none"/>
              </w:rPr>
            </w:pPr>
          </w:p>
        </w:tc>
        <w:tc>
          <w:tcPr>
            <w:tcW w:w="860" w:type="dxa"/>
            <w:vMerge w:val="continue"/>
            <w:vAlign w:val="bottom"/>
          </w:tcPr>
          <w:p>
            <w:pPr>
              <w:spacing w:after="0"/>
              <w:rPr>
                <w:color w:val="auto"/>
                <w:sz w:val="13"/>
                <w:szCs w:val="13"/>
                <w:highlight w:val="none"/>
              </w:rPr>
            </w:pPr>
          </w:p>
        </w:tc>
        <w:tc>
          <w:tcPr>
            <w:tcW w:w="740" w:type="dxa"/>
            <w:vAlign w:val="bottom"/>
          </w:tcPr>
          <w:p>
            <w:pPr>
              <w:spacing w:after="0"/>
              <w:rPr>
                <w:color w:val="auto"/>
                <w:sz w:val="13"/>
                <w:szCs w:val="13"/>
                <w:highlight w:val="none"/>
              </w:rPr>
            </w:pPr>
          </w:p>
        </w:tc>
        <w:tc>
          <w:tcPr>
            <w:tcW w:w="620" w:type="dxa"/>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40" w:type="dxa"/>
            <w:vAlign w:val="bottom"/>
          </w:tcPr>
          <w:p>
            <w:pPr>
              <w:spacing w:after="0"/>
              <w:rPr>
                <w:color w:val="auto"/>
                <w:sz w:val="13"/>
                <w:szCs w:val="13"/>
                <w:highlight w:val="none"/>
              </w:rPr>
            </w:pPr>
          </w:p>
        </w:tc>
        <w:tc>
          <w:tcPr>
            <w:tcW w:w="3740" w:type="dxa"/>
            <w:vMerge w:val="continue"/>
            <w:vAlign w:val="bottom"/>
          </w:tcPr>
          <w:p>
            <w:pPr>
              <w:spacing w:after="0"/>
              <w:rPr>
                <w:color w:val="auto"/>
                <w:sz w:val="13"/>
                <w:szCs w:val="13"/>
                <w:highlight w:val="none"/>
              </w:rPr>
            </w:pPr>
          </w:p>
        </w:tc>
        <w:tc>
          <w:tcPr>
            <w:tcW w:w="1020" w:type="dxa"/>
            <w:vAlign w:val="bottom"/>
          </w:tcPr>
          <w:p>
            <w:pPr>
              <w:spacing w:after="0"/>
              <w:rPr>
                <w:color w:val="auto"/>
                <w:sz w:val="13"/>
                <w:szCs w:val="13"/>
                <w:highlight w:val="none"/>
              </w:rPr>
            </w:pPr>
          </w:p>
        </w:tc>
        <w:tc>
          <w:tcPr>
            <w:tcW w:w="720" w:type="dxa"/>
            <w:vAlign w:val="bottom"/>
          </w:tcPr>
          <w:p>
            <w:pPr>
              <w:spacing w:after="0"/>
              <w:rPr>
                <w:color w:val="auto"/>
                <w:sz w:val="13"/>
                <w:szCs w:val="13"/>
                <w:highlight w:val="none"/>
              </w:rPr>
            </w:pPr>
          </w:p>
        </w:tc>
        <w:tc>
          <w:tcPr>
            <w:tcW w:w="860" w:type="dxa"/>
            <w:vAlign w:val="bottom"/>
          </w:tcPr>
          <w:p>
            <w:pPr>
              <w:spacing w:after="0"/>
              <w:rPr>
                <w:color w:val="auto"/>
                <w:sz w:val="13"/>
                <w:szCs w:val="13"/>
                <w:highlight w:val="none"/>
              </w:rPr>
            </w:pPr>
          </w:p>
        </w:tc>
        <w:tc>
          <w:tcPr>
            <w:tcW w:w="740" w:type="dxa"/>
            <w:vAlign w:val="bottom"/>
          </w:tcPr>
          <w:p>
            <w:pPr>
              <w:spacing w:after="0"/>
              <w:rPr>
                <w:color w:val="auto"/>
                <w:sz w:val="13"/>
                <w:szCs w:val="13"/>
                <w:highlight w:val="none"/>
              </w:rPr>
            </w:pPr>
          </w:p>
        </w:tc>
        <w:tc>
          <w:tcPr>
            <w:tcW w:w="620" w:type="dxa"/>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40" w:type="dxa"/>
            <w:vAlign w:val="bottom"/>
          </w:tcPr>
          <w:p>
            <w:pPr>
              <w:spacing w:after="0" w:line="274" w:lineRule="exact"/>
              <w:ind w:right="80"/>
              <w:jc w:val="center"/>
              <w:rPr>
                <w:color w:val="auto"/>
                <w:sz w:val="20"/>
                <w:szCs w:val="20"/>
                <w:highlight w:val="none"/>
              </w:rPr>
            </w:pPr>
            <w:r>
              <w:rPr>
                <w:rFonts w:ascii="仿宋" w:hAnsi="仿宋" w:eastAsia="仿宋" w:cs="仿宋"/>
                <w:color w:val="auto"/>
                <w:w w:val="99"/>
                <w:sz w:val="24"/>
                <w:szCs w:val="24"/>
                <w:highlight w:val="none"/>
              </w:rPr>
              <w:t>2</w:t>
            </w:r>
          </w:p>
        </w:tc>
        <w:tc>
          <w:tcPr>
            <w:tcW w:w="3740" w:type="dxa"/>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可行性报告和业务计划书</w:t>
            </w:r>
          </w:p>
        </w:tc>
        <w:tc>
          <w:tcPr>
            <w:tcW w:w="1020" w:type="dxa"/>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原件</w:t>
            </w:r>
          </w:p>
        </w:tc>
        <w:tc>
          <w:tcPr>
            <w:tcW w:w="720" w:type="dxa"/>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1</w:t>
            </w:r>
          </w:p>
        </w:tc>
        <w:tc>
          <w:tcPr>
            <w:tcW w:w="860" w:type="dxa"/>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纸质</w:t>
            </w:r>
            <w:r>
              <w:rPr>
                <w:rFonts w:hint="eastAsia" w:ascii="仿宋" w:hAnsi="仿宋" w:eastAsia="仿宋" w:cs="仿宋"/>
                <w:color w:val="auto"/>
                <w:w w:val="99"/>
                <w:sz w:val="24"/>
                <w:szCs w:val="24"/>
                <w:highlight w:val="none"/>
                <w:lang w:val="en-US" w:eastAsia="zh-CN"/>
              </w:rPr>
              <w:t>/</w:t>
            </w:r>
            <w:r>
              <w:rPr>
                <w:rFonts w:hint="eastAsia" w:ascii="仿宋" w:hAnsi="仿宋" w:eastAsia="仿宋" w:cs="仿宋"/>
                <w:color w:val="auto"/>
                <w:w w:val="99"/>
                <w:sz w:val="24"/>
                <w:szCs w:val="24"/>
                <w:highlight w:val="none"/>
                <w:lang w:eastAsia="zh-CN"/>
              </w:rPr>
              <w:t>电子</w:t>
            </w:r>
          </w:p>
        </w:tc>
        <w:tc>
          <w:tcPr>
            <w:tcW w:w="740" w:type="dxa"/>
            <w:vAlign w:val="bottom"/>
          </w:tcPr>
          <w:p>
            <w:pPr>
              <w:spacing w:after="0"/>
              <w:rPr>
                <w:color w:val="auto"/>
                <w:sz w:val="24"/>
                <w:szCs w:val="24"/>
                <w:highlight w:val="none"/>
              </w:rPr>
            </w:pPr>
          </w:p>
        </w:tc>
        <w:tc>
          <w:tcPr>
            <w:tcW w:w="620" w:type="dxa"/>
            <w:vAlign w:val="bottom"/>
          </w:tcPr>
          <w:p>
            <w:pPr>
              <w:spacing w:after="0"/>
              <w:rPr>
                <w:color w:val="auto"/>
                <w:sz w:val="24"/>
                <w:szCs w:val="24"/>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40" w:type="dxa"/>
            <w:vMerge w:val="restart"/>
            <w:vAlign w:val="bottom"/>
          </w:tcPr>
          <w:p>
            <w:pPr>
              <w:spacing w:after="0" w:line="274" w:lineRule="exact"/>
              <w:ind w:right="80"/>
              <w:jc w:val="center"/>
              <w:rPr>
                <w:color w:val="auto"/>
                <w:sz w:val="20"/>
                <w:szCs w:val="20"/>
                <w:highlight w:val="none"/>
              </w:rPr>
            </w:pPr>
            <w:r>
              <w:rPr>
                <w:rFonts w:ascii="仿宋" w:hAnsi="仿宋" w:eastAsia="仿宋" w:cs="仿宋"/>
                <w:color w:val="auto"/>
                <w:w w:val="99"/>
                <w:sz w:val="24"/>
                <w:szCs w:val="24"/>
                <w:highlight w:val="none"/>
              </w:rPr>
              <w:t>3</w:t>
            </w:r>
          </w:p>
        </w:tc>
        <w:tc>
          <w:tcPr>
            <w:tcW w:w="3740" w:type="dxa"/>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调运外币现钞进出境业务管理制</w:t>
            </w:r>
          </w:p>
        </w:tc>
        <w:tc>
          <w:tcPr>
            <w:tcW w:w="1020" w:type="dxa"/>
            <w:vMerge w:val="restart"/>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原件</w:t>
            </w:r>
          </w:p>
        </w:tc>
        <w:tc>
          <w:tcPr>
            <w:tcW w:w="720" w:type="dxa"/>
            <w:vMerge w:val="restart"/>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1</w:t>
            </w:r>
          </w:p>
        </w:tc>
        <w:tc>
          <w:tcPr>
            <w:tcW w:w="860" w:type="dxa"/>
            <w:vMerge w:val="restart"/>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纸质</w:t>
            </w:r>
            <w:r>
              <w:rPr>
                <w:rFonts w:hint="eastAsia" w:ascii="仿宋" w:hAnsi="仿宋" w:eastAsia="仿宋" w:cs="仿宋"/>
                <w:color w:val="auto"/>
                <w:w w:val="99"/>
                <w:sz w:val="24"/>
                <w:szCs w:val="24"/>
                <w:highlight w:val="none"/>
                <w:lang w:val="en-US" w:eastAsia="zh-CN"/>
              </w:rPr>
              <w:t>/</w:t>
            </w:r>
            <w:r>
              <w:rPr>
                <w:rFonts w:hint="eastAsia" w:ascii="仿宋" w:hAnsi="仿宋" w:eastAsia="仿宋" w:cs="仿宋"/>
                <w:color w:val="auto"/>
                <w:w w:val="99"/>
                <w:sz w:val="24"/>
                <w:szCs w:val="24"/>
                <w:highlight w:val="none"/>
                <w:lang w:eastAsia="zh-CN"/>
              </w:rPr>
              <w:t>电子</w:t>
            </w:r>
          </w:p>
        </w:tc>
        <w:tc>
          <w:tcPr>
            <w:tcW w:w="740" w:type="dxa"/>
            <w:vAlign w:val="bottom"/>
          </w:tcPr>
          <w:p>
            <w:pPr>
              <w:spacing w:after="0"/>
              <w:rPr>
                <w:color w:val="auto"/>
                <w:sz w:val="24"/>
                <w:szCs w:val="24"/>
                <w:highlight w:val="none"/>
              </w:rPr>
            </w:pPr>
          </w:p>
        </w:tc>
        <w:tc>
          <w:tcPr>
            <w:tcW w:w="620" w:type="dxa"/>
            <w:vAlign w:val="bottom"/>
          </w:tcPr>
          <w:p>
            <w:pPr>
              <w:spacing w:after="0"/>
              <w:rPr>
                <w:color w:val="auto"/>
                <w:sz w:val="24"/>
                <w:szCs w:val="24"/>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40" w:type="dxa"/>
            <w:vMerge w:val="continue"/>
            <w:vAlign w:val="bottom"/>
          </w:tcPr>
          <w:p>
            <w:pPr>
              <w:spacing w:after="0"/>
              <w:rPr>
                <w:color w:val="auto"/>
                <w:sz w:val="13"/>
                <w:szCs w:val="13"/>
                <w:highlight w:val="none"/>
              </w:rPr>
            </w:pPr>
          </w:p>
        </w:tc>
        <w:tc>
          <w:tcPr>
            <w:tcW w:w="3740" w:type="dxa"/>
            <w:vMerge w:val="restart"/>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度</w:t>
            </w:r>
          </w:p>
        </w:tc>
        <w:tc>
          <w:tcPr>
            <w:tcW w:w="1020" w:type="dxa"/>
            <w:vMerge w:val="continue"/>
            <w:vAlign w:val="bottom"/>
          </w:tcPr>
          <w:p>
            <w:pPr>
              <w:spacing w:after="0"/>
              <w:rPr>
                <w:color w:val="auto"/>
                <w:sz w:val="13"/>
                <w:szCs w:val="13"/>
                <w:highlight w:val="none"/>
              </w:rPr>
            </w:pPr>
          </w:p>
        </w:tc>
        <w:tc>
          <w:tcPr>
            <w:tcW w:w="720" w:type="dxa"/>
            <w:vMerge w:val="continue"/>
            <w:vAlign w:val="bottom"/>
          </w:tcPr>
          <w:p>
            <w:pPr>
              <w:spacing w:after="0"/>
              <w:rPr>
                <w:color w:val="auto"/>
                <w:sz w:val="13"/>
                <w:szCs w:val="13"/>
                <w:highlight w:val="none"/>
              </w:rPr>
            </w:pPr>
          </w:p>
        </w:tc>
        <w:tc>
          <w:tcPr>
            <w:tcW w:w="860" w:type="dxa"/>
            <w:vMerge w:val="continue"/>
            <w:vAlign w:val="bottom"/>
          </w:tcPr>
          <w:p>
            <w:pPr>
              <w:spacing w:after="0"/>
              <w:rPr>
                <w:color w:val="auto"/>
                <w:sz w:val="13"/>
                <w:szCs w:val="13"/>
                <w:highlight w:val="none"/>
              </w:rPr>
            </w:pPr>
          </w:p>
        </w:tc>
        <w:tc>
          <w:tcPr>
            <w:tcW w:w="740" w:type="dxa"/>
            <w:vAlign w:val="bottom"/>
          </w:tcPr>
          <w:p>
            <w:pPr>
              <w:spacing w:after="0"/>
              <w:rPr>
                <w:color w:val="auto"/>
                <w:sz w:val="13"/>
                <w:szCs w:val="13"/>
                <w:highlight w:val="none"/>
              </w:rPr>
            </w:pPr>
          </w:p>
        </w:tc>
        <w:tc>
          <w:tcPr>
            <w:tcW w:w="620" w:type="dxa"/>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40" w:type="dxa"/>
            <w:vAlign w:val="bottom"/>
          </w:tcPr>
          <w:p>
            <w:pPr>
              <w:spacing w:after="0"/>
              <w:rPr>
                <w:color w:val="auto"/>
                <w:sz w:val="13"/>
                <w:szCs w:val="13"/>
                <w:highlight w:val="none"/>
              </w:rPr>
            </w:pPr>
          </w:p>
        </w:tc>
        <w:tc>
          <w:tcPr>
            <w:tcW w:w="3740" w:type="dxa"/>
            <w:vMerge w:val="continue"/>
            <w:vAlign w:val="bottom"/>
          </w:tcPr>
          <w:p>
            <w:pPr>
              <w:spacing w:after="0"/>
              <w:rPr>
                <w:color w:val="auto"/>
                <w:sz w:val="13"/>
                <w:szCs w:val="13"/>
                <w:highlight w:val="none"/>
              </w:rPr>
            </w:pPr>
          </w:p>
        </w:tc>
        <w:tc>
          <w:tcPr>
            <w:tcW w:w="1020" w:type="dxa"/>
            <w:vAlign w:val="bottom"/>
          </w:tcPr>
          <w:p>
            <w:pPr>
              <w:spacing w:after="0"/>
              <w:rPr>
                <w:color w:val="auto"/>
                <w:sz w:val="13"/>
                <w:szCs w:val="13"/>
                <w:highlight w:val="none"/>
              </w:rPr>
            </w:pPr>
          </w:p>
        </w:tc>
        <w:tc>
          <w:tcPr>
            <w:tcW w:w="720" w:type="dxa"/>
            <w:vAlign w:val="bottom"/>
          </w:tcPr>
          <w:p>
            <w:pPr>
              <w:spacing w:after="0"/>
              <w:rPr>
                <w:color w:val="auto"/>
                <w:sz w:val="13"/>
                <w:szCs w:val="13"/>
                <w:highlight w:val="none"/>
              </w:rPr>
            </w:pPr>
          </w:p>
        </w:tc>
        <w:tc>
          <w:tcPr>
            <w:tcW w:w="860" w:type="dxa"/>
            <w:vAlign w:val="bottom"/>
          </w:tcPr>
          <w:p>
            <w:pPr>
              <w:spacing w:after="0"/>
              <w:rPr>
                <w:color w:val="auto"/>
                <w:sz w:val="13"/>
                <w:szCs w:val="13"/>
                <w:highlight w:val="none"/>
              </w:rPr>
            </w:pPr>
          </w:p>
        </w:tc>
        <w:tc>
          <w:tcPr>
            <w:tcW w:w="740" w:type="dxa"/>
            <w:vAlign w:val="bottom"/>
          </w:tcPr>
          <w:p>
            <w:pPr>
              <w:spacing w:after="0"/>
              <w:rPr>
                <w:color w:val="auto"/>
                <w:sz w:val="13"/>
                <w:szCs w:val="13"/>
                <w:highlight w:val="none"/>
              </w:rPr>
            </w:pPr>
          </w:p>
        </w:tc>
        <w:tc>
          <w:tcPr>
            <w:tcW w:w="620" w:type="dxa"/>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bl>
    <w:p>
      <w:pPr>
        <w:spacing w:after="0" w:line="200" w:lineRule="exact"/>
        <w:rPr>
          <w:color w:val="auto"/>
          <w:sz w:val="20"/>
          <w:szCs w:val="20"/>
          <w:highlight w:val="none"/>
        </w:rPr>
      </w:pPr>
    </w:p>
    <w:p>
      <w:pPr>
        <w:spacing w:after="0" w:line="267"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（七）申请接受</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申请人可通过窗口提交材料。</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国家外汇管理局江西省分局接受申请窗口：“国家外汇管理</w:t>
      </w:r>
    </w:p>
    <w:p>
      <w:pPr>
        <w:spacing w:after="0" w:line="293" w:lineRule="exact"/>
        <w:rPr>
          <w:color w:val="auto"/>
          <w:sz w:val="20"/>
          <w:szCs w:val="20"/>
          <w:highlight w:val="none"/>
        </w:rPr>
      </w:pPr>
    </w:p>
    <w:p>
      <w:pPr>
        <w:spacing w:after="0" w:line="331" w:lineRule="exact"/>
        <w:ind w:left="360"/>
        <w:rPr>
          <w:color w:val="auto"/>
          <w:sz w:val="20"/>
          <w:szCs w:val="20"/>
          <w:highlight w:val="none"/>
        </w:rPr>
      </w:pPr>
      <w:r>
        <w:rPr>
          <w:rFonts w:ascii="仿宋" w:hAnsi="仿宋" w:eastAsia="仿宋" w:cs="仿宋"/>
          <w:color w:val="auto"/>
          <w:sz w:val="29"/>
          <w:szCs w:val="29"/>
          <w:highlight w:val="none"/>
        </w:rPr>
        <w:t>局江西省分局国际收支处”，联系电话（0791）86613742，地址：</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江西省南昌市东湖区铁街 25 号，邮政编码 330008。</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（八）基本办理流程</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1.新办流程</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（1）申请人持《银行办理调运外币现钞进出境业务备案</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表》（一式两份）及有关材料，向国家外汇管理局江西省分局</w:t>
      </w:r>
    </w:p>
    <w:p>
      <w:pPr>
        <w:rPr>
          <w:highlight w:val="none"/>
        </w:rPr>
        <w:sectPr>
          <w:pgSz w:w="11900" w:h="16838"/>
          <w:pgMar w:top="1440" w:right="1440" w:bottom="650" w:left="1440" w:header="0" w:footer="0" w:gutter="0"/>
          <w:cols w:space="720" w:num="1"/>
        </w:sectPr>
      </w:pPr>
    </w:p>
    <w:p>
      <w:pPr>
        <w:rPr>
          <w:highlight w:val="none"/>
        </w:rPr>
        <w:sectPr>
          <w:type w:val="continuous"/>
          <w:pgSz w:w="11900" w:h="16838"/>
          <w:pgMar w:top="1440" w:right="1440" w:bottom="650" w:left="1440" w:header="0" w:footer="0" w:gutter="0"/>
          <w:cols w:space="720" w:num="1"/>
        </w:sectPr>
      </w:pPr>
    </w:p>
    <w:p>
      <w:pPr>
        <w:spacing w:after="0" w:line="127" w:lineRule="exact"/>
        <w:rPr>
          <w:color w:val="auto"/>
          <w:sz w:val="20"/>
          <w:szCs w:val="20"/>
          <w:highlight w:val="none"/>
        </w:rPr>
      </w:pPr>
      <w:bookmarkStart w:id="3" w:name="page4"/>
      <w:bookmarkEnd w:id="3"/>
    </w:p>
    <w:p>
      <w:pPr>
        <w:spacing w:after="0" w:line="343" w:lineRule="exact"/>
        <w:ind w:left="360"/>
        <w:rPr>
          <w:color w:val="auto"/>
          <w:sz w:val="20"/>
          <w:szCs w:val="20"/>
          <w:highlight w:val="none"/>
        </w:rPr>
      </w:pPr>
      <w:r>
        <w:rPr>
          <w:rFonts w:ascii="仿宋" w:hAnsi="仿宋" w:eastAsia="仿宋" w:cs="仿宋"/>
          <w:color w:val="auto"/>
          <w:sz w:val="30"/>
          <w:szCs w:val="30"/>
          <w:highlight w:val="none"/>
        </w:rPr>
        <w:t>进行备案。</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（2）国家外汇管理局江西省分局收到申请人内容齐全的</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备案材料后，在其提交的《银行办理调运外币现钞进出境业务</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备案表》上加盖签章予以确认，并将其中一份备案表退还申请</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人留存。</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（3）国家外汇管理局江西省分局应自申请人备案之日起</w:t>
      </w:r>
    </w:p>
    <w:p>
      <w:pPr>
        <w:spacing w:after="0" w:line="318" w:lineRule="exact"/>
        <w:rPr>
          <w:color w:val="auto"/>
          <w:sz w:val="20"/>
          <w:szCs w:val="20"/>
          <w:highlight w:val="none"/>
        </w:rPr>
      </w:pPr>
    </w:p>
    <w:p>
      <w:pPr>
        <w:numPr>
          <w:ilvl w:val="0"/>
          <w:numId w:val="1"/>
        </w:numPr>
        <w:tabs>
          <w:tab w:val="left" w:pos="811"/>
        </w:tabs>
        <w:spacing w:after="0" w:line="544" w:lineRule="exact"/>
        <w:ind w:left="360" w:right="666"/>
        <w:jc w:val="both"/>
        <w:rPr>
          <w:rFonts w:ascii="仿宋" w:hAnsi="仿宋" w:eastAsia="仿宋" w:cs="仿宋"/>
          <w:color w:val="auto"/>
          <w:sz w:val="30"/>
          <w:szCs w:val="30"/>
          <w:highlight w:val="none"/>
        </w:rPr>
      </w:pPr>
      <w:r>
        <w:rPr>
          <w:rFonts w:ascii="仿宋" w:hAnsi="仿宋" w:eastAsia="仿宋" w:cs="仿宋"/>
          <w:color w:val="auto"/>
          <w:sz w:val="30"/>
          <w:szCs w:val="30"/>
          <w:highlight w:val="none"/>
        </w:rPr>
        <w:t>个工作日内将备案银行情况书面通知南昌海关，同时抄送国家外汇管理局及辖内中心支局、支局；南昌海关收到国家外汇管理局江西省分局通知后，应在 10 个工作日内转报海关总署。</w:t>
      </w:r>
    </w:p>
    <w:p>
      <w:pPr>
        <w:spacing w:after="0" w:line="286" w:lineRule="exact"/>
        <w:rPr>
          <w:rFonts w:ascii="仿宋" w:hAnsi="仿宋" w:eastAsia="仿宋" w:cs="仿宋"/>
          <w:color w:val="auto"/>
          <w:sz w:val="30"/>
          <w:szCs w:val="30"/>
          <w:highlight w:val="none"/>
        </w:rPr>
      </w:pPr>
    </w:p>
    <w:p>
      <w:pPr>
        <w:spacing w:after="0" w:line="343" w:lineRule="exact"/>
        <w:ind w:left="960"/>
        <w:rPr>
          <w:rFonts w:ascii="仿宋" w:hAnsi="仿宋" w:eastAsia="仿宋" w:cs="仿宋"/>
          <w:color w:val="auto"/>
          <w:sz w:val="30"/>
          <w:szCs w:val="30"/>
          <w:highlight w:val="none"/>
        </w:rPr>
      </w:pPr>
      <w:r>
        <w:rPr>
          <w:rFonts w:ascii="仿宋" w:hAnsi="仿宋" w:eastAsia="仿宋" w:cs="仿宋"/>
          <w:color w:val="auto"/>
          <w:sz w:val="30"/>
          <w:szCs w:val="30"/>
          <w:highlight w:val="none"/>
        </w:rPr>
        <w:t>2.停办流程。</w:t>
      </w:r>
    </w:p>
    <w:p>
      <w:pPr>
        <w:spacing w:after="0" w:line="318" w:lineRule="exact"/>
        <w:rPr>
          <w:rFonts w:ascii="仿宋" w:hAnsi="仿宋" w:eastAsia="仿宋" w:cs="仿宋"/>
          <w:color w:val="auto"/>
          <w:sz w:val="30"/>
          <w:szCs w:val="30"/>
          <w:highlight w:val="none"/>
        </w:rPr>
      </w:pPr>
    </w:p>
    <w:p>
      <w:pPr>
        <w:spacing w:after="0" w:line="560" w:lineRule="exact"/>
        <w:ind w:left="360" w:right="666" w:firstLine="600"/>
        <w:jc w:val="both"/>
        <w:rPr>
          <w:rFonts w:ascii="仿宋" w:hAnsi="仿宋" w:eastAsia="仿宋" w:cs="仿宋"/>
          <w:color w:val="auto"/>
          <w:sz w:val="30"/>
          <w:szCs w:val="30"/>
          <w:highlight w:val="none"/>
        </w:rPr>
      </w:pPr>
      <w:r>
        <w:rPr>
          <w:rFonts w:ascii="仿宋" w:hAnsi="仿宋" w:eastAsia="仿宋" w:cs="仿宋"/>
          <w:color w:val="auto"/>
          <w:sz w:val="29"/>
          <w:szCs w:val="29"/>
          <w:highlight w:val="none"/>
        </w:rPr>
        <w:t>已获得调运外币现钞进出境业务资格的申请人停办调运外币现钞进出境业务，应当自停办业务之日前 30 个工作日由其总行向国家外汇管理局江西省分局提交《银行停办调运外币现钞进出境业务备案表》履行停办备案手续。国家外汇管理局江西省分局按照新办流程中第三条程序分别通知有关部门。</w:t>
      </w:r>
    </w:p>
    <w:p>
      <w:pPr>
        <w:spacing w:after="0" w:line="322" w:lineRule="exact"/>
        <w:rPr>
          <w:rFonts w:ascii="仿宋" w:hAnsi="仿宋" w:eastAsia="仿宋" w:cs="仿宋"/>
          <w:color w:val="auto"/>
          <w:sz w:val="30"/>
          <w:szCs w:val="30"/>
          <w:highlight w:val="none"/>
        </w:rPr>
      </w:pPr>
    </w:p>
    <w:p>
      <w:pPr>
        <w:spacing w:after="0" w:line="465" w:lineRule="exact"/>
        <w:ind w:left="360" w:right="566" w:firstLine="600"/>
        <w:rPr>
          <w:rFonts w:ascii="仿宋" w:hAnsi="仿宋" w:eastAsia="仿宋" w:cs="仿宋"/>
          <w:color w:val="auto"/>
          <w:sz w:val="30"/>
          <w:szCs w:val="30"/>
          <w:highlight w:val="none"/>
        </w:rPr>
      </w:pPr>
      <w:r>
        <w:rPr>
          <w:rFonts w:ascii="仿宋" w:hAnsi="仿宋" w:eastAsia="仿宋" w:cs="仿宋"/>
          <w:color w:val="auto"/>
          <w:sz w:val="30"/>
          <w:szCs w:val="30"/>
          <w:highlight w:val="none"/>
        </w:rPr>
        <w:t>3.材料不全或不符合法定形式的，一次性告知补正材料，并出具《行政许可补正通知书》。</w:t>
      </w:r>
    </w:p>
    <w:p>
      <w:pPr>
        <w:spacing w:after="0" w:line="279" w:lineRule="exact"/>
        <w:rPr>
          <w:rFonts w:ascii="仿宋" w:hAnsi="仿宋" w:eastAsia="仿宋" w:cs="仿宋"/>
          <w:color w:val="auto"/>
          <w:sz w:val="30"/>
          <w:szCs w:val="30"/>
          <w:highlight w:val="none"/>
        </w:rPr>
      </w:pPr>
    </w:p>
    <w:p>
      <w:pPr>
        <w:spacing w:after="0" w:line="343" w:lineRule="exact"/>
        <w:ind w:left="960"/>
        <w:rPr>
          <w:rFonts w:ascii="仿宋" w:hAnsi="仿宋" w:eastAsia="仿宋" w:cs="仿宋"/>
          <w:color w:val="auto"/>
          <w:sz w:val="30"/>
          <w:szCs w:val="30"/>
          <w:highlight w:val="none"/>
        </w:rPr>
      </w:pPr>
      <w:r>
        <w:rPr>
          <w:rFonts w:ascii="黑体" w:hAnsi="黑体" w:eastAsia="黑体" w:cs="黑体"/>
          <w:color w:val="auto"/>
          <w:sz w:val="30"/>
          <w:szCs w:val="30"/>
          <w:highlight w:val="none"/>
        </w:rPr>
        <w:t>（九）办理方式</w:t>
      </w:r>
    </w:p>
    <w:p>
      <w:pPr>
        <w:spacing w:after="0" w:line="295" w:lineRule="exact"/>
        <w:rPr>
          <w:rFonts w:ascii="仿宋" w:hAnsi="仿宋" w:eastAsia="仿宋" w:cs="仿宋"/>
          <w:color w:val="auto"/>
          <w:sz w:val="30"/>
          <w:szCs w:val="30"/>
          <w:highlight w:val="none"/>
        </w:rPr>
      </w:pPr>
    </w:p>
    <w:p>
      <w:pPr>
        <w:spacing w:after="0" w:line="331" w:lineRule="exact"/>
        <w:ind w:left="960"/>
        <w:rPr>
          <w:rFonts w:ascii="仿宋" w:hAnsi="仿宋" w:eastAsia="仿宋" w:cs="仿宋"/>
          <w:color w:val="auto"/>
          <w:sz w:val="30"/>
          <w:szCs w:val="30"/>
          <w:highlight w:val="none"/>
        </w:rPr>
      </w:pPr>
      <w:r>
        <w:rPr>
          <w:rFonts w:ascii="仿宋" w:hAnsi="仿宋" w:eastAsia="仿宋" w:cs="仿宋"/>
          <w:color w:val="auto"/>
          <w:sz w:val="29"/>
          <w:szCs w:val="29"/>
          <w:highlight w:val="none"/>
        </w:rPr>
        <w:t>一般程序：申请、受理、初审、作出审批决定、出具审批文</w:t>
      </w:r>
    </w:p>
    <w:p>
      <w:pPr>
        <w:spacing w:after="0" w:line="281" w:lineRule="exact"/>
        <w:rPr>
          <w:rFonts w:ascii="仿宋" w:hAnsi="仿宋" w:eastAsia="仿宋" w:cs="仿宋"/>
          <w:color w:val="auto"/>
          <w:sz w:val="30"/>
          <w:szCs w:val="30"/>
          <w:highlight w:val="none"/>
        </w:rPr>
      </w:pPr>
    </w:p>
    <w:p>
      <w:pPr>
        <w:spacing w:after="0" w:line="343" w:lineRule="exact"/>
        <w:ind w:left="360"/>
        <w:rPr>
          <w:rFonts w:ascii="仿宋" w:hAnsi="仿宋" w:eastAsia="仿宋" w:cs="仿宋"/>
          <w:color w:val="auto"/>
          <w:sz w:val="30"/>
          <w:szCs w:val="30"/>
          <w:highlight w:val="none"/>
        </w:rPr>
      </w:pPr>
      <w:r>
        <w:rPr>
          <w:rFonts w:ascii="仿宋" w:hAnsi="仿宋" w:eastAsia="仿宋" w:cs="仿宋"/>
          <w:color w:val="auto"/>
          <w:sz w:val="30"/>
          <w:szCs w:val="30"/>
          <w:highlight w:val="none"/>
        </w:rPr>
        <w:t>件。</w:t>
      </w:r>
    </w:p>
    <w:p>
      <w:pPr>
        <w:spacing w:after="0" w:line="279" w:lineRule="exact"/>
        <w:rPr>
          <w:rFonts w:ascii="仿宋" w:hAnsi="仿宋" w:eastAsia="仿宋" w:cs="仿宋"/>
          <w:color w:val="auto"/>
          <w:sz w:val="30"/>
          <w:szCs w:val="30"/>
          <w:highlight w:val="none"/>
        </w:rPr>
      </w:pPr>
    </w:p>
    <w:p>
      <w:pPr>
        <w:spacing w:after="0" w:line="343" w:lineRule="exact"/>
        <w:ind w:left="960"/>
        <w:rPr>
          <w:rFonts w:ascii="仿宋" w:hAnsi="仿宋" w:eastAsia="仿宋" w:cs="仿宋"/>
          <w:color w:val="auto"/>
          <w:sz w:val="30"/>
          <w:szCs w:val="30"/>
          <w:highlight w:val="none"/>
        </w:rPr>
      </w:pPr>
      <w:r>
        <w:rPr>
          <w:rFonts w:ascii="黑体" w:hAnsi="黑体" w:eastAsia="黑体" w:cs="黑体"/>
          <w:color w:val="auto"/>
          <w:sz w:val="30"/>
          <w:szCs w:val="30"/>
          <w:highlight w:val="none"/>
        </w:rPr>
        <w:t>（十）审批时限</w:t>
      </w:r>
    </w:p>
    <w:p>
      <w:pPr>
        <w:rPr>
          <w:highlight w:val="none"/>
        </w:rPr>
        <w:sectPr>
          <w:pgSz w:w="11900" w:h="16838"/>
          <w:pgMar w:top="1440" w:right="1440" w:bottom="650" w:left="1440" w:header="0" w:footer="0" w:gutter="0"/>
          <w:cols w:space="720" w:num="1"/>
        </w:sectPr>
      </w:pPr>
    </w:p>
    <w:p>
      <w:pPr>
        <w:spacing w:after="0" w:line="393" w:lineRule="exact"/>
        <w:rPr>
          <w:color w:val="auto"/>
          <w:sz w:val="20"/>
          <w:szCs w:val="20"/>
          <w:highlight w:val="none"/>
        </w:rPr>
      </w:pPr>
    </w:p>
    <w:p>
      <w:pPr>
        <w:rPr>
          <w:highlight w:val="none"/>
        </w:rPr>
        <w:sectPr>
          <w:type w:val="continuous"/>
          <w:pgSz w:w="11900" w:h="16838"/>
          <w:pgMar w:top="1440" w:right="1440" w:bottom="650" w:left="1440" w:header="0" w:footer="0" w:gutter="0"/>
          <w:cols w:space="720" w:num="1"/>
        </w:sectPr>
      </w:pPr>
    </w:p>
    <w:p>
      <w:pPr>
        <w:spacing w:after="0" w:line="127" w:lineRule="exact"/>
        <w:rPr>
          <w:color w:val="auto"/>
          <w:sz w:val="20"/>
          <w:szCs w:val="20"/>
          <w:highlight w:val="none"/>
        </w:rPr>
      </w:pPr>
      <w:bookmarkStart w:id="4" w:name="page5"/>
      <w:bookmarkEnd w:id="4"/>
    </w:p>
    <w:p>
      <w:pPr>
        <w:spacing w:after="0" w:line="343" w:lineRule="exact"/>
        <w:ind w:left="960"/>
        <w:rPr>
          <w:color w:val="auto"/>
          <w:sz w:val="20"/>
          <w:szCs w:val="20"/>
          <w:highlight w:val="none"/>
        </w:rPr>
      </w:pPr>
      <w:r>
        <w:rPr>
          <w:rFonts w:hint="eastAsia" w:ascii="仿宋" w:hAnsi="仿宋" w:eastAsia="仿宋" w:cs="仿宋"/>
          <w:color w:val="auto"/>
          <w:sz w:val="30"/>
          <w:szCs w:val="30"/>
          <w:highlight w:val="none"/>
          <w:lang w:val="en-US" w:eastAsia="zh-CN"/>
        </w:rPr>
        <w:t>20</w:t>
      </w:r>
      <w:r>
        <w:rPr>
          <w:rFonts w:ascii="仿宋" w:hAnsi="仿宋" w:eastAsia="仿宋" w:cs="仿宋"/>
          <w:color w:val="auto"/>
          <w:sz w:val="30"/>
          <w:szCs w:val="30"/>
          <w:highlight w:val="none"/>
        </w:rPr>
        <w:t>个工作日。</w:t>
      </w:r>
    </w:p>
    <w:p>
      <w:pPr>
        <w:spacing w:after="0" w:line="280"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（十一）审批收费依据及标准</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不收费。</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（十二）审批结果</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加盖国家外汇管理局江西省分局签章的《银行调运外币现钞</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进出境业务备案表》</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（十三）结果送达</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通过现场告知或电话通知申请人，并通过现场领取或邮寄方</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式将结果送达。</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（十四）申请人权利和义务</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申请人有权依法提出行政审批申请，依法进行投诉、举报、</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复议、诉讼等。申请人有义务保证申请材料完整、真实、准确，</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获批后合法合规办理相关业务。</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（十五）事项审查类型</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前审后批</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（十六）办公地址和时间</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办公地址:江西省南昌市东湖区铁街 25 号，邮政编码</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330008。</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办公时间：上午:8：30--12:00</w:t>
      </w:r>
    </w:p>
    <w:p>
      <w:pPr>
        <w:spacing w:after="0" w:line="282" w:lineRule="exact"/>
        <w:rPr>
          <w:color w:val="auto"/>
          <w:sz w:val="20"/>
          <w:szCs w:val="20"/>
          <w:highlight w:val="none"/>
        </w:rPr>
      </w:pPr>
    </w:p>
    <w:p>
      <w:pPr>
        <w:spacing w:after="0" w:line="343" w:lineRule="exact"/>
        <w:ind w:right="206"/>
        <w:jc w:val="right"/>
        <w:rPr>
          <w:color w:val="auto"/>
          <w:sz w:val="20"/>
          <w:szCs w:val="20"/>
          <w:highlight w:val="none"/>
        </w:rPr>
      </w:pPr>
      <w:r>
        <w:rPr>
          <w:rFonts w:ascii="仿宋" w:hAnsi="仿宋" w:eastAsia="仿宋" w:cs="仿宋"/>
          <w:color w:val="auto"/>
          <w:sz w:val="30"/>
          <w:szCs w:val="30"/>
          <w:highlight w:val="none"/>
        </w:rPr>
        <w:t>下午：2:00--5:30（冬季作息时间为2:00--5:00）</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（十七）禁止性要求</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详见（五）办事条件</w:t>
      </w:r>
    </w:p>
    <w:p>
      <w:pPr>
        <w:rPr>
          <w:highlight w:val="none"/>
        </w:rPr>
        <w:sectPr>
          <w:pgSz w:w="11900" w:h="16838"/>
          <w:pgMar w:top="1440" w:right="1440" w:bottom="650" w:left="1440" w:header="0" w:footer="0" w:gutter="0"/>
          <w:cols w:space="720" w:num="1"/>
        </w:sectPr>
      </w:pPr>
    </w:p>
    <w:p>
      <w:pPr>
        <w:spacing w:after="0" w:line="391" w:lineRule="exact"/>
        <w:rPr>
          <w:color w:val="auto"/>
          <w:sz w:val="20"/>
          <w:szCs w:val="20"/>
          <w:highlight w:val="none"/>
        </w:rPr>
      </w:pPr>
    </w:p>
    <w:p>
      <w:pPr>
        <w:rPr>
          <w:highlight w:val="none"/>
        </w:rPr>
        <w:sectPr>
          <w:type w:val="continuous"/>
          <w:pgSz w:w="11900" w:h="16838"/>
          <w:pgMar w:top="1440" w:right="1440" w:bottom="650" w:left="1440" w:header="0" w:footer="0" w:gutter="0"/>
          <w:cols w:space="720" w:num="1"/>
        </w:sectPr>
      </w:pPr>
    </w:p>
    <w:p>
      <w:pPr>
        <w:spacing w:after="0" w:line="125" w:lineRule="exact"/>
        <w:rPr>
          <w:color w:val="auto"/>
          <w:sz w:val="20"/>
          <w:szCs w:val="20"/>
          <w:highlight w:val="none"/>
        </w:rPr>
      </w:pPr>
      <w:bookmarkStart w:id="5" w:name="page6"/>
      <w:bookmarkEnd w:id="5"/>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（十八）咨询途径</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电话、电子邮件。</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（十九）办理进程和结果公开查询</w:t>
      </w:r>
    </w:p>
    <w:p>
      <w:pPr>
        <w:spacing w:after="0" w:line="295" w:lineRule="exact"/>
        <w:rPr>
          <w:color w:val="auto"/>
          <w:sz w:val="20"/>
          <w:szCs w:val="20"/>
          <w:highlight w:val="none"/>
        </w:rPr>
      </w:pPr>
    </w:p>
    <w:p>
      <w:pPr>
        <w:spacing w:after="0" w:line="331" w:lineRule="exact"/>
        <w:ind w:left="960"/>
        <w:rPr>
          <w:color w:val="auto"/>
          <w:sz w:val="20"/>
          <w:szCs w:val="20"/>
          <w:highlight w:val="none"/>
        </w:rPr>
      </w:pPr>
      <w:r>
        <w:rPr>
          <w:rFonts w:ascii="仿宋" w:hAnsi="仿宋" w:eastAsia="仿宋" w:cs="仿宋"/>
          <w:color w:val="auto"/>
          <w:sz w:val="29"/>
          <w:szCs w:val="29"/>
          <w:highlight w:val="none"/>
        </w:rPr>
        <w:t>向国家外汇管理局江西省分局进行咨询、进程查询、监督</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和投诉等可通过国家外汇管理局江西省分局官方网站的相应</w:t>
      </w:r>
    </w:p>
    <w:p>
      <w:pPr>
        <w:spacing w:after="0" w:line="293" w:lineRule="exact"/>
        <w:rPr>
          <w:color w:val="auto"/>
          <w:sz w:val="20"/>
          <w:szCs w:val="20"/>
          <w:highlight w:val="none"/>
        </w:rPr>
      </w:pPr>
    </w:p>
    <w:p>
      <w:pPr>
        <w:spacing w:after="0" w:line="331" w:lineRule="exact"/>
        <w:ind w:left="360"/>
        <w:rPr>
          <w:rFonts w:ascii="仿宋" w:hAnsi="仿宋" w:eastAsia="仿宋" w:cs="仿宋"/>
          <w:color w:val="auto"/>
          <w:sz w:val="29"/>
          <w:szCs w:val="29"/>
          <w:highlight w:val="none"/>
        </w:rPr>
      </w:pPr>
      <w:r>
        <w:rPr>
          <w:rFonts w:ascii="仿宋" w:hAnsi="仿宋" w:eastAsia="仿宋" w:cs="仿宋"/>
          <w:color w:val="auto"/>
          <w:sz w:val="29"/>
          <w:szCs w:val="29"/>
          <w:highlight w:val="none"/>
        </w:rPr>
        <w:t xml:space="preserve">栏目进行。网址可通过 </w:t>
      </w:r>
      <w:r>
        <w:rPr>
          <w:highlight w:val="none"/>
        </w:rPr>
        <w:fldChar w:fldCharType="begin"/>
      </w:r>
      <w:r>
        <w:rPr>
          <w:highlight w:val="none"/>
        </w:rPr>
        <w:instrText xml:space="preserve"> HYPERLINK "http://www.safe.gov.cn" \h </w:instrText>
      </w:r>
      <w:r>
        <w:rPr>
          <w:highlight w:val="none"/>
        </w:rPr>
        <w:fldChar w:fldCharType="separate"/>
      </w:r>
      <w:r>
        <w:rPr>
          <w:rFonts w:ascii="仿宋" w:hAnsi="仿宋" w:eastAsia="仿宋" w:cs="仿宋"/>
          <w:color w:val="auto"/>
          <w:sz w:val="29"/>
          <w:szCs w:val="29"/>
          <w:highlight w:val="none"/>
        </w:rPr>
        <w:t xml:space="preserve">www.safe.gov.cn </w:t>
      </w:r>
      <w:r>
        <w:rPr>
          <w:rFonts w:ascii="仿宋" w:hAnsi="仿宋" w:eastAsia="仿宋" w:cs="仿宋"/>
          <w:color w:val="auto"/>
          <w:sz w:val="29"/>
          <w:szCs w:val="29"/>
          <w:highlight w:val="none"/>
        </w:rPr>
        <w:fldChar w:fldCharType="end"/>
      </w:r>
      <w:r>
        <w:rPr>
          <w:rFonts w:ascii="仿宋" w:hAnsi="仿宋" w:eastAsia="仿宋" w:cs="仿宋"/>
          <w:color w:val="auto"/>
          <w:sz w:val="29"/>
          <w:szCs w:val="29"/>
          <w:highlight w:val="none"/>
        </w:rPr>
        <w:t>进行链接，也可通过</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外汇局官方互联网站上公布的电话进行。</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（二十）申请材料示范文本</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无固定格式。有关内容要求详见（六）申请材料。</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（二十一）常见问题解答</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 xml:space="preserve">审批时限在 </w:t>
      </w:r>
      <w:r>
        <w:rPr>
          <w:rFonts w:hint="eastAsia" w:ascii="仿宋" w:hAnsi="仿宋" w:eastAsia="仿宋" w:cs="仿宋"/>
          <w:color w:val="auto"/>
          <w:sz w:val="30"/>
          <w:szCs w:val="30"/>
          <w:highlight w:val="none"/>
          <w:lang w:val="en-US" w:eastAsia="zh-CN"/>
        </w:rPr>
        <w:t>20</w:t>
      </w:r>
      <w:r>
        <w:rPr>
          <w:rFonts w:ascii="仿宋" w:hAnsi="仿宋" w:eastAsia="仿宋" w:cs="仿宋"/>
          <w:color w:val="auto"/>
          <w:sz w:val="30"/>
          <w:szCs w:val="30"/>
          <w:highlight w:val="none"/>
        </w:rPr>
        <w:t xml:space="preserve"> 个工作日以内</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（二十二）常见错误示例</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申请材料要件不全。</w:t>
      </w:r>
    </w:p>
    <w:p>
      <w:pPr>
        <w:rPr>
          <w:highlight w:val="none"/>
        </w:rPr>
        <w:sectPr>
          <w:pgSz w:w="11900" w:h="16838"/>
          <w:pgMar w:top="1440" w:right="1440" w:bottom="650" w:left="1440" w:header="0" w:footer="0" w:gutter="0"/>
          <w:cols w:space="720" w:num="1"/>
        </w:sect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7" w:lineRule="exact"/>
        <w:rPr>
          <w:color w:val="auto"/>
          <w:sz w:val="20"/>
          <w:szCs w:val="20"/>
          <w:highlight w:val="none"/>
        </w:rPr>
      </w:pPr>
    </w:p>
    <w:p>
      <w:pPr>
        <w:rPr>
          <w:highlight w:val="none"/>
        </w:rPr>
        <w:sectPr>
          <w:type w:val="continuous"/>
          <w:pgSz w:w="11900" w:h="16838"/>
          <w:pgMar w:top="1440" w:right="1440" w:bottom="650" w:left="1440" w:header="0" w:footer="0" w:gutter="0"/>
          <w:cols w:space="720" w:num="1"/>
        </w:sectPr>
      </w:pPr>
    </w:p>
    <w:p>
      <w:pPr>
        <w:spacing w:after="0" w:line="127" w:lineRule="exact"/>
        <w:rPr>
          <w:color w:val="auto"/>
          <w:sz w:val="20"/>
          <w:szCs w:val="20"/>
          <w:highlight w:val="none"/>
        </w:rPr>
      </w:pPr>
      <w:bookmarkStart w:id="6" w:name="page7"/>
      <w:bookmarkEnd w:id="6"/>
    </w:p>
    <w:p>
      <w:pPr>
        <w:spacing w:after="0" w:line="343" w:lineRule="exact"/>
        <w:ind w:left="360"/>
        <w:rPr>
          <w:color w:val="auto"/>
          <w:sz w:val="20"/>
          <w:szCs w:val="20"/>
          <w:highlight w:val="none"/>
        </w:rPr>
      </w:pPr>
      <w:r>
        <w:rPr>
          <w:rFonts w:ascii="仿宋" w:hAnsi="仿宋" w:eastAsia="仿宋" w:cs="仿宋"/>
          <w:color w:val="auto"/>
          <w:sz w:val="30"/>
          <w:szCs w:val="30"/>
          <w:highlight w:val="none"/>
        </w:rPr>
        <w:t>附录</w:t>
      </w:r>
    </w:p>
    <w:p>
      <w:pPr>
        <w:spacing w:after="0" w:line="280" w:lineRule="exact"/>
        <w:rPr>
          <w:color w:val="auto"/>
          <w:sz w:val="20"/>
          <w:szCs w:val="20"/>
          <w:highlight w:val="none"/>
        </w:rPr>
      </w:pPr>
    </w:p>
    <w:p>
      <w:pPr>
        <w:spacing w:after="0" w:line="343" w:lineRule="exact"/>
        <w:ind w:right="306"/>
        <w:jc w:val="center"/>
        <w:rPr>
          <w:color w:val="auto"/>
          <w:sz w:val="20"/>
          <w:szCs w:val="20"/>
          <w:highlight w:val="none"/>
        </w:rPr>
      </w:pPr>
      <w:r>
        <w:rPr>
          <w:rFonts w:ascii="黑体" w:hAnsi="黑体" w:eastAsia="黑体" w:cs="黑体"/>
          <w:color w:val="auto"/>
          <w:sz w:val="30"/>
          <w:szCs w:val="30"/>
          <w:highlight w:val="none"/>
        </w:rPr>
        <w:t>基本流程图</w:t>
      </w:r>
    </w:p>
    <w:p>
      <w:pPr>
        <w:spacing w:after="0" w:line="20" w:lineRule="exact"/>
        <w:rPr>
          <w:color w:val="auto"/>
          <w:sz w:val="20"/>
          <w:szCs w:val="20"/>
          <w:highlight w:val="none"/>
        </w:rPr>
      </w:pPr>
      <w:r>
        <w:rPr>
          <w:rFonts w:ascii="Calibri" w:hAnsi="Calibri" w:eastAsia="宋体" w:cs="黑体"/>
          <w:color w:val="auto"/>
          <w:sz w:val="20"/>
          <w:szCs w:val="20"/>
          <w:highlight w:val="none"/>
          <w:lang w:val="en-US" w:eastAsia="zh-CN" w:bidi="ar-SA"/>
        </w:rPr>
        <w:pict>
          <v:shape id="Picture 1" o:spid="_x0000_s1027" type="#_x0000_t75" style="position:absolute;left:0;margin-left:10.05pt;margin-top:48.15pt;height:308.35pt;width:429.35pt;rotation:0f;z-index:-251658240;" o:ole="f" fillcolor="#FFFFFF" filled="f" o:preferrelative="t" stroked="f" coordorigin="0,0" coordsize="21600,21600" o:allowincell="f">
            <v:fill on="f" color2="#FFFFFF" focus="0%"/>
            <v:imagedata gain="65536f" blacklevel="0f" gamma="0" o:title="" r:id="rId6"/>
            <o:lock v:ext="edit" position="f" selection="f" grouping="f" rotation="f" cropping="f" text="f" aspectratio="t"/>
          </v:shape>
        </w:pict>
      </w: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321" w:lineRule="exact"/>
        <w:rPr>
          <w:color w:val="auto"/>
          <w:sz w:val="20"/>
          <w:szCs w:val="20"/>
          <w:highlight w:val="none"/>
        </w:rPr>
      </w:pPr>
    </w:p>
    <w:p>
      <w:pPr>
        <w:spacing w:after="0" w:line="240" w:lineRule="exact"/>
        <w:ind w:left="560"/>
        <w:rPr>
          <w:color w:val="auto"/>
          <w:sz w:val="20"/>
          <w:szCs w:val="20"/>
          <w:highlight w:val="none"/>
        </w:rPr>
      </w:pPr>
      <w:r>
        <w:rPr>
          <w:rFonts w:ascii="宋体" w:hAnsi="宋体" w:eastAsia="宋体" w:cs="宋体"/>
          <w:color w:val="auto"/>
          <w:sz w:val="21"/>
          <w:szCs w:val="21"/>
          <w:highlight w:val="none"/>
        </w:rPr>
        <w:t>申请人现场提</w:t>
      </w:r>
    </w:p>
    <w:p>
      <w:pPr>
        <w:spacing w:after="0" w:line="72" w:lineRule="exact"/>
        <w:rPr>
          <w:color w:val="auto"/>
          <w:sz w:val="20"/>
          <w:szCs w:val="20"/>
          <w:highlight w:val="none"/>
        </w:rPr>
      </w:pPr>
    </w:p>
    <w:p>
      <w:pPr>
        <w:spacing w:after="0" w:line="240" w:lineRule="exact"/>
        <w:ind w:left="560"/>
        <w:rPr>
          <w:color w:val="auto"/>
          <w:sz w:val="20"/>
          <w:szCs w:val="20"/>
          <w:highlight w:val="none"/>
        </w:rPr>
      </w:pPr>
      <w:r>
        <w:rPr>
          <w:rFonts w:ascii="宋体" w:hAnsi="宋体" w:eastAsia="宋体" w:cs="宋体"/>
          <w:color w:val="auto"/>
          <w:sz w:val="21"/>
          <w:szCs w:val="21"/>
          <w:highlight w:val="none"/>
        </w:rPr>
        <w:t>出备案表，并</w:t>
      </w:r>
    </w:p>
    <w:p>
      <w:pPr>
        <w:spacing w:after="0" w:line="72" w:lineRule="exact"/>
        <w:rPr>
          <w:color w:val="auto"/>
          <w:sz w:val="20"/>
          <w:szCs w:val="20"/>
          <w:highlight w:val="none"/>
        </w:rPr>
      </w:pPr>
    </w:p>
    <w:p>
      <w:pPr>
        <w:spacing w:after="0" w:line="240" w:lineRule="exact"/>
        <w:ind w:left="560"/>
        <w:rPr>
          <w:color w:val="auto"/>
          <w:sz w:val="20"/>
          <w:szCs w:val="20"/>
          <w:highlight w:val="none"/>
        </w:rPr>
      </w:pPr>
      <w:r>
        <w:rPr>
          <w:rFonts w:ascii="宋体" w:hAnsi="宋体" w:eastAsia="宋体" w:cs="宋体"/>
          <w:color w:val="auto"/>
          <w:sz w:val="21"/>
          <w:szCs w:val="21"/>
          <w:highlight w:val="none"/>
        </w:rPr>
        <w:t>提交材料</w:t>
      </w:r>
    </w:p>
    <w:p>
      <w:pPr>
        <w:spacing w:after="0" w:line="135" w:lineRule="exact"/>
        <w:rPr>
          <w:color w:val="auto"/>
          <w:sz w:val="20"/>
          <w:szCs w:val="20"/>
          <w:highlight w:val="none"/>
        </w:rPr>
      </w:pPr>
    </w:p>
    <w:p>
      <w:pPr>
        <w:spacing w:after="0" w:line="240" w:lineRule="exact"/>
        <w:ind w:left="6000"/>
        <w:rPr>
          <w:color w:val="auto"/>
          <w:sz w:val="20"/>
          <w:szCs w:val="20"/>
          <w:highlight w:val="none"/>
        </w:rPr>
      </w:pPr>
      <w:r>
        <w:rPr>
          <w:rFonts w:ascii="宋体" w:hAnsi="宋体" w:eastAsia="宋体" w:cs="宋体"/>
          <w:color w:val="auto"/>
          <w:sz w:val="21"/>
          <w:szCs w:val="21"/>
          <w:highlight w:val="none"/>
        </w:rPr>
        <w:t>申请人补全材料</w:t>
      </w: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96" w:lineRule="exact"/>
        <w:rPr>
          <w:color w:val="auto"/>
          <w:sz w:val="20"/>
          <w:szCs w:val="20"/>
          <w:highlight w:val="none"/>
        </w:rPr>
      </w:pPr>
    </w:p>
    <w:p>
      <w:pPr>
        <w:spacing w:after="0" w:line="480" w:lineRule="exact"/>
        <w:ind w:left="440"/>
        <w:rPr>
          <w:color w:val="auto"/>
          <w:sz w:val="20"/>
          <w:szCs w:val="20"/>
          <w:highlight w:val="none"/>
        </w:rPr>
      </w:pPr>
      <w:r>
        <w:rPr>
          <w:rFonts w:ascii="宋体" w:hAnsi="宋体" w:eastAsia="宋体" w:cs="宋体"/>
          <w:color w:val="auto"/>
          <w:sz w:val="38"/>
          <w:szCs w:val="38"/>
          <w:highlight w:val="none"/>
          <w:vertAlign w:val="subscript"/>
        </w:rPr>
        <w:t xml:space="preserve">接件并当场（或 </w:t>
      </w:r>
      <w:r>
        <w:rPr>
          <w:rFonts w:ascii="Calibri" w:hAnsi="Calibri" w:eastAsia="Calibri" w:cs="Calibri"/>
          <w:color w:val="auto"/>
          <w:sz w:val="37"/>
          <w:szCs w:val="37"/>
          <w:highlight w:val="none"/>
          <w:vertAlign w:val="subscript"/>
        </w:rPr>
        <w:t xml:space="preserve">5  </w:t>
      </w:r>
      <w:r>
        <w:rPr>
          <w:rFonts w:ascii="Calibri" w:hAnsi="Calibri" w:eastAsia="宋体" w:cs="黑体"/>
          <w:color w:val="auto"/>
          <w:sz w:val="1"/>
          <w:szCs w:val="1"/>
          <w:highlight w:val="none"/>
          <w:lang w:val="en-US" w:eastAsia="zh-CN" w:bidi="ar-SA"/>
        </w:rPr>
        <w:pict>
          <v:shape id="Picture 2" o:spid="_x0000_s1028" type="#_x0000_t75" style="height:8pt;width:60.6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宋体" w:hAnsi="宋体" w:eastAsia="宋体" w:cs="宋体"/>
          <w:color w:val="auto"/>
          <w:sz w:val="19"/>
          <w:szCs w:val="19"/>
          <w:highlight w:val="none"/>
        </w:rPr>
        <w:t xml:space="preserve"> 材料不全或不符合法定形式的，一次性告知补正材料</w:t>
      </w:r>
    </w:p>
    <w:p>
      <w:pPr>
        <w:spacing w:after="0" w:line="72" w:lineRule="exact"/>
        <w:rPr>
          <w:color w:val="auto"/>
          <w:sz w:val="20"/>
          <w:szCs w:val="20"/>
          <w:highlight w:val="none"/>
        </w:rPr>
      </w:pPr>
    </w:p>
    <w:p>
      <w:pPr>
        <w:spacing w:after="0" w:line="240" w:lineRule="exact"/>
        <w:ind w:left="440"/>
        <w:rPr>
          <w:color w:val="auto"/>
          <w:sz w:val="20"/>
          <w:szCs w:val="20"/>
          <w:highlight w:val="none"/>
        </w:rPr>
      </w:pPr>
      <w:r>
        <w:rPr>
          <w:rFonts w:ascii="宋体" w:hAnsi="宋体" w:eastAsia="宋体" w:cs="宋体"/>
          <w:color w:val="auto"/>
          <w:sz w:val="21"/>
          <w:szCs w:val="21"/>
          <w:highlight w:val="none"/>
        </w:rPr>
        <w:t>个工作日）作出是</w:t>
      </w:r>
    </w:p>
    <w:p>
      <w:pPr>
        <w:spacing w:after="0" w:line="72" w:lineRule="exact"/>
        <w:rPr>
          <w:color w:val="auto"/>
          <w:sz w:val="20"/>
          <w:szCs w:val="20"/>
          <w:highlight w:val="none"/>
        </w:rPr>
      </w:pPr>
    </w:p>
    <w:p>
      <w:pPr>
        <w:spacing w:after="0" w:line="240" w:lineRule="exact"/>
        <w:ind w:left="440"/>
        <w:rPr>
          <w:color w:val="auto"/>
          <w:sz w:val="20"/>
          <w:szCs w:val="20"/>
          <w:highlight w:val="none"/>
        </w:rPr>
      </w:pPr>
      <w:r>
        <w:rPr>
          <w:rFonts w:ascii="宋体" w:hAnsi="宋体" w:eastAsia="宋体" w:cs="宋体"/>
          <w:color w:val="auto"/>
          <w:sz w:val="21"/>
          <w:szCs w:val="21"/>
          <w:highlight w:val="none"/>
        </w:rPr>
        <w:t>否受理决定</w:t>
      </w:r>
    </w:p>
    <w:p>
      <w:pPr>
        <w:spacing w:after="0" w:line="2" w:lineRule="exact"/>
        <w:rPr>
          <w:color w:val="auto"/>
          <w:sz w:val="20"/>
          <w:szCs w:val="20"/>
          <w:highlight w:val="none"/>
        </w:rPr>
      </w:pPr>
    </w:p>
    <w:p>
      <w:pPr>
        <w:spacing w:after="0" w:line="261" w:lineRule="exact"/>
        <w:ind w:left="3580" w:right="446"/>
        <w:rPr>
          <w:color w:val="auto"/>
          <w:sz w:val="20"/>
          <w:szCs w:val="20"/>
          <w:highlight w:val="none"/>
        </w:rPr>
      </w:pPr>
      <w:r>
        <w:rPr>
          <w:rFonts w:ascii="宋体" w:hAnsi="宋体" w:eastAsia="宋体" w:cs="宋体"/>
          <w:color w:val="auto"/>
          <w:sz w:val="21"/>
          <w:szCs w:val="21"/>
          <w:highlight w:val="none"/>
        </w:rPr>
        <w:t>依法不予受理的，作出不予受理决定，出具不予受理通知书</w:t>
      </w: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59" w:lineRule="exact"/>
        <w:rPr>
          <w:color w:val="auto"/>
          <w:sz w:val="20"/>
          <w:szCs w:val="20"/>
          <w:highlight w:val="none"/>
        </w:rPr>
      </w:pPr>
    </w:p>
    <w:p>
      <w:pPr>
        <w:spacing w:after="0" w:line="240" w:lineRule="exact"/>
        <w:ind w:left="1160"/>
        <w:rPr>
          <w:color w:val="auto"/>
          <w:sz w:val="20"/>
          <w:szCs w:val="20"/>
          <w:highlight w:val="none"/>
        </w:rPr>
      </w:pPr>
      <w:r>
        <w:rPr>
          <w:rFonts w:ascii="Calibri" w:hAnsi="Calibri" w:eastAsia="宋体" w:cs="黑体"/>
          <w:color w:val="auto"/>
          <w:sz w:val="1"/>
          <w:szCs w:val="1"/>
          <w:highlight w:val="none"/>
          <w:lang w:val="en-US" w:eastAsia="zh-CN" w:bidi="ar-SA"/>
        </w:rPr>
        <w:pict>
          <v:shape id="Picture 3" o:spid="_x0000_s1029" type="#_x0000_t75" style="height:8pt;width:43.1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eastAsia="宋体" w:cs="宋体"/>
          <w:color w:val="auto"/>
          <w:sz w:val="21"/>
          <w:szCs w:val="21"/>
          <w:highlight w:val="none"/>
        </w:rPr>
        <w:t xml:space="preserve"> 依法应予受理，出具受理单</w:t>
      </w:r>
    </w:p>
    <w:p>
      <w:pPr>
        <w:spacing w:after="0" w:line="2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308" w:lineRule="exact"/>
        <w:rPr>
          <w:color w:val="auto"/>
          <w:sz w:val="20"/>
          <w:szCs w:val="20"/>
          <w:highlight w:val="none"/>
        </w:rPr>
      </w:pPr>
      <w:r>
        <w:rPr>
          <w:rFonts w:ascii="Calibri" w:hAnsi="Calibri" w:eastAsia="宋体" w:cs="黑体"/>
          <w:color w:val="auto"/>
          <w:sz w:val="20"/>
          <w:szCs w:val="20"/>
          <w:highlight w:val="none"/>
          <w:lang w:val="en-US" w:eastAsia="zh-CN" w:bidi="ar-SA"/>
        </w:rPr>
        <w:pict>
          <v:shape id="Picture 4" o:spid="_x0000_s1030" type="#_x0000_t75" style="position:absolute;left:0;margin-left:10.55pt;margin-top:9.15pt;height:140.7pt;width:397.65pt;rotation:0f;z-index:-251657216;" o:ole="f" fillcolor="#FFFFFF" filled="f" o:preferrelative="t" stroked="f" coordorigin="0,0" coordsize="21600,21600" o:allowincell="f">
            <v:fill on="f" color2="#FFFFFF" focus="0%"/>
            <v:imagedata gain="65536f" blacklevel="0f" gamma="0" o:title="" r:id="rId9"/>
            <o:lock v:ext="edit" position="f" selection="f" grouping="f" rotation="f" cropping="f" text="f" aspectratio="t"/>
          </v:shape>
        </w:pict>
      </w:r>
    </w:p>
    <w:p>
      <w:pPr>
        <w:spacing w:after="0" w:line="240" w:lineRule="exact"/>
        <w:ind w:left="3600"/>
        <w:rPr>
          <w:color w:val="auto"/>
          <w:sz w:val="20"/>
          <w:szCs w:val="20"/>
          <w:highlight w:val="none"/>
        </w:rPr>
      </w:pPr>
      <w:r>
        <w:rPr>
          <w:rFonts w:ascii="宋体" w:hAnsi="宋体" w:eastAsia="宋体" w:cs="宋体"/>
          <w:color w:val="auto"/>
          <w:sz w:val="21"/>
          <w:szCs w:val="21"/>
          <w:highlight w:val="none"/>
        </w:rPr>
        <w:t>审查报批</w:t>
      </w: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1" w:lineRule="exact"/>
        <w:rPr>
          <w:color w:val="auto"/>
          <w:sz w:val="20"/>
          <w:szCs w:val="20"/>
          <w:highlight w:val="none"/>
        </w:rPr>
      </w:pPr>
    </w:p>
    <w:p>
      <w:pPr>
        <w:spacing w:after="0" w:line="261" w:lineRule="exact"/>
        <w:ind w:left="660" w:right="1166"/>
        <w:rPr>
          <w:color w:val="auto"/>
          <w:sz w:val="20"/>
          <w:szCs w:val="20"/>
          <w:highlight w:val="none"/>
        </w:rPr>
      </w:pPr>
      <w:r>
        <w:rPr>
          <w:rFonts w:ascii="宋体" w:hAnsi="宋体" w:eastAsia="宋体" w:cs="宋体"/>
          <w:color w:val="auto"/>
          <w:sz w:val="21"/>
          <w:szCs w:val="21"/>
          <w:highlight w:val="none"/>
        </w:rPr>
        <w:t xml:space="preserve">予以许可，向申请人出具加盖签章的备 </w:t>
      </w:r>
      <w:r>
        <w:rPr>
          <w:rFonts w:hint="eastAsia" w:ascii="宋体" w:hAnsi="宋体" w:eastAsia="宋体" w:cs="宋体"/>
          <w:color w:val="auto"/>
          <w:sz w:val="21"/>
          <w:szCs w:val="21"/>
          <w:highlight w:val="none"/>
          <w:lang w:val="en-US" w:eastAsia="zh-CN"/>
        </w:rPr>
        <w:t xml:space="preserve">    </w:t>
      </w:r>
      <w:r>
        <w:rPr>
          <w:rFonts w:ascii="宋体" w:hAnsi="宋体" w:eastAsia="宋体" w:cs="宋体"/>
          <w:color w:val="auto"/>
          <w:sz w:val="21"/>
          <w:szCs w:val="21"/>
          <w:highlight w:val="none"/>
        </w:rPr>
        <w:t>依法作出不予许可决定，并送达案表</w:t>
      </w:r>
    </w:p>
    <w:p>
      <w:pPr>
        <w:rPr>
          <w:highlight w:val="none"/>
        </w:rPr>
        <w:sectPr>
          <w:pgSz w:w="11900" w:h="16838"/>
          <w:pgMar w:top="1440" w:right="1440" w:bottom="650" w:left="1440" w:header="0" w:footer="0" w:gutter="0"/>
          <w:cols w:space="720" w:num="1"/>
        </w:sect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46" w:lineRule="exact"/>
        <w:rPr>
          <w:color w:val="auto"/>
          <w:sz w:val="20"/>
          <w:szCs w:val="20"/>
          <w:highlight w:val="none"/>
        </w:rPr>
      </w:pPr>
    </w:p>
    <w:p>
      <w:pPr>
        <w:rPr>
          <w:highlight w:val="none"/>
        </w:rPr>
        <w:sectPr>
          <w:type w:val="continuous"/>
          <w:pgSz w:w="11900" w:h="16838"/>
          <w:pgMar w:top="1440" w:right="1440" w:bottom="650" w:left="1440" w:header="0" w:footer="0" w:gutter="0"/>
          <w:cols w:space="720" w:num="1"/>
        </w:sectPr>
      </w:pPr>
    </w:p>
    <w:p>
      <w:pPr>
        <w:spacing w:after="0" w:line="125" w:lineRule="exact"/>
        <w:rPr>
          <w:color w:val="auto"/>
          <w:sz w:val="20"/>
          <w:szCs w:val="20"/>
          <w:highlight w:val="none"/>
        </w:rPr>
      </w:pPr>
      <w:bookmarkStart w:id="7" w:name="page8"/>
      <w:bookmarkEnd w:id="7"/>
    </w:p>
    <w:p>
      <w:pPr>
        <w:spacing w:after="0" w:line="125" w:lineRule="exact"/>
        <w:rPr>
          <w:color w:val="auto"/>
          <w:sz w:val="20"/>
          <w:szCs w:val="20"/>
          <w:highlight w:val="none"/>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6"/>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125"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五、服务贸易项下外币现钞提取审批</w:t>
      </w:r>
    </w:p>
    <w:p>
      <w:pPr>
        <w:spacing w:after="0" w:line="282"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（一）办理依据</w:t>
      </w:r>
    </w:p>
    <w:p>
      <w:pPr>
        <w:spacing w:after="0" w:line="284"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1.《国家外汇管理局关于印发&lt;境内机构外币现钞收付管理</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办法&gt;的通知》（汇发[2015]47 号）；</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2.《国家外汇管理局关于印发服务贸易外汇管理法规的通</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知》（汇发[2013]30 号）。</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（二）受理机构</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申请人注册所在地国家外汇管理局分支局。</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（三）决定机构</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申请人注册所在地国家外汇管理局分支局。</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（四）审批数量</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无数量限制。</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（五）办事条件</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申请人为境内机构，有提取外币现钞交易的真实性和必要</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性。</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禁止性要求：申请材料不齐全，不符合法规规定。</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（六）申请材料</w:t>
      </w:r>
    </w:p>
    <w:p>
      <w:pPr>
        <w:spacing w:after="0" w:line="137" w:lineRule="exact"/>
        <w:rPr>
          <w:color w:val="auto"/>
          <w:sz w:val="20"/>
          <w:szCs w:val="20"/>
          <w:highlight w:val="none"/>
        </w:rPr>
      </w:pPr>
    </w:p>
    <w:p>
      <w:pPr>
        <w:spacing w:after="0" w:line="200" w:lineRule="exact"/>
        <w:rPr>
          <w:color w:val="auto"/>
          <w:sz w:val="20"/>
          <w:szCs w:val="20"/>
          <w:highlight w:val="none"/>
        </w:rPr>
      </w:pPr>
    </w:p>
    <w:tbl>
      <w:tblPr>
        <w:tblStyle w:val="6"/>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770"/>
        <w:gridCol w:w="1134"/>
        <w:gridCol w:w="992"/>
        <w:gridCol w:w="1134"/>
        <w:gridCol w:w="1669"/>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序号</w:t>
            </w:r>
          </w:p>
        </w:tc>
        <w:tc>
          <w:tcPr>
            <w:tcW w:w="2770"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提交材料名称</w:t>
            </w:r>
          </w:p>
        </w:tc>
        <w:tc>
          <w:tcPr>
            <w:tcW w:w="1134"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原件/</w:t>
            </w:r>
          </w:p>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复印件</w:t>
            </w:r>
          </w:p>
        </w:tc>
        <w:tc>
          <w:tcPr>
            <w:tcW w:w="992"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份数</w:t>
            </w:r>
          </w:p>
        </w:tc>
        <w:tc>
          <w:tcPr>
            <w:tcW w:w="1134"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纸质/</w:t>
            </w:r>
          </w:p>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电子</w:t>
            </w:r>
          </w:p>
        </w:tc>
        <w:tc>
          <w:tcPr>
            <w:tcW w:w="1669"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要求</w:t>
            </w:r>
          </w:p>
        </w:tc>
        <w:tc>
          <w:tcPr>
            <w:tcW w:w="457"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1</w:t>
            </w:r>
          </w:p>
        </w:tc>
        <w:tc>
          <w:tcPr>
            <w:tcW w:w="2770" w:type="dxa"/>
            <w:vAlign w:val="center"/>
          </w:tcPr>
          <w:p>
            <w:pPr>
              <w:jc w:val="left"/>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交易真实性、合法性和必要性的说明材料</w:t>
            </w:r>
          </w:p>
        </w:tc>
        <w:tc>
          <w:tcPr>
            <w:tcW w:w="1134"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原件和加盖企业公章的复印件</w:t>
            </w:r>
          </w:p>
        </w:tc>
        <w:tc>
          <w:tcPr>
            <w:tcW w:w="992"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各1份</w:t>
            </w:r>
          </w:p>
        </w:tc>
        <w:tc>
          <w:tcPr>
            <w:tcW w:w="1134"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纸质</w:t>
            </w:r>
            <w:r>
              <w:rPr>
                <w:rFonts w:hint="eastAsia" w:ascii="Times New Roman" w:hAnsi="Times New Roman" w:eastAsia="仿宋_GB2312" w:cs="Times New Roman"/>
                <w:sz w:val="24"/>
                <w:szCs w:val="24"/>
                <w:highlight w:val="none"/>
              </w:rPr>
              <w:t>/</w:t>
            </w:r>
          </w:p>
          <w:p>
            <w:pPr>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电子</w:t>
            </w:r>
          </w:p>
        </w:tc>
        <w:tc>
          <w:tcPr>
            <w:tcW w:w="1669"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如申请人需保留原件，原件验后退申请人</w:t>
            </w:r>
          </w:p>
        </w:tc>
        <w:tc>
          <w:tcPr>
            <w:tcW w:w="457" w:type="dxa"/>
            <w:vAlign w:val="top"/>
          </w:tcPr>
          <w:p>
            <w:pPr>
              <w:rPr>
                <w:rFonts w:ascii="Times New Roman" w:hAnsi="Times New Roman" w:eastAsia="仿宋_GB2312" w:cs="Times New Roman"/>
                <w:sz w:val="24"/>
                <w:szCs w:val="24"/>
                <w:highlight w:val="none"/>
              </w:rPr>
            </w:pPr>
          </w:p>
        </w:tc>
      </w:tr>
    </w:tbl>
    <w:p>
      <w:pPr>
        <w:rPr>
          <w:highlight w:val="none"/>
        </w:rPr>
        <w:sectPr>
          <w:pgSz w:w="11900" w:h="16838"/>
          <w:pgMar w:top="1440" w:right="1440" w:bottom="650" w:left="1440" w:header="0" w:footer="0" w:gutter="0"/>
          <w:cols w:space="720" w:num="1"/>
        </w:sectPr>
      </w:pPr>
    </w:p>
    <w:p>
      <w:pPr>
        <w:spacing w:after="0" w:line="155" w:lineRule="exact"/>
        <w:rPr>
          <w:color w:val="auto"/>
          <w:sz w:val="20"/>
          <w:szCs w:val="20"/>
          <w:highlight w:val="none"/>
        </w:rPr>
      </w:pPr>
    </w:p>
    <w:p>
      <w:pPr>
        <w:rPr>
          <w:highlight w:val="none"/>
        </w:rPr>
        <w:sectPr>
          <w:type w:val="continuous"/>
          <w:pgSz w:w="11900" w:h="16838"/>
          <w:pgMar w:top="1440" w:right="1440" w:bottom="650" w:left="1440" w:header="0" w:footer="0" w:gutter="0"/>
          <w:cols w:space="720" w:num="1"/>
        </w:sectPr>
      </w:pPr>
    </w:p>
    <w:p>
      <w:pPr>
        <w:spacing w:after="0" w:line="127" w:lineRule="exact"/>
        <w:rPr>
          <w:color w:val="auto"/>
          <w:sz w:val="20"/>
          <w:szCs w:val="20"/>
          <w:highlight w:val="none"/>
        </w:rPr>
      </w:pPr>
      <w:bookmarkStart w:id="8" w:name="page9"/>
      <w:bookmarkEnd w:id="8"/>
    </w:p>
    <w:p>
      <w:pPr>
        <w:spacing w:after="0" w:line="343" w:lineRule="exact"/>
        <w:ind w:left="960"/>
        <w:rPr>
          <w:rFonts w:ascii="仿宋" w:hAnsi="仿宋" w:eastAsia="仿宋" w:cs="仿宋"/>
          <w:color w:val="auto"/>
          <w:sz w:val="30"/>
          <w:szCs w:val="30"/>
          <w:highlight w:val="none"/>
        </w:rPr>
      </w:pPr>
      <w:r>
        <w:rPr>
          <w:rFonts w:ascii="黑体" w:hAnsi="黑体" w:eastAsia="黑体" w:cs="黑体"/>
          <w:color w:val="auto"/>
          <w:w w:val="99"/>
          <w:sz w:val="30"/>
          <w:szCs w:val="30"/>
          <w:highlight w:val="none"/>
        </w:rPr>
        <w:t>（七）申请接受</w:t>
      </w: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申请人可通过窗口、邮寄等方式提交材料。</w:t>
      </w:r>
    </w:p>
    <w:p>
      <w:pPr>
        <w:spacing w:after="0" w:line="272" w:lineRule="exact"/>
        <w:rPr>
          <w:color w:val="auto"/>
          <w:sz w:val="20"/>
          <w:szCs w:val="20"/>
          <w:highlight w:val="none"/>
        </w:rPr>
      </w:pPr>
    </w:p>
    <w:p>
      <w:pPr>
        <w:spacing w:after="0" w:line="365" w:lineRule="exact"/>
        <w:ind w:left="960"/>
        <w:rPr>
          <w:color w:val="auto"/>
          <w:sz w:val="20"/>
          <w:szCs w:val="20"/>
          <w:highlight w:val="none"/>
        </w:rPr>
      </w:pPr>
      <w:r>
        <w:rPr>
          <w:rFonts w:ascii="仿宋" w:hAnsi="仿宋" w:eastAsia="仿宋" w:cs="仿宋"/>
          <w:color w:val="auto"/>
          <w:sz w:val="30"/>
          <w:szCs w:val="30"/>
          <w:highlight w:val="none"/>
        </w:rPr>
        <w:t>国家外汇管理局江西省分局接受申请方式为:</w:t>
      </w:r>
      <w:r>
        <w:rPr>
          <w:rFonts w:ascii="Times New Roman" w:hAnsi="Times New Roman" w:eastAsia="Times New Roman" w:cs="Times New Roman"/>
          <w:color w:val="auto"/>
          <w:sz w:val="30"/>
          <w:szCs w:val="30"/>
          <w:highlight w:val="none"/>
        </w:rPr>
        <w:t>“</w:t>
      </w:r>
      <w:r>
        <w:rPr>
          <w:rFonts w:ascii="仿宋" w:hAnsi="仿宋" w:eastAsia="仿宋" w:cs="仿宋"/>
          <w:color w:val="auto"/>
          <w:sz w:val="30"/>
          <w:szCs w:val="30"/>
          <w:highlight w:val="none"/>
        </w:rPr>
        <w:t>国家外汇管</w:t>
      </w:r>
    </w:p>
    <w:p>
      <w:pPr>
        <w:spacing w:after="0" w:line="259" w:lineRule="exact"/>
        <w:rPr>
          <w:color w:val="auto"/>
          <w:sz w:val="20"/>
          <w:szCs w:val="20"/>
          <w:highlight w:val="none"/>
        </w:rPr>
      </w:pPr>
    </w:p>
    <w:p>
      <w:pPr>
        <w:spacing w:after="0" w:line="353" w:lineRule="exact"/>
        <w:ind w:left="360"/>
        <w:rPr>
          <w:color w:val="auto"/>
          <w:sz w:val="20"/>
          <w:szCs w:val="20"/>
          <w:highlight w:val="none"/>
        </w:rPr>
      </w:pPr>
      <w:r>
        <w:rPr>
          <w:rFonts w:ascii="仿宋" w:hAnsi="仿宋" w:eastAsia="仿宋" w:cs="仿宋"/>
          <w:color w:val="auto"/>
          <w:sz w:val="29"/>
          <w:szCs w:val="29"/>
          <w:highlight w:val="none"/>
        </w:rPr>
        <w:t>理局江西省分局经常项目管理处</w:t>
      </w:r>
      <w:r>
        <w:rPr>
          <w:rFonts w:ascii="Times New Roman" w:hAnsi="Times New Roman" w:eastAsia="Times New Roman" w:cs="Times New Roman"/>
          <w:color w:val="auto"/>
          <w:sz w:val="29"/>
          <w:szCs w:val="29"/>
          <w:highlight w:val="none"/>
        </w:rPr>
        <w:t>”</w:t>
      </w:r>
      <w:r>
        <w:rPr>
          <w:rFonts w:ascii="仿宋" w:hAnsi="仿宋" w:eastAsia="仿宋" w:cs="仿宋"/>
          <w:color w:val="auto"/>
          <w:sz w:val="29"/>
          <w:szCs w:val="29"/>
          <w:highlight w:val="none"/>
        </w:rPr>
        <w:t>，联系电话（0791）86617694。</w:t>
      </w:r>
    </w:p>
    <w:p>
      <w:pPr>
        <w:spacing w:after="0" w:line="281"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地址：江西省南昌市东湖区铁街 25 号，邮政编码 330008。</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（八）基本办理流程</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1.申请人提交申请；</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2.决定是否予以受理；</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3.不予受理的，出具不予受理通知书。受理的，出具受理</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通知书，审核作出批准或者不予批准的决定。</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4.对于符合规定条件予以批准的，向申请人出具批准文</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件；不予批准的，做出不予批准的行政许可书面决定并说明理</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由。</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5.材料不全或不符合法定形式的，一次性告知补正材料，</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并出具《行政许可补正通知书》。</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（九）办理方式</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一般程序：申请、受理、审查、决定、出具批准文件或不</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予批准的行政许可书面决定。</w:t>
      </w:r>
    </w:p>
    <w:p>
      <w:pPr>
        <w:spacing w:after="0" w:line="282"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当场决定：申请人使用外币现钞的时间较为紧急且申请材料</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完整符合法规要求，分支局经过规定的内部审批程序，可当场出</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具批准文件。当场出具批准文件的，可不出具受理通知书。</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（十）审批时限</w:t>
      </w:r>
    </w:p>
    <w:p>
      <w:pPr>
        <w:spacing w:after="0" w:line="284"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20 个工作日。</w:t>
      </w:r>
    </w:p>
    <w:p>
      <w:pPr>
        <w:rPr>
          <w:highlight w:val="none"/>
        </w:rPr>
        <w:sectPr>
          <w:pgSz w:w="11900" w:h="16838"/>
          <w:pgMar w:top="1440" w:right="1440" w:bottom="650" w:left="1440" w:header="0" w:footer="0" w:gutter="0"/>
          <w:cols w:space="720" w:num="1"/>
        </w:sectPr>
      </w:pPr>
    </w:p>
    <w:p>
      <w:pPr>
        <w:spacing w:after="0" w:line="391" w:lineRule="exact"/>
        <w:rPr>
          <w:color w:val="auto"/>
          <w:sz w:val="20"/>
          <w:szCs w:val="20"/>
          <w:highlight w:val="none"/>
        </w:rPr>
      </w:pPr>
    </w:p>
    <w:p>
      <w:pPr>
        <w:rPr>
          <w:highlight w:val="none"/>
        </w:rPr>
        <w:sectPr>
          <w:type w:val="continuous"/>
          <w:pgSz w:w="11900" w:h="16838"/>
          <w:pgMar w:top="1440" w:right="1440" w:bottom="650" w:left="1440" w:header="0" w:footer="0" w:gutter="0"/>
          <w:cols w:space="720" w:num="1"/>
        </w:sectPr>
      </w:pPr>
    </w:p>
    <w:p>
      <w:pPr>
        <w:spacing w:after="0" w:line="125" w:lineRule="exact"/>
        <w:rPr>
          <w:color w:val="auto"/>
          <w:sz w:val="20"/>
          <w:szCs w:val="20"/>
          <w:highlight w:val="none"/>
        </w:rPr>
      </w:pPr>
      <w:bookmarkStart w:id="9" w:name="page10"/>
      <w:bookmarkEnd w:id="9"/>
    </w:p>
    <w:p>
      <w:pPr>
        <w:spacing w:after="0" w:line="343" w:lineRule="exact"/>
        <w:ind w:left="940"/>
        <w:rPr>
          <w:color w:val="auto"/>
          <w:sz w:val="20"/>
          <w:szCs w:val="20"/>
          <w:highlight w:val="none"/>
        </w:rPr>
      </w:pPr>
      <w:r>
        <w:rPr>
          <w:rFonts w:ascii="黑体" w:hAnsi="黑体" w:eastAsia="黑体" w:cs="黑体"/>
          <w:color w:val="auto"/>
          <w:sz w:val="30"/>
          <w:szCs w:val="30"/>
          <w:highlight w:val="none"/>
        </w:rPr>
        <w:t>（十一）审批收费依据及标准</w:t>
      </w:r>
    </w:p>
    <w:p>
      <w:pPr>
        <w:spacing w:after="0" w:line="284"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不收费。</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（十二）审批结果</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批准文件。</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（十三）结果送达</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通过现场告知或电话通知申请人，并通过现场领取或邮寄</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方式将结果送达。</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（十四）申请人权利和义务</w:t>
      </w:r>
    </w:p>
    <w:p>
      <w:pPr>
        <w:spacing w:after="0" w:line="295" w:lineRule="exact"/>
        <w:rPr>
          <w:color w:val="auto"/>
          <w:sz w:val="20"/>
          <w:szCs w:val="20"/>
          <w:highlight w:val="none"/>
        </w:rPr>
      </w:pPr>
    </w:p>
    <w:p>
      <w:pPr>
        <w:spacing w:after="0" w:line="331" w:lineRule="exact"/>
        <w:ind w:left="960"/>
        <w:rPr>
          <w:color w:val="auto"/>
          <w:sz w:val="20"/>
          <w:szCs w:val="20"/>
          <w:highlight w:val="none"/>
        </w:rPr>
      </w:pPr>
      <w:r>
        <w:rPr>
          <w:rFonts w:ascii="仿宋" w:hAnsi="仿宋" w:eastAsia="仿宋" w:cs="仿宋"/>
          <w:color w:val="auto"/>
          <w:sz w:val="29"/>
          <w:szCs w:val="29"/>
          <w:highlight w:val="none"/>
        </w:rPr>
        <w:t>申请人有权依法提出行政审批申请，依法进行投诉、举报、</w:t>
      </w:r>
    </w:p>
    <w:p>
      <w:pPr>
        <w:spacing w:after="0" w:line="293" w:lineRule="exact"/>
        <w:rPr>
          <w:color w:val="auto"/>
          <w:sz w:val="20"/>
          <w:szCs w:val="20"/>
          <w:highlight w:val="none"/>
        </w:rPr>
      </w:pPr>
    </w:p>
    <w:p>
      <w:pPr>
        <w:spacing w:after="0" w:line="331" w:lineRule="exact"/>
        <w:ind w:left="360"/>
        <w:rPr>
          <w:color w:val="auto"/>
          <w:sz w:val="20"/>
          <w:szCs w:val="20"/>
          <w:highlight w:val="none"/>
        </w:rPr>
      </w:pPr>
      <w:r>
        <w:rPr>
          <w:rFonts w:ascii="仿宋" w:hAnsi="仿宋" w:eastAsia="仿宋" w:cs="仿宋"/>
          <w:color w:val="auto"/>
          <w:sz w:val="29"/>
          <w:szCs w:val="29"/>
          <w:highlight w:val="none"/>
        </w:rPr>
        <w:t>复议、诉讼等。申请人有义务保证申请材料完整、真实、准确，</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获批后合法合规办理相关业务。</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（十五）咨询途径、监督和投诉、公开查询等由所在地分</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黑体" w:hAnsi="黑体" w:eastAsia="黑体" w:cs="黑体"/>
          <w:color w:val="auto"/>
          <w:sz w:val="30"/>
          <w:szCs w:val="30"/>
          <w:highlight w:val="none"/>
        </w:rPr>
        <w:t>局办理</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向国家外汇管理局江西省分局进行咨询、办理进程查询、</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监督和投诉等可通过外汇局江西省分局官方网站的相应栏目</w:t>
      </w:r>
    </w:p>
    <w:p>
      <w:pPr>
        <w:spacing w:after="0" w:line="272" w:lineRule="exact"/>
        <w:rPr>
          <w:color w:val="auto"/>
          <w:sz w:val="20"/>
          <w:szCs w:val="20"/>
          <w:highlight w:val="none"/>
        </w:rPr>
      </w:pPr>
    </w:p>
    <w:p>
      <w:pPr>
        <w:spacing w:after="0" w:line="365" w:lineRule="exact"/>
        <w:ind w:left="360"/>
        <w:rPr>
          <w:color w:val="auto"/>
          <w:sz w:val="20"/>
          <w:szCs w:val="20"/>
          <w:highlight w:val="none"/>
        </w:rPr>
      </w:pPr>
      <w:r>
        <w:rPr>
          <w:rFonts w:ascii="仿宋" w:hAnsi="仿宋" w:eastAsia="仿宋" w:cs="仿宋"/>
          <w:color w:val="auto"/>
          <w:sz w:val="30"/>
          <w:szCs w:val="30"/>
          <w:highlight w:val="none"/>
        </w:rPr>
        <w:t>进行。网址可通过</w:t>
      </w:r>
      <w:r>
        <w:rPr>
          <w:rFonts w:ascii="Times New Roman" w:hAnsi="Times New Roman" w:eastAsia="Times New Roman" w:cs="Times New Roman"/>
          <w:color w:val="auto"/>
          <w:sz w:val="30"/>
          <w:szCs w:val="30"/>
          <w:highlight w:val="none"/>
        </w:rPr>
        <w:t xml:space="preserve"> www.safe.gov.cn </w:t>
      </w:r>
      <w:r>
        <w:rPr>
          <w:rFonts w:ascii="仿宋" w:hAnsi="仿宋" w:eastAsia="仿宋" w:cs="仿宋"/>
          <w:color w:val="auto"/>
          <w:sz w:val="30"/>
          <w:szCs w:val="30"/>
          <w:highlight w:val="none"/>
        </w:rPr>
        <w:t>进行链接，也可通过外汇</w:t>
      </w:r>
    </w:p>
    <w:p>
      <w:pPr>
        <w:spacing w:after="0" w:line="269"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局官方互联网站上公布的电话进行。</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（十六）事项审查类型</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前审后批。</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（十七）办公地址和时间</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国家外汇管理局江西省分局办公地址:江西省南昌市东湖</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区铁街 25 号，邮政编码 330008。</w:t>
      </w:r>
    </w:p>
    <w:p>
      <w:pPr>
        <w:rPr>
          <w:highlight w:val="none"/>
        </w:rPr>
        <w:sectPr>
          <w:pgSz w:w="11900" w:h="16838"/>
          <w:pgMar w:top="1440" w:right="1440" w:bottom="662" w:left="1440" w:header="0" w:footer="0" w:gutter="0"/>
          <w:cols w:space="720" w:num="1"/>
        </w:sectPr>
      </w:pPr>
    </w:p>
    <w:p>
      <w:pPr>
        <w:spacing w:after="0" w:line="391" w:lineRule="exact"/>
        <w:rPr>
          <w:color w:val="auto"/>
          <w:sz w:val="20"/>
          <w:szCs w:val="20"/>
          <w:highlight w:val="none"/>
        </w:rPr>
      </w:pPr>
    </w:p>
    <w:p>
      <w:pPr>
        <w:rPr>
          <w:highlight w:val="none"/>
        </w:rPr>
        <w:sectPr>
          <w:type w:val="continuous"/>
          <w:pgSz w:w="11900" w:h="16838"/>
          <w:pgMar w:top="1440" w:right="1440" w:bottom="662" w:left="1440" w:header="0" w:footer="0" w:gutter="0"/>
          <w:cols w:space="720" w:num="1"/>
        </w:sectPr>
      </w:pPr>
    </w:p>
    <w:p>
      <w:pPr>
        <w:spacing w:after="0" w:line="127" w:lineRule="exact"/>
        <w:rPr>
          <w:color w:val="auto"/>
          <w:sz w:val="20"/>
          <w:szCs w:val="20"/>
          <w:highlight w:val="none"/>
        </w:rPr>
      </w:pPr>
      <w:bookmarkStart w:id="10" w:name="page11"/>
      <w:bookmarkEnd w:id="10"/>
    </w:p>
    <w:p>
      <w:pPr>
        <w:spacing w:after="0" w:line="343" w:lineRule="exact"/>
        <w:ind w:left="960"/>
        <w:rPr>
          <w:color w:val="auto"/>
          <w:sz w:val="20"/>
          <w:szCs w:val="20"/>
          <w:highlight w:val="none"/>
        </w:rPr>
      </w:pPr>
      <w:r>
        <w:rPr>
          <w:rFonts w:ascii="仿宋" w:hAnsi="仿宋" w:eastAsia="仿宋" w:cs="仿宋"/>
          <w:color w:val="auto"/>
          <w:sz w:val="30"/>
          <w:szCs w:val="30"/>
          <w:highlight w:val="none"/>
        </w:rPr>
        <w:t>办公时间：上午:8：30--12:00</w:t>
      </w:r>
    </w:p>
    <w:p>
      <w:pPr>
        <w:spacing w:after="0" w:line="282" w:lineRule="exact"/>
        <w:rPr>
          <w:color w:val="auto"/>
          <w:sz w:val="20"/>
          <w:szCs w:val="20"/>
          <w:highlight w:val="none"/>
        </w:rPr>
      </w:pPr>
    </w:p>
    <w:p>
      <w:pPr>
        <w:spacing w:after="0" w:line="343" w:lineRule="exact"/>
        <w:ind w:left="2300"/>
        <w:rPr>
          <w:color w:val="auto"/>
          <w:sz w:val="20"/>
          <w:szCs w:val="20"/>
          <w:highlight w:val="none"/>
        </w:rPr>
      </w:pPr>
      <w:r>
        <w:rPr>
          <w:rFonts w:ascii="仿宋" w:hAnsi="仿宋" w:eastAsia="仿宋" w:cs="仿宋"/>
          <w:color w:val="auto"/>
          <w:sz w:val="30"/>
          <w:szCs w:val="30"/>
          <w:highlight w:val="none"/>
        </w:rPr>
        <w:t>下午： 2:00--5:30 （冬季作息时间为</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2:00--5:00）</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w:t>
      </w:r>
      <w:r>
        <w:rPr>
          <w:rFonts w:hint="eastAsia" w:ascii="黑体" w:hAnsi="黑体" w:eastAsia="黑体" w:cs="黑体"/>
          <w:color w:val="auto"/>
          <w:sz w:val="30"/>
          <w:szCs w:val="30"/>
          <w:highlight w:val="none"/>
          <w:lang w:eastAsia="zh-CN"/>
        </w:rPr>
        <w:t>八</w:t>
      </w:r>
      <w:r>
        <w:rPr>
          <w:rFonts w:ascii="黑体" w:hAnsi="黑体" w:eastAsia="黑体" w:cs="黑体"/>
          <w:color w:val="auto"/>
          <w:sz w:val="30"/>
          <w:szCs w:val="30"/>
          <w:highlight w:val="none"/>
        </w:rPr>
        <w:t>）常见问题解答</w:t>
      </w:r>
    </w:p>
    <w:p>
      <w:pPr>
        <w:spacing w:after="0" w:line="284" w:lineRule="exact"/>
        <w:rPr>
          <w:color w:val="auto"/>
          <w:sz w:val="20"/>
          <w:szCs w:val="20"/>
          <w:highlight w:val="none"/>
        </w:rPr>
      </w:pPr>
    </w:p>
    <w:p>
      <w:pPr>
        <w:spacing w:after="0" w:line="343" w:lineRule="exact"/>
        <w:ind w:left="1100"/>
        <w:rPr>
          <w:color w:val="auto"/>
          <w:sz w:val="20"/>
          <w:szCs w:val="20"/>
          <w:highlight w:val="none"/>
        </w:rPr>
      </w:pPr>
      <w:r>
        <w:rPr>
          <w:rFonts w:ascii="仿宋" w:hAnsi="仿宋" w:eastAsia="仿宋" w:cs="仿宋"/>
          <w:color w:val="auto"/>
          <w:sz w:val="30"/>
          <w:szCs w:val="30"/>
          <w:highlight w:val="none"/>
        </w:rPr>
        <w:t>1．受理后几个工作日能办结？</w:t>
      </w:r>
    </w:p>
    <w:p>
      <w:pPr>
        <w:spacing w:after="0" w:line="293" w:lineRule="exact"/>
        <w:rPr>
          <w:color w:val="auto"/>
          <w:sz w:val="20"/>
          <w:szCs w:val="20"/>
          <w:highlight w:val="none"/>
        </w:rPr>
      </w:pPr>
    </w:p>
    <w:p>
      <w:pPr>
        <w:spacing w:after="0" w:line="331" w:lineRule="exact"/>
        <w:ind w:left="1260"/>
        <w:rPr>
          <w:rFonts w:ascii="仿宋" w:hAnsi="仿宋" w:eastAsia="仿宋" w:cs="仿宋"/>
          <w:color w:val="auto"/>
          <w:sz w:val="29"/>
          <w:szCs w:val="29"/>
          <w:highlight w:val="none"/>
        </w:rPr>
      </w:pPr>
      <w:r>
        <w:rPr>
          <w:rFonts w:ascii="仿宋" w:hAnsi="仿宋" w:eastAsia="仿宋" w:cs="仿宋"/>
          <w:color w:val="auto"/>
          <w:sz w:val="29"/>
          <w:szCs w:val="29"/>
          <w:highlight w:val="none"/>
        </w:rPr>
        <w:t>按照法规要求，正式受理后，20 个工作日内可以批复。</w:t>
      </w:r>
    </w:p>
    <w:p>
      <w:pPr>
        <w:spacing w:after="0" w:line="331" w:lineRule="exact"/>
        <w:ind w:left="1260"/>
        <w:rPr>
          <w:rFonts w:ascii="仿宋" w:hAnsi="仿宋" w:eastAsia="仿宋" w:cs="仿宋"/>
          <w:color w:val="auto"/>
          <w:sz w:val="29"/>
          <w:szCs w:val="29"/>
          <w:highlight w:val="none"/>
        </w:rPr>
      </w:pPr>
    </w:p>
    <w:p>
      <w:pPr>
        <w:spacing w:after="0" w:line="331" w:lineRule="exact"/>
        <w:ind w:left="1260"/>
        <w:rPr>
          <w:rFonts w:ascii="仿宋" w:hAnsi="仿宋" w:eastAsia="仿宋" w:cs="仿宋"/>
          <w:color w:val="auto"/>
          <w:sz w:val="29"/>
          <w:szCs w:val="29"/>
          <w:highlight w:val="none"/>
        </w:rPr>
        <w:sectPr>
          <w:pgSz w:w="11900" w:h="16838"/>
          <w:pgMar w:top="1440" w:right="1440" w:bottom="662" w:left="1440" w:header="0" w:footer="0" w:gutter="0"/>
          <w:cols w:space="720" w:num="1"/>
        </w:sectPr>
      </w:pPr>
    </w:p>
    <w:p>
      <w:pPr>
        <w:spacing w:after="0" w:line="343" w:lineRule="exact"/>
        <w:ind w:firstLine="900" w:firstLineChars="300"/>
        <w:rPr>
          <w:color w:val="auto"/>
          <w:sz w:val="20"/>
          <w:szCs w:val="20"/>
          <w:highlight w:val="none"/>
        </w:rPr>
      </w:pPr>
      <w:r>
        <w:rPr>
          <w:rFonts w:ascii="黑体" w:hAnsi="黑体" w:eastAsia="黑体" w:cs="黑体"/>
          <w:color w:val="auto"/>
          <w:sz w:val="30"/>
          <w:szCs w:val="30"/>
          <w:highlight w:val="none"/>
        </w:rPr>
        <w:t>（</w:t>
      </w:r>
      <w:r>
        <w:rPr>
          <w:rFonts w:hint="eastAsia" w:ascii="黑体" w:hAnsi="黑体" w:eastAsia="黑体" w:cs="黑体"/>
          <w:color w:val="auto"/>
          <w:sz w:val="30"/>
          <w:szCs w:val="30"/>
          <w:highlight w:val="none"/>
          <w:lang w:eastAsia="zh-CN"/>
        </w:rPr>
        <w:t>十九</w:t>
      </w:r>
      <w:r>
        <w:rPr>
          <w:rFonts w:ascii="黑体" w:hAnsi="黑体" w:eastAsia="黑体" w:cs="黑体"/>
          <w:color w:val="auto"/>
          <w:sz w:val="30"/>
          <w:szCs w:val="30"/>
          <w:highlight w:val="none"/>
        </w:rPr>
        <w:t>）常见错误示例</w:t>
      </w:r>
    </w:p>
    <w:p>
      <w:pPr>
        <w:spacing w:after="0" w:line="295" w:lineRule="exact"/>
        <w:rPr>
          <w:color w:val="auto"/>
          <w:sz w:val="20"/>
          <w:szCs w:val="20"/>
          <w:highlight w:val="none"/>
        </w:rPr>
      </w:pPr>
    </w:p>
    <w:p>
      <w:pPr>
        <w:ind w:firstLine="1160" w:firstLineChars="400"/>
        <w:rPr>
          <w:highlight w:val="none"/>
        </w:rPr>
        <w:sectPr>
          <w:type w:val="continuous"/>
          <w:pgSz w:w="11900" w:h="16838"/>
          <w:pgMar w:top="1440" w:right="1440" w:bottom="662" w:left="1440" w:header="0" w:footer="0" w:gutter="0"/>
          <w:cols w:space="720" w:num="1"/>
        </w:sectPr>
      </w:pPr>
      <w:r>
        <w:rPr>
          <w:rFonts w:ascii="仿宋" w:hAnsi="仿宋" w:eastAsia="仿宋" w:cs="仿宋"/>
          <w:color w:val="auto"/>
          <w:sz w:val="29"/>
          <w:szCs w:val="29"/>
          <w:highlight w:val="none"/>
        </w:rPr>
        <w:t>汇路通畅，但申请提取外币现钞。</w:t>
      </w:r>
      <w:bookmarkStart w:id="11" w:name="page12"/>
      <w:bookmarkEnd w:id="11"/>
    </w:p>
    <w:p>
      <w:pPr>
        <w:spacing w:after="0" w:line="200" w:lineRule="exact"/>
        <w:rPr>
          <w:color w:val="auto"/>
          <w:sz w:val="20"/>
          <w:szCs w:val="20"/>
          <w:highlight w:val="none"/>
        </w:rPr>
      </w:pPr>
      <w:bookmarkStart w:id="12" w:name="page13"/>
      <w:bookmarkEnd w:id="12"/>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359" w:lineRule="exact"/>
        <w:rPr>
          <w:color w:val="auto"/>
          <w:sz w:val="20"/>
          <w:szCs w:val="20"/>
          <w:highlight w:val="none"/>
        </w:rPr>
      </w:pPr>
    </w:p>
    <w:p>
      <w:pPr>
        <w:rPr>
          <w:highlight w:val="none"/>
        </w:rPr>
        <w:sectPr>
          <w:type w:val="continuous"/>
          <w:pgSz w:w="11900" w:h="16838"/>
          <w:pgMar w:top="1440" w:right="1440" w:bottom="662" w:left="1440" w:header="0" w:footer="0" w:gutter="0"/>
          <w:cols w:space="720" w:num="1"/>
        </w:sectPr>
      </w:pPr>
      <w:r>
        <w:rPr>
          <w:rFonts w:ascii="Calibri" w:hAnsi="Calibri" w:eastAsia="宋体" w:cs="黑体"/>
          <w:sz w:val="22"/>
          <w:szCs w:val="22"/>
          <w:highlight w:val="none"/>
          <w:lang w:val="en-US" w:eastAsia="zh-CN" w:bidi="ar-SA"/>
        </w:rPr>
        <w:pict>
          <v:shape id="图片 2" o:spid="_x0000_s1031" type="#_x0000_t75" style="height:539.95pt;width:441.5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pacing w:after="0" w:line="127" w:lineRule="exact"/>
        <w:rPr>
          <w:color w:val="auto"/>
          <w:sz w:val="20"/>
          <w:szCs w:val="20"/>
          <w:highlight w:val="none"/>
        </w:rPr>
      </w:pPr>
      <w:bookmarkStart w:id="13" w:name="page14"/>
      <w:bookmarkEnd w:id="13"/>
    </w:p>
    <w:p>
      <w:pPr>
        <w:spacing w:after="0" w:line="343" w:lineRule="exact"/>
        <w:ind w:left="940"/>
        <w:rPr>
          <w:color w:val="auto"/>
          <w:sz w:val="20"/>
          <w:szCs w:val="20"/>
          <w:highlight w:val="none"/>
        </w:rPr>
      </w:pPr>
      <w:r>
        <w:rPr>
          <w:rFonts w:ascii="黑体" w:hAnsi="黑体" w:eastAsia="黑体" w:cs="黑体"/>
          <w:color w:val="auto"/>
          <w:sz w:val="30"/>
          <w:szCs w:val="30"/>
          <w:highlight w:val="none"/>
        </w:rPr>
        <w:t>六、个人提取外币现钞（单笔或当日提取超过累计等值</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黑体" w:hAnsi="黑体" w:eastAsia="黑体" w:cs="黑体"/>
          <w:color w:val="auto"/>
          <w:sz w:val="30"/>
          <w:szCs w:val="30"/>
          <w:highlight w:val="none"/>
        </w:rPr>
        <w:t>10000 美元现钞）</w:t>
      </w:r>
    </w:p>
    <w:p>
      <w:pPr>
        <w:spacing w:after="0" w:line="282"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（一）办理依据</w:t>
      </w:r>
    </w:p>
    <w:p>
      <w:pPr>
        <w:rPr>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w:t>
      </w:r>
      <w:r>
        <w:rPr>
          <w:rFonts w:ascii="仿宋" w:hAnsi="仿宋" w:eastAsia="仿宋" w:cs="仿宋"/>
          <w:color w:val="auto"/>
          <w:sz w:val="30"/>
          <w:szCs w:val="30"/>
          <w:highlight w:val="none"/>
        </w:rPr>
        <w:t>《个人外汇管理办法（》中国人民银行令2006年第3号）；</w:t>
      </w:r>
    </w:p>
    <w:p>
      <w:pPr>
        <w:spacing w:after="0" w:line="282" w:lineRule="exact"/>
        <w:rPr>
          <w:color w:val="auto"/>
          <w:sz w:val="20"/>
          <w:szCs w:val="20"/>
          <w:highlight w:val="none"/>
        </w:rPr>
      </w:pPr>
    </w:p>
    <w:p>
      <w:pPr>
        <w:numPr>
          <w:ilvl w:val="0"/>
          <w:numId w:val="2"/>
        </w:numPr>
        <w:spacing w:after="0" w:line="343" w:lineRule="exact"/>
        <w:ind w:left="960"/>
        <w:rPr>
          <w:rFonts w:ascii="仿宋" w:hAnsi="仿宋" w:eastAsia="仿宋" w:cs="仿宋"/>
          <w:color w:val="auto"/>
          <w:sz w:val="30"/>
          <w:szCs w:val="30"/>
          <w:highlight w:val="none"/>
        </w:rPr>
      </w:pPr>
      <w:r>
        <w:rPr>
          <w:rFonts w:ascii="仿宋" w:hAnsi="仿宋" w:eastAsia="仿宋" w:cs="仿宋"/>
          <w:color w:val="auto"/>
          <w:sz w:val="30"/>
          <w:szCs w:val="30"/>
          <w:highlight w:val="none"/>
        </w:rPr>
        <w:t>《个人外汇管理办法实施细则》（汇发[2007]1 号）</w:t>
      </w:r>
      <w:r>
        <w:rPr>
          <w:rFonts w:hint="eastAsia" w:ascii="仿宋" w:hAnsi="仿宋" w:eastAsia="仿宋" w:cs="仿宋"/>
          <w:color w:val="auto"/>
          <w:sz w:val="30"/>
          <w:szCs w:val="30"/>
          <w:highlight w:val="none"/>
          <w:lang w:eastAsia="zh-CN"/>
        </w:rPr>
        <w:t>；</w:t>
      </w:r>
    </w:p>
    <w:p>
      <w:pPr>
        <w:numPr>
          <w:numId w:val="0"/>
        </w:numPr>
        <w:spacing w:after="0" w:line="343" w:lineRule="exact"/>
        <w:rPr>
          <w:rFonts w:ascii="仿宋" w:hAnsi="仿宋" w:eastAsia="仿宋" w:cs="仿宋"/>
          <w:color w:val="auto"/>
          <w:sz w:val="30"/>
          <w:szCs w:val="30"/>
          <w:highlight w:val="none"/>
        </w:rPr>
      </w:pPr>
    </w:p>
    <w:p>
      <w:pPr>
        <w:numPr>
          <w:numId w:val="0"/>
        </w:numPr>
        <w:spacing w:after="0" w:line="343"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3.《国家外汇管理局关于印发〈经常项目外汇业务指引（2020年版）〉的通知》（汇发〔2020〕14号）</w:t>
      </w:r>
      <w:r>
        <w:rPr>
          <w:rFonts w:hint="eastAsia" w:ascii="仿宋" w:hAnsi="仿宋" w:eastAsia="仿宋" w:cs="仿宋"/>
          <w:color w:val="auto"/>
          <w:sz w:val="30"/>
          <w:szCs w:val="30"/>
          <w:highlight w:val="none"/>
          <w:lang w:eastAsia="zh-CN"/>
        </w:rPr>
        <w:t>。</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（二）受理机构</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申请人存款银行所在地国家外汇管理局分支局。</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（三）决定机构</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申请人存款银行所在地国家外汇管理局分支局。</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（四）审批数量</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无数量限制。</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（五）办事条件</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申请人为出境赴战乱、外汇管制严格、金融条件差或金融</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动乱的国家（或地区）的个人。</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禁止性要求：申请材料不齐全，不符合法规规定。</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（六）申请材料</w:t>
      </w:r>
    </w:p>
    <w:p>
      <w:pPr>
        <w:spacing w:after="0" w:line="137" w:lineRule="exact"/>
        <w:rPr>
          <w:color w:val="auto"/>
          <w:sz w:val="20"/>
          <w:szCs w:val="20"/>
          <w:highlight w:val="none"/>
        </w:rPr>
      </w:pPr>
    </w:p>
    <w:p>
      <w:pPr>
        <w:spacing w:after="0" w:line="343" w:lineRule="exact"/>
        <w:ind w:left="960"/>
        <w:rPr>
          <w:rFonts w:ascii="仿宋" w:hAnsi="仿宋" w:eastAsia="仿宋" w:cs="仿宋"/>
          <w:color w:val="auto"/>
          <w:sz w:val="30"/>
          <w:szCs w:val="30"/>
          <w:highlight w:val="none"/>
        </w:rPr>
      </w:pPr>
    </w:p>
    <w:tbl>
      <w:tblPr>
        <w:tblStyle w:val="5"/>
        <w:tblW w:w="917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3260"/>
        <w:gridCol w:w="1701"/>
        <w:gridCol w:w="850"/>
        <w:gridCol w:w="1418"/>
        <w:gridCol w:w="709"/>
        <w:gridCol w:w="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序号</w:t>
            </w:r>
          </w:p>
        </w:tc>
        <w:tc>
          <w:tcPr>
            <w:tcW w:w="3260"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提交材料名称</w:t>
            </w:r>
          </w:p>
        </w:tc>
        <w:tc>
          <w:tcPr>
            <w:tcW w:w="1701"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原件/复印件</w:t>
            </w:r>
          </w:p>
        </w:tc>
        <w:tc>
          <w:tcPr>
            <w:tcW w:w="850"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份数</w:t>
            </w:r>
          </w:p>
        </w:tc>
        <w:tc>
          <w:tcPr>
            <w:tcW w:w="1418"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纸质/电子</w:t>
            </w:r>
          </w:p>
        </w:tc>
        <w:tc>
          <w:tcPr>
            <w:tcW w:w="709"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要求</w:t>
            </w:r>
          </w:p>
        </w:tc>
        <w:tc>
          <w:tcPr>
            <w:tcW w:w="522"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1</w:t>
            </w:r>
          </w:p>
        </w:tc>
        <w:tc>
          <w:tcPr>
            <w:tcW w:w="3260" w:type="dxa"/>
            <w:vAlign w:val="center"/>
          </w:tcPr>
          <w:p>
            <w:pPr>
              <w:jc w:val="left"/>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本人有效身份证件</w:t>
            </w:r>
          </w:p>
        </w:tc>
        <w:tc>
          <w:tcPr>
            <w:tcW w:w="1701"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原件和加盖签章的复印件</w:t>
            </w:r>
          </w:p>
        </w:tc>
        <w:tc>
          <w:tcPr>
            <w:tcW w:w="850" w:type="dxa"/>
            <w:vAlign w:val="top"/>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各1份</w:t>
            </w:r>
          </w:p>
        </w:tc>
        <w:tc>
          <w:tcPr>
            <w:tcW w:w="1418"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纸质</w:t>
            </w:r>
          </w:p>
        </w:tc>
        <w:tc>
          <w:tcPr>
            <w:tcW w:w="709" w:type="dxa"/>
            <w:vAlign w:val="center"/>
          </w:tcPr>
          <w:p>
            <w:pPr>
              <w:jc w:val="left"/>
              <w:rPr>
                <w:rFonts w:ascii="Times New Roman" w:hAnsi="Times New Roman" w:eastAsia="仿宋_GB2312" w:cs="Times New Roman"/>
                <w:sz w:val="24"/>
                <w:szCs w:val="24"/>
                <w:highlight w:val="none"/>
              </w:rPr>
            </w:pPr>
          </w:p>
        </w:tc>
        <w:tc>
          <w:tcPr>
            <w:tcW w:w="522" w:type="dxa"/>
            <w:vAlign w:val="center"/>
          </w:tcPr>
          <w:p>
            <w:pPr>
              <w:jc w:val="left"/>
              <w:rPr>
                <w:rFonts w:ascii="Times New Roman" w:hAnsi="Times New Roman" w:eastAsia="仿宋_GB2312"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2</w:t>
            </w:r>
          </w:p>
        </w:tc>
        <w:tc>
          <w:tcPr>
            <w:tcW w:w="3260" w:type="dxa"/>
            <w:vAlign w:val="center"/>
          </w:tcPr>
          <w:p>
            <w:pPr>
              <w:jc w:val="left"/>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提钞用途材料</w:t>
            </w:r>
          </w:p>
        </w:tc>
        <w:tc>
          <w:tcPr>
            <w:tcW w:w="1701"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原件和加盖签章的复印件</w:t>
            </w:r>
          </w:p>
        </w:tc>
        <w:tc>
          <w:tcPr>
            <w:tcW w:w="850" w:type="dxa"/>
            <w:vAlign w:val="top"/>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各1份</w:t>
            </w:r>
          </w:p>
        </w:tc>
        <w:tc>
          <w:tcPr>
            <w:tcW w:w="1418"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纸质</w:t>
            </w:r>
          </w:p>
        </w:tc>
        <w:tc>
          <w:tcPr>
            <w:tcW w:w="709" w:type="dxa"/>
            <w:vAlign w:val="center"/>
          </w:tcPr>
          <w:p>
            <w:pPr>
              <w:jc w:val="center"/>
              <w:rPr>
                <w:rFonts w:ascii="Times New Roman" w:hAnsi="Times New Roman" w:eastAsia="仿宋_GB2312" w:cs="Times New Roman"/>
                <w:sz w:val="24"/>
                <w:szCs w:val="24"/>
                <w:highlight w:val="none"/>
              </w:rPr>
            </w:pPr>
          </w:p>
        </w:tc>
        <w:tc>
          <w:tcPr>
            <w:tcW w:w="522" w:type="dxa"/>
            <w:vAlign w:val="center"/>
          </w:tcPr>
          <w:p>
            <w:pPr>
              <w:jc w:val="center"/>
              <w:rPr>
                <w:rFonts w:ascii="Times New Roman" w:hAnsi="Times New Roman" w:eastAsia="仿宋_GB2312" w:cs="Times New Roman"/>
                <w:sz w:val="24"/>
                <w:szCs w:val="24"/>
                <w:highlight w:val="none"/>
              </w:rPr>
            </w:pPr>
          </w:p>
        </w:tc>
      </w:tr>
    </w:tbl>
    <w:p>
      <w:pPr>
        <w:spacing w:after="0" w:line="343" w:lineRule="exact"/>
        <w:rPr>
          <w:rFonts w:ascii="仿宋" w:hAnsi="仿宋" w:eastAsia="仿宋" w:cs="仿宋"/>
          <w:color w:val="auto"/>
          <w:sz w:val="30"/>
          <w:szCs w:val="3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申请人可通过窗口提交材料。</w:t>
      </w:r>
    </w:p>
    <w:p>
      <w:pPr>
        <w:rPr>
          <w:highlight w:val="none"/>
        </w:rPr>
        <w:sectPr>
          <w:pgSz w:w="11900" w:h="16838"/>
          <w:pgMar w:top="1440" w:right="1206" w:bottom="662" w:left="1440" w:header="0" w:footer="0" w:gutter="0"/>
          <w:cols w:space="720" w:num="1"/>
        </w:sectPr>
      </w:pPr>
    </w:p>
    <w:p>
      <w:pPr>
        <w:spacing w:after="0" w:line="321" w:lineRule="exact"/>
        <w:rPr>
          <w:color w:val="auto"/>
          <w:sz w:val="20"/>
          <w:szCs w:val="20"/>
          <w:highlight w:val="none"/>
        </w:rPr>
      </w:pPr>
    </w:p>
    <w:p>
      <w:pPr>
        <w:spacing w:after="0" w:line="365" w:lineRule="exact"/>
        <w:ind w:left="960"/>
        <w:rPr>
          <w:color w:val="auto"/>
          <w:sz w:val="20"/>
          <w:szCs w:val="20"/>
          <w:highlight w:val="none"/>
        </w:rPr>
      </w:pPr>
      <w:r>
        <w:rPr>
          <w:rFonts w:ascii="仿宋" w:hAnsi="仿宋" w:eastAsia="仿宋" w:cs="仿宋"/>
          <w:color w:val="auto"/>
          <w:sz w:val="30"/>
          <w:szCs w:val="30"/>
          <w:highlight w:val="none"/>
        </w:rPr>
        <w:t>国家外汇管理局江西省分局接受申请方式为:</w:t>
      </w:r>
      <w:r>
        <w:rPr>
          <w:rFonts w:ascii="Times New Roman" w:hAnsi="Times New Roman" w:eastAsia="Times New Roman" w:cs="Times New Roman"/>
          <w:color w:val="auto"/>
          <w:sz w:val="30"/>
          <w:szCs w:val="30"/>
          <w:highlight w:val="none"/>
        </w:rPr>
        <w:t>“</w:t>
      </w:r>
      <w:r>
        <w:rPr>
          <w:rFonts w:ascii="仿宋" w:hAnsi="仿宋" w:eastAsia="仿宋" w:cs="仿宋"/>
          <w:color w:val="auto"/>
          <w:sz w:val="30"/>
          <w:szCs w:val="30"/>
          <w:highlight w:val="none"/>
        </w:rPr>
        <w:t>国家外汇管</w:t>
      </w:r>
    </w:p>
    <w:p>
      <w:pPr>
        <w:spacing w:after="0" w:line="259" w:lineRule="exact"/>
        <w:rPr>
          <w:color w:val="auto"/>
          <w:sz w:val="20"/>
          <w:szCs w:val="20"/>
          <w:highlight w:val="none"/>
        </w:rPr>
      </w:pPr>
    </w:p>
    <w:p>
      <w:pPr>
        <w:spacing w:after="0" w:line="353" w:lineRule="exact"/>
        <w:ind w:left="360"/>
        <w:rPr>
          <w:color w:val="auto"/>
          <w:sz w:val="20"/>
          <w:szCs w:val="20"/>
          <w:highlight w:val="none"/>
        </w:rPr>
      </w:pPr>
      <w:r>
        <w:rPr>
          <w:rFonts w:ascii="仿宋" w:hAnsi="仿宋" w:eastAsia="仿宋" w:cs="仿宋"/>
          <w:color w:val="auto"/>
          <w:sz w:val="29"/>
          <w:szCs w:val="29"/>
          <w:highlight w:val="none"/>
        </w:rPr>
        <w:t>理局江西省分局经常项目管理处</w:t>
      </w:r>
      <w:r>
        <w:rPr>
          <w:rFonts w:ascii="Times New Roman" w:hAnsi="Times New Roman" w:eastAsia="Times New Roman" w:cs="Times New Roman"/>
          <w:color w:val="auto"/>
          <w:sz w:val="29"/>
          <w:szCs w:val="29"/>
          <w:highlight w:val="none"/>
        </w:rPr>
        <w:t>”</w:t>
      </w:r>
      <w:r>
        <w:rPr>
          <w:rFonts w:ascii="仿宋" w:hAnsi="仿宋" w:eastAsia="仿宋" w:cs="仿宋"/>
          <w:color w:val="auto"/>
          <w:sz w:val="29"/>
          <w:szCs w:val="29"/>
          <w:highlight w:val="none"/>
        </w:rPr>
        <w:t>，联系电话（0791）86617694。</w:t>
      </w:r>
    </w:p>
    <w:p>
      <w:pPr>
        <w:spacing w:after="0" w:line="281"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地址：江西省南昌市东湖区铁街 25 号，邮政编码 330008。</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（八）基本办理流程</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1、申请人提交申请材料；</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2、分支局受理；</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3、分支局审查；</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4、分支局审批；</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5、材料齐全予以当场办理，材料不全或不符合其他法定形</w:t>
      </w:r>
    </w:p>
    <w:p>
      <w:pPr>
        <w:spacing w:after="0" w:line="293" w:lineRule="exact"/>
        <w:rPr>
          <w:color w:val="auto"/>
          <w:sz w:val="20"/>
          <w:szCs w:val="20"/>
          <w:highlight w:val="none"/>
        </w:rPr>
      </w:pPr>
    </w:p>
    <w:p>
      <w:pPr>
        <w:spacing w:after="0" w:line="331" w:lineRule="exact"/>
        <w:ind w:left="360"/>
        <w:rPr>
          <w:color w:val="auto"/>
          <w:sz w:val="20"/>
          <w:szCs w:val="20"/>
          <w:highlight w:val="none"/>
        </w:rPr>
      </w:pPr>
      <w:r>
        <w:rPr>
          <w:rFonts w:ascii="仿宋" w:hAnsi="仿宋" w:eastAsia="仿宋" w:cs="仿宋"/>
          <w:color w:val="auto"/>
          <w:sz w:val="29"/>
          <w:szCs w:val="29"/>
          <w:highlight w:val="none"/>
        </w:rPr>
        <w:t>式的，一次性告知补正材料，并依法出具《行政许可补正通知书》</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或其他文书。</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（九）办理方式</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当场办理：申请、受理、审查、决定、出具有签章的《提</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取外币现钞备案表》或不予批准的行政许可书面决定。</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（十）审批时限</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当场办理。</w:t>
      </w:r>
    </w:p>
    <w:p>
      <w:pPr>
        <w:spacing w:after="0" w:line="280"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（十一）审批收费依据及标准</w:t>
      </w:r>
    </w:p>
    <w:p>
      <w:pPr>
        <w:spacing w:after="0" w:line="284"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不收费。</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（十二）审批结果</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《提取外币现钞备案表》（一人一表）。</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（十三）结果送达</w:t>
      </w:r>
    </w:p>
    <w:p>
      <w:pPr>
        <w:spacing w:after="0" w:line="284" w:lineRule="exact"/>
        <w:rPr>
          <w:color w:val="auto"/>
          <w:sz w:val="20"/>
          <w:szCs w:val="20"/>
          <w:highlight w:val="none"/>
        </w:rPr>
      </w:pPr>
    </w:p>
    <w:p>
      <w:pPr>
        <w:rPr>
          <w:rFonts w:ascii="仿宋" w:hAnsi="仿宋" w:eastAsia="仿宋" w:cs="仿宋"/>
          <w:color w:val="auto"/>
          <w:sz w:val="30"/>
          <w:szCs w:val="30"/>
          <w:highlight w:val="none"/>
        </w:rPr>
      </w:pPr>
      <w:r>
        <w:rPr>
          <w:rFonts w:ascii="仿宋" w:hAnsi="仿宋" w:eastAsia="仿宋" w:cs="仿宋"/>
          <w:color w:val="auto"/>
          <w:sz w:val="30"/>
          <w:szCs w:val="30"/>
          <w:highlight w:val="none"/>
        </w:rPr>
        <w:t>当场告知申请人，现场领取。</w:t>
      </w:r>
    </w:p>
    <w:p>
      <w:pPr>
        <w:rPr>
          <w:rFonts w:ascii="仿宋" w:hAnsi="仿宋" w:eastAsia="仿宋" w:cs="仿宋"/>
          <w:color w:val="auto"/>
          <w:sz w:val="30"/>
          <w:szCs w:val="3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（十四）申请人权利和义务</w:t>
      </w:r>
    </w:p>
    <w:p>
      <w:pPr>
        <w:spacing w:after="0" w:line="295" w:lineRule="exact"/>
        <w:rPr>
          <w:color w:val="auto"/>
          <w:sz w:val="20"/>
          <w:szCs w:val="20"/>
          <w:highlight w:val="none"/>
        </w:rPr>
      </w:pPr>
    </w:p>
    <w:p>
      <w:pPr>
        <w:spacing w:after="0" w:line="331" w:lineRule="exact"/>
        <w:ind w:left="960"/>
        <w:rPr>
          <w:color w:val="auto"/>
          <w:sz w:val="20"/>
          <w:szCs w:val="20"/>
          <w:highlight w:val="none"/>
        </w:rPr>
      </w:pPr>
      <w:r>
        <w:rPr>
          <w:rFonts w:ascii="仿宋" w:hAnsi="仿宋" w:eastAsia="仿宋" w:cs="仿宋"/>
          <w:color w:val="auto"/>
          <w:sz w:val="29"/>
          <w:szCs w:val="29"/>
          <w:highlight w:val="none"/>
        </w:rPr>
        <w:t>申请人有权依法提出行政审批申请，依法进行投诉、举报、</w:t>
      </w:r>
    </w:p>
    <w:p>
      <w:pPr>
        <w:spacing w:after="0" w:line="293" w:lineRule="exact"/>
        <w:rPr>
          <w:color w:val="auto"/>
          <w:sz w:val="20"/>
          <w:szCs w:val="20"/>
          <w:highlight w:val="none"/>
        </w:rPr>
      </w:pPr>
    </w:p>
    <w:p>
      <w:pPr>
        <w:spacing w:after="0" w:line="331" w:lineRule="exact"/>
        <w:ind w:left="360"/>
        <w:rPr>
          <w:color w:val="auto"/>
          <w:sz w:val="20"/>
          <w:szCs w:val="20"/>
          <w:highlight w:val="none"/>
        </w:rPr>
      </w:pPr>
      <w:r>
        <w:rPr>
          <w:rFonts w:ascii="仿宋" w:hAnsi="仿宋" w:eastAsia="仿宋" w:cs="仿宋"/>
          <w:color w:val="auto"/>
          <w:sz w:val="29"/>
          <w:szCs w:val="29"/>
          <w:highlight w:val="none"/>
        </w:rPr>
        <w:t>复议、诉讼等。申请人有义务保证申请材料完整、真实、准确，</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获批后合法合规办理相关业务。</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（十五）咨询途径、监督和投诉、公开查询等由所在地分</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黑体" w:hAnsi="黑体" w:eastAsia="黑体" w:cs="黑体"/>
          <w:color w:val="auto"/>
          <w:sz w:val="30"/>
          <w:szCs w:val="30"/>
          <w:highlight w:val="none"/>
        </w:rPr>
        <w:t>支局办理</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向国家外汇管理局江西省分局进行咨询、办理进程查询、</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监督和投诉等可通过外汇局江西省分局官方网站的相应栏目</w:t>
      </w:r>
    </w:p>
    <w:p>
      <w:pPr>
        <w:spacing w:after="0" w:line="293" w:lineRule="exact"/>
        <w:rPr>
          <w:color w:val="auto"/>
          <w:sz w:val="20"/>
          <w:szCs w:val="20"/>
          <w:highlight w:val="none"/>
        </w:rPr>
      </w:pPr>
    </w:p>
    <w:p>
      <w:pPr>
        <w:spacing w:after="0" w:line="331" w:lineRule="exact"/>
        <w:ind w:left="360"/>
        <w:rPr>
          <w:color w:val="auto"/>
          <w:sz w:val="20"/>
          <w:szCs w:val="20"/>
          <w:highlight w:val="none"/>
        </w:rPr>
      </w:pPr>
      <w:r>
        <w:rPr>
          <w:rFonts w:ascii="仿宋" w:hAnsi="仿宋" w:eastAsia="仿宋" w:cs="仿宋"/>
          <w:color w:val="auto"/>
          <w:sz w:val="29"/>
          <w:szCs w:val="29"/>
          <w:highlight w:val="none"/>
        </w:rPr>
        <w:t>进行。网址可通过 www.safe.gov.cn 进行链接，也可通过外汇</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局官方互联网站上公布的电话进行。</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（十六）事项审查类型</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即审即办。</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（十七）办公地址和时间</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国家外汇管理局江西省分局办公地址:江西省南昌市东湖</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区铁街 25 号，邮政编码 330008。</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办公时间：上午:8：30--12:00</w:t>
      </w:r>
    </w:p>
    <w:p>
      <w:pPr>
        <w:spacing w:after="0" w:line="282" w:lineRule="exact"/>
        <w:rPr>
          <w:color w:val="auto"/>
          <w:sz w:val="20"/>
          <w:szCs w:val="20"/>
          <w:highlight w:val="none"/>
        </w:rPr>
      </w:pPr>
    </w:p>
    <w:p>
      <w:pPr>
        <w:spacing w:after="0" w:line="343" w:lineRule="exact"/>
        <w:ind w:left="2300"/>
        <w:rPr>
          <w:color w:val="auto"/>
          <w:sz w:val="20"/>
          <w:szCs w:val="20"/>
          <w:highlight w:val="none"/>
        </w:rPr>
      </w:pPr>
      <w:r>
        <w:rPr>
          <w:rFonts w:ascii="仿宋" w:hAnsi="仿宋" w:eastAsia="仿宋" w:cs="仿宋"/>
          <w:color w:val="auto"/>
          <w:sz w:val="30"/>
          <w:szCs w:val="30"/>
          <w:highlight w:val="none"/>
        </w:rPr>
        <w:t>下午： 2:00--5:30 （冬季作息时间为</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2:00--5:00）</w:t>
      </w:r>
    </w:p>
    <w:p>
      <w:pPr>
        <w:spacing w:after="0" w:line="280" w:lineRule="exact"/>
        <w:rPr>
          <w:color w:val="auto"/>
          <w:sz w:val="20"/>
          <w:szCs w:val="20"/>
          <w:highlight w:val="none"/>
        </w:rPr>
      </w:pPr>
    </w:p>
    <w:p>
      <w:pPr>
        <w:numPr>
          <w:ilvl w:val="0"/>
          <w:numId w:val="3"/>
        </w:numPr>
        <w:ind w:firstLine="900" w:firstLineChars="300"/>
        <w:rPr>
          <w:rFonts w:ascii="黑体" w:hAnsi="黑体" w:eastAsia="黑体" w:cs="黑体"/>
          <w:color w:val="auto"/>
          <w:sz w:val="30"/>
          <w:szCs w:val="30"/>
          <w:highlight w:val="none"/>
        </w:rPr>
      </w:pPr>
      <w:r>
        <w:rPr>
          <w:rFonts w:ascii="黑体" w:hAnsi="黑体" w:eastAsia="黑体" w:cs="黑体"/>
          <w:color w:val="auto"/>
          <w:sz w:val="30"/>
          <w:szCs w:val="30"/>
          <w:highlight w:val="none"/>
        </w:rPr>
        <w:t>示范文本及错误范例</w:t>
      </w:r>
    </w:p>
    <w:p>
      <w:pPr>
        <w:spacing w:after="0" w:line="465" w:lineRule="exact"/>
        <w:ind w:left="360" w:right="506" w:firstLine="600"/>
        <w:rPr>
          <w:color w:val="auto"/>
          <w:sz w:val="20"/>
          <w:szCs w:val="20"/>
          <w:highlight w:val="none"/>
        </w:rPr>
      </w:pPr>
      <w:r>
        <w:rPr>
          <w:rFonts w:ascii="仿宋" w:hAnsi="仿宋" w:eastAsia="仿宋" w:cs="仿宋"/>
          <w:color w:val="auto"/>
          <w:sz w:val="29"/>
          <w:szCs w:val="29"/>
          <w:highlight w:val="none"/>
        </w:rPr>
        <w:t>个人申请提取单笔或当日超过累计等值 10000 美元现钞，应提交申请书，说明相关情况并证明其确有提钞需求，并签字。</w:t>
      </w:r>
    </w:p>
    <w:p>
      <w:pPr>
        <w:spacing w:after="0" w:line="283"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例：</w:t>
      </w:r>
    </w:p>
    <w:p>
      <w:pPr>
        <w:rPr>
          <w:highlight w:val="none"/>
        </w:rPr>
        <w:sectPr>
          <w:type w:val="continuous"/>
          <w:pgSz w:w="11900" w:h="16838"/>
          <w:pgMar w:top="1440" w:right="1440" w:bottom="662" w:left="1440" w:header="0" w:footer="0" w:gutter="0"/>
          <w:cols w:space="720" w:num="1"/>
        </w:sectPr>
      </w:pPr>
    </w:p>
    <w:p>
      <w:pPr>
        <w:numPr>
          <w:numId w:val="0"/>
        </w:numPr>
        <w:rPr>
          <w:rFonts w:ascii="黑体" w:hAnsi="黑体" w:eastAsia="黑体" w:cs="黑体"/>
          <w:color w:val="auto"/>
          <w:sz w:val="30"/>
          <w:szCs w:val="30"/>
          <w:highlight w:val="none"/>
        </w:rPr>
        <w:sectPr>
          <w:type w:val="continuous"/>
          <w:pgSz w:w="11900" w:h="16838"/>
          <w:pgMar w:top="1440" w:right="1206" w:bottom="662" w:left="1440" w:header="0" w:footer="0" w:gutter="0"/>
          <w:cols w:space="720" w:num="1"/>
        </w:sectPr>
      </w:pPr>
    </w:p>
    <w:p>
      <w:pPr>
        <w:spacing w:after="0" w:line="117" w:lineRule="exact"/>
        <w:rPr>
          <w:color w:val="auto"/>
          <w:sz w:val="20"/>
          <w:szCs w:val="20"/>
          <w:highlight w:val="none"/>
        </w:rPr>
      </w:pPr>
      <w:bookmarkStart w:id="14" w:name="page15"/>
      <w:bookmarkEnd w:id="14"/>
    </w:p>
    <w:p>
      <w:pPr>
        <w:rPr>
          <w:highlight w:val="none"/>
        </w:rPr>
        <w:sectPr>
          <w:pgSz w:w="11900" w:h="16838"/>
          <w:pgMar w:top="1440" w:right="1440" w:bottom="662" w:left="1440" w:header="0" w:footer="0" w:gutter="0"/>
          <w:cols w:space="720" w:num="1"/>
        </w:sect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外汇局 XXX 分支局：</w:t>
      </w:r>
    </w:p>
    <w:p>
      <w:pPr>
        <w:spacing w:after="0" w:line="318" w:lineRule="exact"/>
        <w:rPr>
          <w:color w:val="auto"/>
          <w:sz w:val="20"/>
          <w:szCs w:val="20"/>
          <w:highlight w:val="none"/>
        </w:rPr>
      </w:pPr>
    </w:p>
    <w:p>
      <w:pPr>
        <w:spacing w:after="0" w:line="465" w:lineRule="exact"/>
        <w:ind w:left="360" w:right="506" w:firstLine="600"/>
        <w:rPr>
          <w:color w:val="auto"/>
          <w:sz w:val="20"/>
          <w:szCs w:val="20"/>
          <w:highlight w:val="none"/>
        </w:rPr>
      </w:pPr>
      <w:r>
        <w:rPr>
          <w:rFonts w:ascii="仿宋" w:hAnsi="仿宋" w:eastAsia="仿宋" w:cs="仿宋"/>
          <w:color w:val="auto"/>
          <w:sz w:val="29"/>
          <w:szCs w:val="29"/>
          <w:highlight w:val="none"/>
        </w:rPr>
        <w:t>本人某某，身份证号／护照号为 XXXXX，今因公务原因／回国／……须前往 XX 国，XX 国系战乱／金融管制／……国家，</w:t>
      </w:r>
    </w:p>
    <w:p>
      <w:pPr>
        <w:spacing w:after="0" w:line="319" w:lineRule="exact"/>
        <w:rPr>
          <w:color w:val="auto"/>
          <w:sz w:val="20"/>
          <w:szCs w:val="20"/>
          <w:highlight w:val="none"/>
        </w:rPr>
      </w:pPr>
    </w:p>
    <w:p>
      <w:pPr>
        <w:spacing w:after="0" w:line="465" w:lineRule="exact"/>
        <w:ind w:left="360" w:right="666"/>
        <w:jc w:val="both"/>
        <w:rPr>
          <w:color w:val="auto"/>
          <w:sz w:val="20"/>
          <w:szCs w:val="20"/>
          <w:highlight w:val="none"/>
        </w:rPr>
      </w:pPr>
      <w:r>
        <w:rPr>
          <w:rFonts w:ascii="仿宋" w:hAnsi="仿宋" w:eastAsia="仿宋" w:cs="仿宋"/>
          <w:color w:val="auto"/>
          <w:sz w:val="30"/>
          <w:szCs w:val="30"/>
          <w:highlight w:val="none"/>
        </w:rPr>
        <w:t>本人须提取外币现钞 XXX 元，币种为 XX。本人外币现钞来源为 XXX／提取外币现钞用途为 XXX，望批准。</w:t>
      </w: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306" w:lineRule="exact"/>
        <w:rPr>
          <w:color w:val="auto"/>
          <w:sz w:val="20"/>
          <w:szCs w:val="20"/>
          <w:highlight w:val="none"/>
        </w:rPr>
      </w:pPr>
    </w:p>
    <w:p>
      <w:pPr>
        <w:spacing w:after="0" w:line="343" w:lineRule="exact"/>
        <w:ind w:left="6660"/>
        <w:rPr>
          <w:color w:val="auto"/>
          <w:sz w:val="20"/>
          <w:szCs w:val="20"/>
          <w:highlight w:val="none"/>
        </w:rPr>
      </w:pPr>
      <w:r>
        <w:rPr>
          <w:rFonts w:ascii="仿宋" w:hAnsi="仿宋" w:eastAsia="仿宋" w:cs="仿宋"/>
          <w:color w:val="auto"/>
          <w:sz w:val="30"/>
          <w:szCs w:val="30"/>
          <w:highlight w:val="none"/>
        </w:rPr>
        <w:t>签名</w:t>
      </w:r>
    </w:p>
    <w:p>
      <w:pPr>
        <w:spacing w:after="0" w:line="282" w:lineRule="exact"/>
        <w:rPr>
          <w:color w:val="auto"/>
          <w:sz w:val="20"/>
          <w:szCs w:val="20"/>
          <w:highlight w:val="none"/>
        </w:rPr>
      </w:pPr>
    </w:p>
    <w:p>
      <w:pPr>
        <w:spacing w:after="0" w:line="343" w:lineRule="exact"/>
        <w:ind w:left="6660"/>
        <w:rPr>
          <w:color w:val="auto"/>
          <w:sz w:val="20"/>
          <w:szCs w:val="20"/>
          <w:highlight w:val="none"/>
        </w:rPr>
      </w:pPr>
      <w:r>
        <w:rPr>
          <w:rFonts w:ascii="仿宋" w:hAnsi="仿宋" w:eastAsia="仿宋" w:cs="仿宋"/>
          <w:color w:val="auto"/>
          <w:sz w:val="30"/>
          <w:szCs w:val="30"/>
          <w:highlight w:val="none"/>
        </w:rPr>
        <w:t>日期</w:t>
      </w:r>
    </w:p>
    <w:p>
      <w:pPr>
        <w:spacing w:after="0" w:line="318" w:lineRule="exact"/>
        <w:rPr>
          <w:color w:val="auto"/>
          <w:sz w:val="20"/>
          <w:szCs w:val="20"/>
          <w:highlight w:val="none"/>
        </w:rPr>
      </w:pPr>
    </w:p>
    <w:p>
      <w:pPr>
        <w:spacing w:after="0" w:line="518" w:lineRule="exact"/>
        <w:ind w:left="360" w:right="666" w:firstLine="600"/>
        <w:jc w:val="both"/>
        <w:rPr>
          <w:highlight w:val="none"/>
        </w:rPr>
        <w:sectPr>
          <w:type w:val="continuous"/>
          <w:pgSz w:w="11900" w:h="16838"/>
          <w:pgMar w:top="1440" w:right="1440" w:bottom="662" w:left="1440" w:header="0" w:footer="0" w:gutter="0"/>
          <w:cols w:space="720" w:num="1"/>
        </w:sectPr>
      </w:pPr>
      <w:r>
        <w:rPr>
          <w:rFonts w:ascii="仿宋" w:hAnsi="仿宋" w:eastAsia="仿宋" w:cs="仿宋"/>
          <w:color w:val="auto"/>
          <w:sz w:val="30"/>
          <w:szCs w:val="30"/>
          <w:highlight w:val="none"/>
        </w:rPr>
        <w:t>错误范例：金额、申请人姓名、提钞来源／用途、提钞金额及币种等项目遗漏，未签章确认，或提钞用途不符合外汇局提取外币现钞相关要求。</w:t>
      </w:r>
    </w:p>
    <w:p>
      <w:pPr>
        <w:rPr>
          <w:highlight w:val="none"/>
        </w:rPr>
        <w:sectPr>
          <w:pgSz w:w="11900" w:h="16838"/>
          <w:pgMar w:top="1440" w:right="1440" w:bottom="662" w:left="1440" w:header="0" w:footer="0" w:gutter="0"/>
          <w:cols w:space="720" w:num="1"/>
        </w:sectPr>
      </w:pPr>
      <w:bookmarkStart w:id="15" w:name="page16"/>
      <w:bookmarkEnd w:id="15"/>
      <w:r>
        <w:rPr>
          <w:rFonts w:ascii="Calibri" w:hAnsi="Calibri" w:eastAsia="宋体" w:cs="黑体"/>
          <w:sz w:val="22"/>
          <w:szCs w:val="22"/>
          <w:highlight w:val="none"/>
          <w:lang w:val="en-US" w:eastAsia="zh-CN" w:bidi="ar-SA"/>
        </w:rPr>
        <w:pict>
          <v:shape id="图片 3" o:spid="_x0000_s1032" type="#_x0000_t75" style="height:314.35pt;width:409.0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spacing w:after="0" w:line="200" w:lineRule="exact"/>
        <w:rPr>
          <w:color w:val="auto"/>
          <w:sz w:val="20"/>
          <w:szCs w:val="20"/>
          <w:highlight w:val="none"/>
        </w:rPr>
      </w:pPr>
      <w:bookmarkStart w:id="16" w:name="page17"/>
      <w:bookmarkEnd w:id="16"/>
      <w:bookmarkStart w:id="17" w:name="page18"/>
      <w:bookmarkEnd w:id="17"/>
    </w:p>
    <w:p>
      <w:pPr>
        <w:spacing w:after="0" w:line="213"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七、个人外币现钞携带出境审核（一人携带超过等值 10000</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黑体" w:hAnsi="黑体" w:eastAsia="黑体" w:cs="黑体"/>
          <w:color w:val="auto"/>
          <w:sz w:val="30"/>
          <w:szCs w:val="30"/>
          <w:highlight w:val="none"/>
        </w:rPr>
        <w:t>美元现钞出境）</w:t>
      </w:r>
    </w:p>
    <w:p>
      <w:pPr>
        <w:spacing w:after="0" w:line="282"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（一）办理依据</w:t>
      </w:r>
    </w:p>
    <w:p>
      <w:pPr>
        <w:spacing w:after="0" w:line="295" w:lineRule="exact"/>
        <w:rPr>
          <w:color w:val="auto"/>
          <w:sz w:val="20"/>
          <w:szCs w:val="20"/>
          <w:highlight w:val="none"/>
        </w:rPr>
      </w:pPr>
    </w:p>
    <w:p>
      <w:pPr>
        <w:spacing w:after="0" w:line="331" w:lineRule="exact"/>
        <w:ind w:left="960"/>
        <w:rPr>
          <w:color w:val="auto"/>
          <w:sz w:val="20"/>
          <w:szCs w:val="20"/>
          <w:highlight w:val="none"/>
        </w:rPr>
      </w:pPr>
      <w:r>
        <w:rPr>
          <w:rFonts w:ascii="仿宋" w:hAnsi="仿宋" w:eastAsia="仿宋" w:cs="仿宋"/>
          <w:color w:val="auto"/>
          <w:sz w:val="29"/>
          <w:szCs w:val="29"/>
          <w:highlight w:val="none"/>
        </w:rPr>
        <w:t>1.《中华人民共和国外汇管理条例》（国务院令 532 号）；</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2.《携带外币现钞出入境管理暂行办法》（汇发</w:t>
      </w:r>
      <w:r>
        <w:rPr>
          <w:rFonts w:ascii="宋体" w:hAnsi="宋体" w:eastAsia="宋体" w:cs="宋体"/>
          <w:color w:val="auto"/>
          <w:sz w:val="30"/>
          <w:szCs w:val="30"/>
          <w:highlight w:val="none"/>
        </w:rPr>
        <w:t>[</w:t>
      </w:r>
      <w:r>
        <w:rPr>
          <w:rFonts w:ascii="仿宋" w:hAnsi="仿宋" w:eastAsia="仿宋" w:cs="仿宋"/>
          <w:color w:val="auto"/>
          <w:sz w:val="30"/>
          <w:szCs w:val="30"/>
          <w:highlight w:val="none"/>
        </w:rPr>
        <w:t>2003]102</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号）；</w:t>
      </w:r>
    </w:p>
    <w:p>
      <w:pPr>
        <w:spacing w:after="0" w:line="293" w:lineRule="exact"/>
        <w:rPr>
          <w:color w:val="auto"/>
          <w:sz w:val="20"/>
          <w:szCs w:val="20"/>
          <w:highlight w:val="none"/>
        </w:rPr>
      </w:pPr>
    </w:p>
    <w:p>
      <w:pPr>
        <w:spacing w:after="0" w:line="331" w:lineRule="exact"/>
        <w:ind w:left="960"/>
        <w:rPr>
          <w:color w:val="auto"/>
          <w:sz w:val="20"/>
          <w:szCs w:val="20"/>
          <w:highlight w:val="none"/>
        </w:rPr>
      </w:pPr>
      <w:r>
        <w:rPr>
          <w:rFonts w:ascii="仿宋" w:hAnsi="仿宋" w:eastAsia="仿宋" w:cs="仿宋"/>
          <w:color w:val="auto"/>
          <w:sz w:val="29"/>
          <w:szCs w:val="29"/>
          <w:highlight w:val="none"/>
        </w:rPr>
        <w:t>3.《关于印发〈携带外币现钞出入境管理操作规程〉的通知》</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（汇发[2004]21 号）。</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（二）受理机构</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申请人存款或购汇银行所在地国家外汇管理局分支局。</w:t>
      </w:r>
    </w:p>
    <w:p>
      <w:pPr>
        <w:rPr>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（三）决定机构</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申请人存款或购汇银行所在地国家外汇管理局分支局。</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（四）审批数量</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无数量限制。</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（五）办事条件</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申请人为拟出境个人，应符合以下条件之一：</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1.人数较多的出境团组；</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2.出境时间较长或旅途较长的科学考察团组；</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3.政府领导人出访；</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4.出境人员赴战乱、外汇管制严格、金融条件差或金融动</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乱的国家；</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5.其他特殊情况</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除此之外，出境人员不得携带超过等值 10000 美元的外币</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现钞出境。</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（六）申请材料</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1.新办申请材料清单</w:t>
      </w:r>
    </w:p>
    <w:p>
      <w:pPr>
        <w:spacing w:after="0" w:line="135" w:lineRule="exact"/>
        <w:rPr>
          <w:color w:val="auto"/>
          <w:sz w:val="20"/>
          <w:szCs w:val="20"/>
          <w:highlight w:val="none"/>
        </w:rPr>
      </w:pPr>
    </w:p>
    <w:p>
      <w:pPr>
        <w:spacing w:after="0" w:line="178" w:lineRule="exact"/>
        <w:rPr>
          <w:color w:val="auto"/>
          <w:sz w:val="20"/>
          <w:szCs w:val="20"/>
          <w:highlight w:val="none"/>
        </w:rPr>
      </w:pPr>
    </w:p>
    <w:tbl>
      <w:tblPr>
        <w:tblStyle w:val="6"/>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3969"/>
        <w:gridCol w:w="1701"/>
        <w:gridCol w:w="567"/>
        <w:gridCol w:w="850"/>
        <w:gridCol w:w="426"/>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序号</w:t>
            </w:r>
          </w:p>
        </w:tc>
        <w:tc>
          <w:tcPr>
            <w:tcW w:w="3969"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提交材料名称</w:t>
            </w:r>
          </w:p>
        </w:tc>
        <w:tc>
          <w:tcPr>
            <w:tcW w:w="1701"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原件/复印件</w:t>
            </w:r>
          </w:p>
        </w:tc>
        <w:tc>
          <w:tcPr>
            <w:tcW w:w="567"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份数</w:t>
            </w:r>
          </w:p>
        </w:tc>
        <w:tc>
          <w:tcPr>
            <w:tcW w:w="850"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纸质/电子</w:t>
            </w:r>
          </w:p>
        </w:tc>
        <w:tc>
          <w:tcPr>
            <w:tcW w:w="426"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要求</w:t>
            </w:r>
          </w:p>
        </w:tc>
        <w:tc>
          <w:tcPr>
            <w:tcW w:w="497" w:type="dxa"/>
            <w:vAlign w:val="center"/>
          </w:tcPr>
          <w:p>
            <w:pPr>
              <w:jc w:val="center"/>
              <w:rPr>
                <w:rFonts w:ascii="Times New Roman" w:hAnsi="Times New Roman" w:eastAsia="仿宋_GB2312" w:cs="Times New Roman"/>
                <w:b/>
                <w:sz w:val="24"/>
                <w:szCs w:val="24"/>
                <w:highlight w:val="none"/>
              </w:rPr>
            </w:pPr>
            <w:r>
              <w:rPr>
                <w:rFonts w:ascii="Times New Roman" w:hAnsi="Times New Roman" w:eastAsia="仿宋_GB2312" w:cs="Times New Roman"/>
                <w:b/>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1</w:t>
            </w:r>
          </w:p>
        </w:tc>
        <w:tc>
          <w:tcPr>
            <w:tcW w:w="3969" w:type="dxa"/>
            <w:vAlign w:val="center"/>
          </w:tcPr>
          <w:p>
            <w:pPr>
              <w:jc w:val="left"/>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书面申请</w:t>
            </w:r>
          </w:p>
        </w:tc>
        <w:tc>
          <w:tcPr>
            <w:tcW w:w="1701"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原件</w:t>
            </w:r>
          </w:p>
        </w:tc>
        <w:tc>
          <w:tcPr>
            <w:tcW w:w="567"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1</w:t>
            </w:r>
          </w:p>
        </w:tc>
        <w:tc>
          <w:tcPr>
            <w:tcW w:w="850"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纸质</w:t>
            </w:r>
          </w:p>
        </w:tc>
        <w:tc>
          <w:tcPr>
            <w:tcW w:w="426" w:type="dxa"/>
            <w:vAlign w:val="center"/>
          </w:tcPr>
          <w:p>
            <w:pPr>
              <w:jc w:val="left"/>
              <w:rPr>
                <w:rFonts w:ascii="Times New Roman" w:hAnsi="Times New Roman" w:eastAsia="仿宋_GB2312" w:cs="Times New Roman"/>
                <w:sz w:val="24"/>
                <w:szCs w:val="24"/>
                <w:highlight w:val="none"/>
              </w:rPr>
            </w:pPr>
          </w:p>
        </w:tc>
        <w:tc>
          <w:tcPr>
            <w:tcW w:w="497" w:type="dxa"/>
            <w:vAlign w:val="center"/>
          </w:tcPr>
          <w:p>
            <w:pPr>
              <w:jc w:val="left"/>
              <w:rPr>
                <w:rFonts w:ascii="Times New Roman" w:hAnsi="Times New Roman" w:eastAsia="仿宋_GB2312"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2</w:t>
            </w:r>
          </w:p>
        </w:tc>
        <w:tc>
          <w:tcPr>
            <w:tcW w:w="3969" w:type="dxa"/>
            <w:vAlign w:val="center"/>
          </w:tcPr>
          <w:p>
            <w:pPr>
              <w:jc w:val="left"/>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护照等相关出境证件</w:t>
            </w:r>
          </w:p>
        </w:tc>
        <w:tc>
          <w:tcPr>
            <w:tcW w:w="1701"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原件和加盖签章的复印件</w:t>
            </w:r>
          </w:p>
        </w:tc>
        <w:tc>
          <w:tcPr>
            <w:tcW w:w="567"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各1份</w:t>
            </w:r>
          </w:p>
        </w:tc>
        <w:tc>
          <w:tcPr>
            <w:tcW w:w="850"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纸质</w:t>
            </w:r>
          </w:p>
        </w:tc>
        <w:tc>
          <w:tcPr>
            <w:tcW w:w="426" w:type="dxa"/>
            <w:vAlign w:val="center"/>
          </w:tcPr>
          <w:p>
            <w:pPr>
              <w:jc w:val="center"/>
              <w:rPr>
                <w:rFonts w:ascii="Times New Roman" w:hAnsi="Times New Roman" w:eastAsia="仿宋_GB2312" w:cs="Times New Roman"/>
                <w:sz w:val="24"/>
                <w:szCs w:val="24"/>
                <w:highlight w:val="none"/>
              </w:rPr>
            </w:pPr>
          </w:p>
        </w:tc>
        <w:tc>
          <w:tcPr>
            <w:tcW w:w="497" w:type="dxa"/>
            <w:vAlign w:val="center"/>
          </w:tcPr>
          <w:p>
            <w:pPr>
              <w:jc w:val="center"/>
              <w:rPr>
                <w:rFonts w:ascii="Times New Roman" w:hAnsi="Times New Roman" w:eastAsia="仿宋_GB2312"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3</w:t>
            </w:r>
          </w:p>
        </w:tc>
        <w:tc>
          <w:tcPr>
            <w:tcW w:w="3969" w:type="dxa"/>
            <w:vAlign w:val="center"/>
          </w:tcPr>
          <w:p>
            <w:pPr>
              <w:jc w:val="left"/>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有效签证或签注</w:t>
            </w:r>
            <w:r>
              <w:rPr>
                <w:rFonts w:ascii="Times New Roman" w:hAnsi="Times New Roman" w:eastAsia="仿宋_GB2312" w:cs="Times New Roman"/>
                <w:color w:val="000000"/>
                <w:sz w:val="24"/>
                <w:szCs w:val="24"/>
                <w:highlight w:val="none"/>
              </w:rPr>
              <w:t>（实行免签或落地签的国家和地区不提供）</w:t>
            </w:r>
          </w:p>
        </w:tc>
        <w:tc>
          <w:tcPr>
            <w:tcW w:w="1701"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原件和加盖签章的复印件</w:t>
            </w:r>
          </w:p>
        </w:tc>
        <w:tc>
          <w:tcPr>
            <w:tcW w:w="567"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各1份</w:t>
            </w:r>
          </w:p>
        </w:tc>
        <w:tc>
          <w:tcPr>
            <w:tcW w:w="850"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纸质</w:t>
            </w:r>
          </w:p>
        </w:tc>
        <w:tc>
          <w:tcPr>
            <w:tcW w:w="426" w:type="dxa"/>
            <w:vAlign w:val="center"/>
          </w:tcPr>
          <w:p>
            <w:pPr>
              <w:jc w:val="center"/>
              <w:rPr>
                <w:rFonts w:ascii="Times New Roman" w:hAnsi="Times New Roman" w:eastAsia="仿宋_GB2312" w:cs="Times New Roman"/>
                <w:sz w:val="24"/>
                <w:szCs w:val="24"/>
                <w:highlight w:val="none"/>
              </w:rPr>
            </w:pPr>
          </w:p>
        </w:tc>
        <w:tc>
          <w:tcPr>
            <w:tcW w:w="497" w:type="dxa"/>
            <w:vAlign w:val="center"/>
          </w:tcPr>
          <w:p>
            <w:pPr>
              <w:jc w:val="center"/>
              <w:rPr>
                <w:rFonts w:ascii="Times New Roman" w:hAnsi="Times New Roman" w:eastAsia="仿宋_GB2312"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4</w:t>
            </w:r>
          </w:p>
        </w:tc>
        <w:tc>
          <w:tcPr>
            <w:tcW w:w="3969" w:type="dxa"/>
            <w:vAlign w:val="center"/>
          </w:tcPr>
          <w:p>
            <w:pPr>
              <w:jc w:val="left"/>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存款证明（利息清单或取款凭条）或相关购汇凭证</w:t>
            </w:r>
          </w:p>
        </w:tc>
        <w:tc>
          <w:tcPr>
            <w:tcW w:w="1701"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原件和加盖企业公章的复印件</w:t>
            </w:r>
          </w:p>
        </w:tc>
        <w:tc>
          <w:tcPr>
            <w:tcW w:w="567"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各1份</w:t>
            </w:r>
          </w:p>
        </w:tc>
        <w:tc>
          <w:tcPr>
            <w:tcW w:w="850"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纸质</w:t>
            </w:r>
          </w:p>
        </w:tc>
        <w:tc>
          <w:tcPr>
            <w:tcW w:w="426" w:type="dxa"/>
            <w:vAlign w:val="center"/>
          </w:tcPr>
          <w:p>
            <w:pPr>
              <w:jc w:val="center"/>
              <w:rPr>
                <w:rFonts w:ascii="Times New Roman" w:hAnsi="Times New Roman" w:eastAsia="仿宋_GB2312" w:cs="Times New Roman"/>
                <w:sz w:val="24"/>
                <w:szCs w:val="24"/>
                <w:highlight w:val="none"/>
              </w:rPr>
            </w:pPr>
          </w:p>
        </w:tc>
        <w:tc>
          <w:tcPr>
            <w:tcW w:w="497" w:type="dxa"/>
            <w:vAlign w:val="center"/>
          </w:tcPr>
          <w:p>
            <w:pPr>
              <w:jc w:val="center"/>
              <w:rPr>
                <w:rFonts w:ascii="Times New Roman" w:hAnsi="Times New Roman" w:eastAsia="仿宋_GB2312"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5</w:t>
            </w:r>
          </w:p>
        </w:tc>
        <w:tc>
          <w:tcPr>
            <w:tcW w:w="3969" w:type="dxa"/>
            <w:vAlign w:val="center"/>
          </w:tcPr>
          <w:p>
            <w:pPr>
              <w:jc w:val="left"/>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确需携带超过等值10000美元现钞出境的证明材料</w:t>
            </w:r>
          </w:p>
        </w:tc>
        <w:tc>
          <w:tcPr>
            <w:tcW w:w="1701"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原件和加盖企业公章的复印件</w:t>
            </w:r>
          </w:p>
        </w:tc>
        <w:tc>
          <w:tcPr>
            <w:tcW w:w="567"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各1份</w:t>
            </w:r>
          </w:p>
        </w:tc>
        <w:tc>
          <w:tcPr>
            <w:tcW w:w="850" w:type="dxa"/>
            <w:vAlign w:val="center"/>
          </w:tcPr>
          <w:p>
            <w:pPr>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纸质</w:t>
            </w:r>
          </w:p>
        </w:tc>
        <w:tc>
          <w:tcPr>
            <w:tcW w:w="426" w:type="dxa"/>
            <w:vAlign w:val="center"/>
          </w:tcPr>
          <w:p>
            <w:pPr>
              <w:jc w:val="center"/>
              <w:rPr>
                <w:rFonts w:ascii="Times New Roman" w:hAnsi="Times New Roman" w:eastAsia="仿宋_GB2312" w:cs="Times New Roman"/>
                <w:sz w:val="24"/>
                <w:szCs w:val="24"/>
                <w:highlight w:val="none"/>
              </w:rPr>
            </w:pPr>
          </w:p>
        </w:tc>
        <w:tc>
          <w:tcPr>
            <w:tcW w:w="497" w:type="dxa"/>
            <w:vAlign w:val="center"/>
          </w:tcPr>
          <w:p>
            <w:pPr>
              <w:jc w:val="center"/>
              <w:rPr>
                <w:rFonts w:ascii="Times New Roman" w:hAnsi="Times New Roman" w:eastAsia="仿宋_GB2312" w:cs="Times New Roman"/>
                <w:sz w:val="24"/>
                <w:szCs w:val="24"/>
                <w:highlight w:val="none"/>
              </w:rPr>
            </w:pPr>
          </w:p>
        </w:tc>
      </w:tr>
    </w:tbl>
    <w:p>
      <w:pPr>
        <w:rPr>
          <w:highlight w:val="none"/>
        </w:rPr>
        <w:sectPr>
          <w:pgSz w:w="11900" w:h="16838"/>
          <w:pgMar w:top="1440" w:right="1440" w:bottom="662" w:left="1440" w:header="0" w:footer="0" w:gutter="0"/>
          <w:cols w:space="720" w:num="1"/>
        </w:sectPr>
      </w:pPr>
    </w:p>
    <w:p>
      <w:pPr>
        <w:spacing w:after="0" w:line="126" w:lineRule="exact"/>
        <w:rPr>
          <w:color w:val="auto"/>
          <w:sz w:val="20"/>
          <w:szCs w:val="20"/>
          <w:highlight w:val="none"/>
        </w:rPr>
      </w:pPr>
    </w:p>
    <w:p>
      <w:pPr>
        <w:spacing w:after="0" w:line="126"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2.补办申请材料清单</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包括遗失《携带外汇出境许可证》的补办和逾期《携带外</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汇出境许可证》（等值 1 万美元以上）的补办（个人出境后不</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予补办）。</w:t>
      </w:r>
    </w:p>
    <w:p>
      <w:pPr>
        <w:spacing w:after="0" w:line="136" w:lineRule="exact"/>
        <w:rPr>
          <w:color w:val="auto"/>
          <w:sz w:val="20"/>
          <w:szCs w:val="20"/>
          <w:highlight w:val="none"/>
        </w:rPr>
      </w:pPr>
    </w:p>
    <w:tbl>
      <w:tblPr>
        <w:tblStyle w:val="5"/>
        <w:tblW w:w="8780"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0"/>
        <w:gridCol w:w="1140"/>
        <w:gridCol w:w="980"/>
        <w:gridCol w:w="440"/>
        <w:gridCol w:w="840"/>
        <w:gridCol w:w="420"/>
        <w:gridCol w:w="4180"/>
        <w:gridCol w:w="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420" w:type="dxa"/>
            <w:tcBorders>
              <w:top w:val="single" w:color="auto" w:sz="8" w:space="0"/>
              <w:left w:val="single" w:color="auto" w:sz="8" w:space="0"/>
              <w:right w:val="single" w:color="auto" w:sz="8" w:space="0"/>
            </w:tcBorders>
            <w:vAlign w:val="bottom"/>
          </w:tcPr>
          <w:p>
            <w:pPr>
              <w:spacing w:after="0" w:line="274" w:lineRule="exact"/>
              <w:ind w:left="120"/>
              <w:rPr>
                <w:color w:val="auto"/>
                <w:sz w:val="20"/>
                <w:szCs w:val="20"/>
                <w:highlight w:val="none"/>
              </w:rPr>
            </w:pPr>
            <w:r>
              <w:rPr>
                <w:rFonts w:ascii="仿宋" w:hAnsi="仿宋" w:eastAsia="仿宋" w:cs="仿宋"/>
                <w:b/>
                <w:bCs/>
                <w:color w:val="auto"/>
                <w:sz w:val="24"/>
                <w:szCs w:val="24"/>
                <w:highlight w:val="none"/>
              </w:rPr>
              <w:t>序</w:t>
            </w:r>
          </w:p>
        </w:tc>
        <w:tc>
          <w:tcPr>
            <w:tcW w:w="1140" w:type="dxa"/>
            <w:tcBorders>
              <w:top w:val="single" w:color="auto" w:sz="8" w:space="0"/>
              <w:right w:val="single" w:color="auto" w:sz="8" w:space="0"/>
            </w:tcBorders>
            <w:vAlign w:val="bottom"/>
          </w:tcPr>
          <w:p>
            <w:pPr>
              <w:spacing w:after="0" w:line="274" w:lineRule="exact"/>
              <w:ind w:left="200"/>
              <w:rPr>
                <w:color w:val="auto"/>
                <w:sz w:val="20"/>
                <w:szCs w:val="20"/>
                <w:highlight w:val="none"/>
              </w:rPr>
            </w:pPr>
            <w:r>
              <w:rPr>
                <w:rFonts w:ascii="仿宋" w:hAnsi="仿宋" w:eastAsia="仿宋" w:cs="仿宋"/>
                <w:b/>
                <w:bCs/>
                <w:color w:val="auto"/>
                <w:sz w:val="24"/>
                <w:szCs w:val="24"/>
                <w:highlight w:val="none"/>
              </w:rPr>
              <w:t>提交材</w:t>
            </w:r>
          </w:p>
        </w:tc>
        <w:tc>
          <w:tcPr>
            <w:tcW w:w="980" w:type="dxa"/>
            <w:tcBorders>
              <w:top w:val="single" w:color="auto" w:sz="8" w:space="0"/>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b/>
                <w:bCs/>
                <w:color w:val="auto"/>
                <w:w w:val="99"/>
                <w:sz w:val="24"/>
                <w:szCs w:val="24"/>
                <w:highlight w:val="none"/>
              </w:rPr>
              <w:t>原件/</w:t>
            </w:r>
          </w:p>
        </w:tc>
        <w:tc>
          <w:tcPr>
            <w:tcW w:w="440" w:type="dxa"/>
            <w:tcBorders>
              <w:top w:val="single" w:color="auto" w:sz="8" w:space="0"/>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b/>
                <w:bCs/>
                <w:color w:val="auto"/>
                <w:sz w:val="24"/>
                <w:szCs w:val="24"/>
                <w:highlight w:val="none"/>
              </w:rPr>
              <w:t>份</w:t>
            </w:r>
          </w:p>
        </w:tc>
        <w:tc>
          <w:tcPr>
            <w:tcW w:w="840" w:type="dxa"/>
            <w:tcBorders>
              <w:top w:val="single" w:color="auto" w:sz="8" w:space="0"/>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b/>
                <w:bCs/>
                <w:color w:val="auto"/>
                <w:w w:val="99"/>
                <w:sz w:val="24"/>
                <w:szCs w:val="24"/>
                <w:highlight w:val="none"/>
              </w:rPr>
              <w:t>纸质/</w:t>
            </w:r>
          </w:p>
        </w:tc>
        <w:tc>
          <w:tcPr>
            <w:tcW w:w="420" w:type="dxa"/>
            <w:tcBorders>
              <w:top w:val="single" w:color="auto" w:sz="8" w:space="0"/>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b/>
                <w:bCs/>
                <w:color w:val="auto"/>
                <w:sz w:val="24"/>
                <w:szCs w:val="24"/>
                <w:highlight w:val="none"/>
              </w:rPr>
              <w:t>要</w:t>
            </w:r>
          </w:p>
        </w:tc>
        <w:tc>
          <w:tcPr>
            <w:tcW w:w="4180" w:type="dxa"/>
            <w:vMerge w:val="restart"/>
            <w:tcBorders>
              <w:top w:val="single" w:color="auto" w:sz="8" w:space="0"/>
              <w:right w:val="single" w:color="auto" w:sz="8" w:space="0"/>
            </w:tcBorders>
            <w:vAlign w:val="bottom"/>
          </w:tcPr>
          <w:p>
            <w:pPr>
              <w:spacing w:after="0" w:line="274" w:lineRule="exact"/>
              <w:ind w:left="1840"/>
              <w:rPr>
                <w:color w:val="auto"/>
                <w:sz w:val="20"/>
                <w:szCs w:val="20"/>
                <w:highlight w:val="none"/>
              </w:rPr>
            </w:pPr>
            <w:r>
              <w:rPr>
                <w:rFonts w:ascii="仿宋" w:hAnsi="仿宋" w:eastAsia="仿宋" w:cs="仿宋"/>
                <w:b/>
                <w:bCs/>
                <w:color w:val="auto"/>
                <w:sz w:val="24"/>
                <w:szCs w:val="24"/>
                <w:highlight w:val="none"/>
              </w:rPr>
              <w:t>备注</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20" w:type="dxa"/>
            <w:vMerge w:val="restart"/>
            <w:tcBorders>
              <w:left w:val="single" w:color="auto" w:sz="8" w:space="0"/>
              <w:right w:val="single" w:color="auto" w:sz="8" w:space="0"/>
            </w:tcBorders>
            <w:vAlign w:val="bottom"/>
          </w:tcPr>
          <w:p>
            <w:pPr>
              <w:spacing w:after="0" w:line="274" w:lineRule="exact"/>
              <w:ind w:left="120"/>
              <w:rPr>
                <w:color w:val="auto"/>
                <w:sz w:val="20"/>
                <w:szCs w:val="20"/>
                <w:highlight w:val="none"/>
              </w:rPr>
            </w:pPr>
            <w:r>
              <w:rPr>
                <w:rFonts w:ascii="仿宋" w:hAnsi="仿宋" w:eastAsia="仿宋" w:cs="仿宋"/>
                <w:b/>
                <w:bCs/>
                <w:color w:val="auto"/>
                <w:sz w:val="24"/>
                <w:szCs w:val="24"/>
                <w:highlight w:val="none"/>
              </w:rPr>
              <w:t>号</w:t>
            </w:r>
          </w:p>
        </w:tc>
        <w:tc>
          <w:tcPr>
            <w:tcW w:w="1140" w:type="dxa"/>
            <w:vMerge w:val="restart"/>
            <w:tcBorders>
              <w:right w:val="single" w:color="auto" w:sz="8" w:space="0"/>
            </w:tcBorders>
            <w:vAlign w:val="bottom"/>
          </w:tcPr>
          <w:p>
            <w:pPr>
              <w:spacing w:after="0" w:line="274" w:lineRule="exact"/>
              <w:ind w:left="200"/>
              <w:rPr>
                <w:color w:val="auto"/>
                <w:sz w:val="20"/>
                <w:szCs w:val="20"/>
                <w:highlight w:val="none"/>
              </w:rPr>
            </w:pPr>
            <w:r>
              <w:rPr>
                <w:rFonts w:ascii="仿宋" w:hAnsi="仿宋" w:eastAsia="仿宋" w:cs="仿宋"/>
                <w:b/>
                <w:bCs/>
                <w:color w:val="auto"/>
                <w:sz w:val="24"/>
                <w:szCs w:val="24"/>
                <w:highlight w:val="none"/>
              </w:rPr>
              <w:t>料名称</w:t>
            </w:r>
          </w:p>
        </w:tc>
        <w:tc>
          <w:tcPr>
            <w:tcW w:w="980" w:type="dxa"/>
            <w:vMerge w:val="restart"/>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b/>
                <w:bCs/>
                <w:color w:val="auto"/>
                <w:w w:val="99"/>
                <w:sz w:val="24"/>
                <w:szCs w:val="24"/>
                <w:highlight w:val="none"/>
              </w:rPr>
              <w:t>复印件</w:t>
            </w:r>
          </w:p>
        </w:tc>
        <w:tc>
          <w:tcPr>
            <w:tcW w:w="44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b/>
                <w:bCs/>
                <w:color w:val="auto"/>
                <w:sz w:val="24"/>
                <w:szCs w:val="24"/>
                <w:highlight w:val="none"/>
              </w:rPr>
              <w:t>数</w:t>
            </w:r>
          </w:p>
        </w:tc>
        <w:tc>
          <w:tcPr>
            <w:tcW w:w="840" w:type="dxa"/>
            <w:vMerge w:val="restart"/>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b/>
                <w:bCs/>
                <w:color w:val="auto"/>
                <w:w w:val="99"/>
                <w:sz w:val="24"/>
                <w:szCs w:val="24"/>
                <w:highlight w:val="none"/>
              </w:rPr>
              <w:t>电子</w:t>
            </w:r>
          </w:p>
        </w:tc>
        <w:tc>
          <w:tcPr>
            <w:tcW w:w="42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b/>
                <w:bCs/>
                <w:color w:val="auto"/>
                <w:sz w:val="24"/>
                <w:szCs w:val="24"/>
                <w:highlight w:val="none"/>
              </w:rPr>
              <w:t>求</w:t>
            </w:r>
          </w:p>
        </w:tc>
        <w:tc>
          <w:tcPr>
            <w:tcW w:w="4180" w:type="dxa"/>
            <w:vMerge w:val="continue"/>
            <w:tcBorders>
              <w:right w:val="single" w:color="auto" w:sz="8" w:space="0"/>
            </w:tcBorders>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20" w:type="dxa"/>
            <w:vMerge w:val="continue"/>
            <w:tcBorders>
              <w:left w:val="single" w:color="auto" w:sz="8" w:space="0"/>
              <w:right w:val="single" w:color="auto" w:sz="8" w:space="0"/>
            </w:tcBorders>
            <w:vAlign w:val="bottom"/>
          </w:tcPr>
          <w:p>
            <w:pPr>
              <w:spacing w:after="0"/>
              <w:rPr>
                <w:color w:val="auto"/>
                <w:sz w:val="13"/>
                <w:szCs w:val="13"/>
                <w:highlight w:val="none"/>
              </w:rPr>
            </w:pPr>
          </w:p>
        </w:tc>
        <w:tc>
          <w:tcPr>
            <w:tcW w:w="1140" w:type="dxa"/>
            <w:vMerge w:val="continue"/>
            <w:tcBorders>
              <w:right w:val="single" w:color="auto" w:sz="8" w:space="0"/>
            </w:tcBorders>
            <w:vAlign w:val="bottom"/>
          </w:tcPr>
          <w:p>
            <w:pPr>
              <w:spacing w:after="0"/>
              <w:rPr>
                <w:color w:val="auto"/>
                <w:sz w:val="13"/>
                <w:szCs w:val="13"/>
                <w:highlight w:val="none"/>
              </w:rPr>
            </w:pPr>
          </w:p>
        </w:tc>
        <w:tc>
          <w:tcPr>
            <w:tcW w:w="980" w:type="dxa"/>
            <w:vMerge w:val="continue"/>
            <w:tcBorders>
              <w:right w:val="single" w:color="auto" w:sz="8" w:space="0"/>
            </w:tcBorders>
            <w:vAlign w:val="bottom"/>
          </w:tcPr>
          <w:p>
            <w:pPr>
              <w:spacing w:after="0"/>
              <w:rPr>
                <w:color w:val="auto"/>
                <w:sz w:val="13"/>
                <w:szCs w:val="13"/>
                <w:highlight w:val="none"/>
              </w:rPr>
            </w:pPr>
          </w:p>
        </w:tc>
        <w:tc>
          <w:tcPr>
            <w:tcW w:w="440" w:type="dxa"/>
            <w:vMerge w:val="continue"/>
            <w:tcBorders>
              <w:right w:val="single" w:color="auto" w:sz="8" w:space="0"/>
            </w:tcBorders>
            <w:vAlign w:val="bottom"/>
          </w:tcPr>
          <w:p>
            <w:pPr>
              <w:spacing w:after="0"/>
              <w:rPr>
                <w:color w:val="auto"/>
                <w:sz w:val="13"/>
                <w:szCs w:val="13"/>
                <w:highlight w:val="none"/>
              </w:rPr>
            </w:pPr>
          </w:p>
        </w:tc>
        <w:tc>
          <w:tcPr>
            <w:tcW w:w="840" w:type="dxa"/>
            <w:vMerge w:val="continue"/>
            <w:tcBorders>
              <w:right w:val="single" w:color="auto" w:sz="8" w:space="0"/>
            </w:tcBorders>
            <w:vAlign w:val="bottom"/>
          </w:tcPr>
          <w:p>
            <w:pPr>
              <w:spacing w:after="0"/>
              <w:rPr>
                <w:color w:val="auto"/>
                <w:sz w:val="13"/>
                <w:szCs w:val="13"/>
                <w:highlight w:val="none"/>
              </w:rPr>
            </w:pPr>
          </w:p>
        </w:tc>
        <w:tc>
          <w:tcPr>
            <w:tcW w:w="420" w:type="dxa"/>
            <w:vMerge w:val="continue"/>
            <w:tcBorders>
              <w:right w:val="single" w:color="auto" w:sz="8" w:space="0"/>
            </w:tcBorders>
            <w:vAlign w:val="bottom"/>
          </w:tcPr>
          <w:p>
            <w:pPr>
              <w:spacing w:after="0"/>
              <w:rPr>
                <w:color w:val="auto"/>
                <w:sz w:val="13"/>
                <w:szCs w:val="13"/>
                <w:highlight w:val="none"/>
              </w:rPr>
            </w:pPr>
          </w:p>
        </w:tc>
        <w:tc>
          <w:tcPr>
            <w:tcW w:w="4180" w:type="dxa"/>
            <w:tcBorders>
              <w:right w:val="single" w:color="auto" w:sz="8" w:space="0"/>
            </w:tcBorders>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 w:hRule="atLeast"/>
        </w:trPr>
        <w:tc>
          <w:tcPr>
            <w:tcW w:w="420" w:type="dxa"/>
            <w:tcBorders>
              <w:left w:val="single" w:color="auto" w:sz="8" w:space="0"/>
              <w:bottom w:val="single" w:color="auto" w:sz="8" w:space="0"/>
              <w:right w:val="single" w:color="auto" w:sz="8" w:space="0"/>
            </w:tcBorders>
            <w:vAlign w:val="bottom"/>
          </w:tcPr>
          <w:p>
            <w:pPr>
              <w:spacing w:after="0"/>
              <w:rPr>
                <w:color w:val="auto"/>
                <w:sz w:val="2"/>
                <w:szCs w:val="2"/>
                <w:highlight w:val="none"/>
              </w:rPr>
            </w:pPr>
          </w:p>
        </w:tc>
        <w:tc>
          <w:tcPr>
            <w:tcW w:w="1140" w:type="dxa"/>
            <w:tcBorders>
              <w:bottom w:val="single" w:color="auto" w:sz="8" w:space="0"/>
              <w:right w:val="single" w:color="auto" w:sz="8" w:space="0"/>
            </w:tcBorders>
            <w:vAlign w:val="bottom"/>
          </w:tcPr>
          <w:p>
            <w:pPr>
              <w:spacing w:after="0"/>
              <w:rPr>
                <w:color w:val="auto"/>
                <w:sz w:val="2"/>
                <w:szCs w:val="2"/>
                <w:highlight w:val="none"/>
              </w:rPr>
            </w:pPr>
          </w:p>
        </w:tc>
        <w:tc>
          <w:tcPr>
            <w:tcW w:w="980" w:type="dxa"/>
            <w:tcBorders>
              <w:bottom w:val="single" w:color="auto" w:sz="8" w:space="0"/>
              <w:right w:val="single" w:color="auto" w:sz="8" w:space="0"/>
            </w:tcBorders>
            <w:vAlign w:val="bottom"/>
          </w:tcPr>
          <w:p>
            <w:pPr>
              <w:spacing w:after="0"/>
              <w:rPr>
                <w:color w:val="auto"/>
                <w:sz w:val="2"/>
                <w:szCs w:val="2"/>
                <w:highlight w:val="none"/>
              </w:rPr>
            </w:pPr>
          </w:p>
        </w:tc>
        <w:tc>
          <w:tcPr>
            <w:tcW w:w="440" w:type="dxa"/>
            <w:tcBorders>
              <w:bottom w:val="single" w:color="auto" w:sz="8" w:space="0"/>
              <w:right w:val="single" w:color="auto" w:sz="8" w:space="0"/>
            </w:tcBorders>
            <w:vAlign w:val="bottom"/>
          </w:tcPr>
          <w:p>
            <w:pPr>
              <w:spacing w:after="0"/>
              <w:rPr>
                <w:color w:val="auto"/>
                <w:sz w:val="2"/>
                <w:szCs w:val="2"/>
                <w:highlight w:val="none"/>
              </w:rPr>
            </w:pPr>
          </w:p>
        </w:tc>
        <w:tc>
          <w:tcPr>
            <w:tcW w:w="840" w:type="dxa"/>
            <w:tcBorders>
              <w:bottom w:val="single" w:color="auto" w:sz="8" w:space="0"/>
              <w:right w:val="single" w:color="auto" w:sz="8" w:space="0"/>
            </w:tcBorders>
            <w:vAlign w:val="bottom"/>
          </w:tcPr>
          <w:p>
            <w:pPr>
              <w:spacing w:after="0"/>
              <w:rPr>
                <w:color w:val="auto"/>
                <w:sz w:val="2"/>
                <w:szCs w:val="2"/>
                <w:highlight w:val="none"/>
              </w:rPr>
            </w:pPr>
          </w:p>
        </w:tc>
        <w:tc>
          <w:tcPr>
            <w:tcW w:w="420" w:type="dxa"/>
            <w:tcBorders>
              <w:bottom w:val="single" w:color="auto" w:sz="8" w:space="0"/>
              <w:right w:val="single" w:color="auto" w:sz="8" w:space="0"/>
            </w:tcBorders>
            <w:vAlign w:val="bottom"/>
          </w:tcPr>
          <w:p>
            <w:pPr>
              <w:spacing w:after="0"/>
              <w:rPr>
                <w:color w:val="auto"/>
                <w:sz w:val="2"/>
                <w:szCs w:val="2"/>
                <w:highlight w:val="none"/>
              </w:rPr>
            </w:pPr>
          </w:p>
        </w:tc>
        <w:tc>
          <w:tcPr>
            <w:tcW w:w="4180" w:type="dxa"/>
            <w:tcBorders>
              <w:bottom w:val="single" w:color="auto" w:sz="8" w:space="0"/>
              <w:right w:val="single" w:color="auto" w:sz="8" w:space="0"/>
            </w:tcBorders>
            <w:vAlign w:val="bottom"/>
          </w:tcPr>
          <w:p>
            <w:pPr>
              <w:spacing w:after="0"/>
              <w:rPr>
                <w:color w:val="auto"/>
                <w:sz w:val="2"/>
                <w:szCs w:val="2"/>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trPr>
        <w:tc>
          <w:tcPr>
            <w:tcW w:w="420" w:type="dxa"/>
            <w:tcBorders>
              <w:left w:val="single" w:color="auto" w:sz="8" w:space="0"/>
              <w:right w:val="single" w:color="auto" w:sz="8" w:space="0"/>
            </w:tcBorders>
            <w:vAlign w:val="bottom"/>
          </w:tcPr>
          <w:p>
            <w:pPr>
              <w:spacing w:after="0"/>
              <w:rPr>
                <w:color w:val="auto"/>
                <w:sz w:val="23"/>
                <w:szCs w:val="23"/>
                <w:highlight w:val="none"/>
              </w:rPr>
            </w:pPr>
          </w:p>
        </w:tc>
        <w:tc>
          <w:tcPr>
            <w:tcW w:w="1140" w:type="dxa"/>
            <w:tcBorders>
              <w:right w:val="single" w:color="auto" w:sz="8" w:space="0"/>
            </w:tcBorders>
            <w:vAlign w:val="bottom"/>
          </w:tcPr>
          <w:p>
            <w:pPr>
              <w:spacing w:after="0"/>
              <w:rPr>
                <w:color w:val="auto"/>
                <w:sz w:val="23"/>
                <w:szCs w:val="23"/>
                <w:highlight w:val="none"/>
              </w:rPr>
            </w:pPr>
          </w:p>
        </w:tc>
        <w:tc>
          <w:tcPr>
            <w:tcW w:w="980" w:type="dxa"/>
            <w:tcBorders>
              <w:right w:val="single" w:color="auto" w:sz="8" w:space="0"/>
            </w:tcBorders>
            <w:vAlign w:val="bottom"/>
          </w:tcPr>
          <w:p>
            <w:pPr>
              <w:spacing w:after="0"/>
              <w:rPr>
                <w:color w:val="auto"/>
                <w:sz w:val="23"/>
                <w:szCs w:val="23"/>
                <w:highlight w:val="none"/>
              </w:rPr>
            </w:pPr>
          </w:p>
        </w:tc>
        <w:tc>
          <w:tcPr>
            <w:tcW w:w="440" w:type="dxa"/>
            <w:tcBorders>
              <w:right w:val="single" w:color="auto" w:sz="8" w:space="0"/>
            </w:tcBorders>
            <w:vAlign w:val="bottom"/>
          </w:tcPr>
          <w:p>
            <w:pPr>
              <w:spacing w:after="0"/>
              <w:rPr>
                <w:color w:val="auto"/>
                <w:sz w:val="23"/>
                <w:szCs w:val="23"/>
                <w:highlight w:val="none"/>
              </w:rPr>
            </w:pPr>
          </w:p>
        </w:tc>
        <w:tc>
          <w:tcPr>
            <w:tcW w:w="840" w:type="dxa"/>
            <w:tcBorders>
              <w:right w:val="single" w:color="auto" w:sz="8" w:space="0"/>
            </w:tcBorders>
            <w:vAlign w:val="bottom"/>
          </w:tcPr>
          <w:p>
            <w:pPr>
              <w:spacing w:after="0"/>
              <w:rPr>
                <w:color w:val="auto"/>
                <w:sz w:val="23"/>
                <w:szCs w:val="23"/>
                <w:highlight w:val="none"/>
              </w:rPr>
            </w:pPr>
          </w:p>
        </w:tc>
        <w:tc>
          <w:tcPr>
            <w:tcW w:w="420" w:type="dxa"/>
            <w:tcBorders>
              <w:right w:val="single" w:color="auto" w:sz="8" w:space="0"/>
            </w:tcBorders>
            <w:vAlign w:val="bottom"/>
          </w:tcPr>
          <w:p>
            <w:pPr>
              <w:spacing w:after="0"/>
              <w:rPr>
                <w:color w:val="auto"/>
                <w:sz w:val="23"/>
                <w:szCs w:val="23"/>
                <w:highlight w:val="none"/>
              </w:rPr>
            </w:pPr>
          </w:p>
        </w:tc>
        <w:tc>
          <w:tcPr>
            <w:tcW w:w="4180" w:type="dxa"/>
            <w:tcBorders>
              <w:right w:val="single" w:color="auto" w:sz="8" w:space="0"/>
            </w:tcBorders>
            <w:vAlign w:val="bottom"/>
          </w:tcPr>
          <w:p>
            <w:pPr>
              <w:spacing w:after="0" w:line="272" w:lineRule="exact"/>
              <w:ind w:left="100"/>
              <w:rPr>
                <w:color w:val="auto"/>
                <w:sz w:val="20"/>
                <w:szCs w:val="20"/>
                <w:highlight w:val="none"/>
              </w:rPr>
            </w:pPr>
            <w:r>
              <w:rPr>
                <w:rFonts w:ascii="仿宋" w:hAnsi="仿宋" w:eastAsia="仿宋" w:cs="仿宋"/>
                <w:color w:val="auto"/>
                <w:w w:val="99"/>
                <w:sz w:val="24"/>
                <w:szCs w:val="24"/>
                <w:highlight w:val="none"/>
              </w:rPr>
              <w:t>原《携带外汇出境许可证》由外汇局签</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原申请</w:t>
            </w:r>
          </w:p>
        </w:tc>
        <w:tc>
          <w:tcPr>
            <w:tcW w:w="980" w:type="dxa"/>
            <w:vMerge w:val="restart"/>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原件和</w:t>
            </w:r>
          </w:p>
        </w:tc>
        <w:tc>
          <w:tcPr>
            <w:tcW w:w="440" w:type="dxa"/>
            <w:tcBorders>
              <w:right w:val="single" w:color="auto" w:sz="8" w:space="0"/>
            </w:tcBorders>
            <w:vAlign w:val="bottom"/>
          </w:tcPr>
          <w:p>
            <w:pPr>
              <w:spacing w:after="0"/>
              <w:rPr>
                <w:color w:val="auto"/>
                <w:sz w:val="24"/>
                <w:szCs w:val="24"/>
                <w:highlight w:val="none"/>
              </w:rPr>
            </w:pP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发的，按此材料提交外汇局。</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20" w:type="dxa"/>
            <w:tcBorders>
              <w:left w:val="single" w:color="auto" w:sz="8" w:space="0"/>
              <w:right w:val="single" w:color="auto" w:sz="8" w:space="0"/>
            </w:tcBorders>
            <w:vAlign w:val="bottom"/>
          </w:tcPr>
          <w:p>
            <w:pPr>
              <w:spacing w:after="0"/>
              <w:rPr>
                <w:color w:val="auto"/>
                <w:sz w:val="13"/>
                <w:szCs w:val="13"/>
                <w:highlight w:val="none"/>
              </w:rPr>
            </w:pPr>
          </w:p>
        </w:tc>
        <w:tc>
          <w:tcPr>
            <w:tcW w:w="1140" w:type="dxa"/>
            <w:vMerge w:val="continue"/>
            <w:tcBorders>
              <w:right w:val="single" w:color="auto" w:sz="8" w:space="0"/>
            </w:tcBorders>
            <w:vAlign w:val="bottom"/>
          </w:tcPr>
          <w:p>
            <w:pPr>
              <w:spacing w:after="0"/>
              <w:rPr>
                <w:color w:val="auto"/>
                <w:sz w:val="13"/>
                <w:szCs w:val="13"/>
                <w:highlight w:val="none"/>
              </w:rPr>
            </w:pPr>
          </w:p>
        </w:tc>
        <w:tc>
          <w:tcPr>
            <w:tcW w:w="980" w:type="dxa"/>
            <w:vMerge w:val="continue"/>
            <w:tcBorders>
              <w:right w:val="single" w:color="auto" w:sz="8" w:space="0"/>
            </w:tcBorders>
            <w:vAlign w:val="bottom"/>
          </w:tcPr>
          <w:p>
            <w:pPr>
              <w:spacing w:after="0"/>
              <w:rPr>
                <w:color w:val="auto"/>
                <w:sz w:val="13"/>
                <w:szCs w:val="13"/>
                <w:highlight w:val="none"/>
              </w:rPr>
            </w:pPr>
          </w:p>
        </w:tc>
        <w:tc>
          <w:tcPr>
            <w:tcW w:w="440" w:type="dxa"/>
            <w:tcBorders>
              <w:right w:val="single" w:color="auto" w:sz="8" w:space="0"/>
            </w:tcBorders>
            <w:vAlign w:val="bottom"/>
          </w:tcPr>
          <w:p>
            <w:pPr>
              <w:spacing w:after="0"/>
              <w:rPr>
                <w:color w:val="auto"/>
                <w:sz w:val="13"/>
                <w:szCs w:val="13"/>
                <w:highlight w:val="none"/>
              </w:rPr>
            </w:pPr>
          </w:p>
        </w:tc>
        <w:tc>
          <w:tcPr>
            <w:tcW w:w="840" w:type="dxa"/>
            <w:tcBorders>
              <w:right w:val="single" w:color="auto" w:sz="8" w:space="0"/>
            </w:tcBorders>
            <w:vAlign w:val="bottom"/>
          </w:tcPr>
          <w:p>
            <w:pPr>
              <w:spacing w:after="0"/>
              <w:rPr>
                <w:color w:val="auto"/>
                <w:sz w:val="13"/>
                <w:szCs w:val="13"/>
                <w:highlight w:val="none"/>
              </w:rPr>
            </w:pPr>
          </w:p>
        </w:tc>
        <w:tc>
          <w:tcPr>
            <w:tcW w:w="420" w:type="dxa"/>
            <w:tcBorders>
              <w:right w:val="single" w:color="auto" w:sz="8" w:space="0"/>
            </w:tcBorders>
            <w:vAlign w:val="bottom"/>
          </w:tcPr>
          <w:p>
            <w:pPr>
              <w:spacing w:after="0"/>
              <w:rPr>
                <w:color w:val="auto"/>
                <w:sz w:val="13"/>
                <w:szCs w:val="13"/>
                <w:highlight w:val="none"/>
              </w:rPr>
            </w:pPr>
          </w:p>
        </w:tc>
        <w:tc>
          <w:tcPr>
            <w:tcW w:w="4180" w:type="dxa"/>
            <w:tcBorders>
              <w:right w:val="single" w:color="auto" w:sz="8" w:space="0"/>
            </w:tcBorders>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办理《携</w:t>
            </w:r>
          </w:p>
        </w:tc>
        <w:tc>
          <w:tcPr>
            <w:tcW w:w="980" w:type="dxa"/>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加盖企</w:t>
            </w:r>
          </w:p>
        </w:tc>
        <w:tc>
          <w:tcPr>
            <w:tcW w:w="440" w:type="dxa"/>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各</w:t>
            </w: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9"/>
                <w:sz w:val="24"/>
                <w:szCs w:val="24"/>
                <w:highlight w:val="none"/>
              </w:rPr>
              <w:t>原《携带外汇出境许可证》由外汇局签</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20" w:type="dxa"/>
            <w:vMerge w:val="restart"/>
            <w:tcBorders>
              <w:left w:val="single" w:color="auto" w:sz="8" w:space="0"/>
              <w:right w:val="single" w:color="auto" w:sz="8" w:space="0"/>
            </w:tcBorders>
            <w:vAlign w:val="bottom"/>
          </w:tcPr>
          <w:p>
            <w:pPr>
              <w:spacing w:after="0" w:line="274" w:lineRule="exact"/>
              <w:ind w:left="140"/>
              <w:rPr>
                <w:color w:val="auto"/>
                <w:sz w:val="20"/>
                <w:szCs w:val="20"/>
                <w:highlight w:val="none"/>
              </w:rPr>
            </w:pPr>
            <w:r>
              <w:rPr>
                <w:rFonts w:ascii="仿宋" w:hAnsi="仿宋" w:eastAsia="仿宋" w:cs="仿宋"/>
                <w:color w:val="auto"/>
                <w:sz w:val="24"/>
                <w:szCs w:val="24"/>
                <w:highlight w:val="none"/>
              </w:rPr>
              <w:t>1</w:t>
            </w:r>
          </w:p>
        </w:tc>
        <w:tc>
          <w:tcPr>
            <w:tcW w:w="114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带证》时</w:t>
            </w:r>
          </w:p>
        </w:tc>
        <w:tc>
          <w:tcPr>
            <w:tcW w:w="980" w:type="dxa"/>
            <w:vMerge w:val="restart"/>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业公章</w:t>
            </w:r>
          </w:p>
        </w:tc>
        <w:tc>
          <w:tcPr>
            <w:tcW w:w="440" w:type="dxa"/>
            <w:vMerge w:val="restart"/>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1</w:t>
            </w:r>
          </w:p>
        </w:tc>
        <w:tc>
          <w:tcPr>
            <w:tcW w:w="840" w:type="dxa"/>
            <w:vMerge w:val="restart"/>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纸质</w:t>
            </w:r>
          </w:p>
        </w:tc>
        <w:tc>
          <w:tcPr>
            <w:tcW w:w="420" w:type="dxa"/>
            <w:tcBorders>
              <w:right w:val="single" w:color="auto" w:sz="8" w:space="0"/>
            </w:tcBorders>
            <w:vAlign w:val="bottom"/>
          </w:tcPr>
          <w:p>
            <w:pPr>
              <w:spacing w:after="0"/>
              <w:rPr>
                <w:color w:val="auto"/>
                <w:sz w:val="13"/>
                <w:szCs w:val="13"/>
                <w:highlight w:val="none"/>
              </w:rPr>
            </w:pPr>
          </w:p>
        </w:tc>
        <w:tc>
          <w:tcPr>
            <w:tcW w:w="4180" w:type="dxa"/>
            <w:vMerge w:val="continue"/>
            <w:tcBorders>
              <w:right w:val="single" w:color="auto" w:sz="8" w:space="0"/>
            </w:tcBorders>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20" w:type="dxa"/>
            <w:vMerge w:val="continue"/>
            <w:tcBorders>
              <w:left w:val="single" w:color="auto" w:sz="8" w:space="0"/>
              <w:right w:val="single" w:color="auto" w:sz="8" w:space="0"/>
            </w:tcBorders>
            <w:vAlign w:val="bottom"/>
          </w:tcPr>
          <w:p>
            <w:pPr>
              <w:spacing w:after="0"/>
              <w:rPr>
                <w:color w:val="auto"/>
                <w:sz w:val="13"/>
                <w:szCs w:val="13"/>
                <w:highlight w:val="none"/>
              </w:rPr>
            </w:pPr>
          </w:p>
        </w:tc>
        <w:tc>
          <w:tcPr>
            <w:tcW w:w="1140" w:type="dxa"/>
            <w:vMerge w:val="continue"/>
            <w:tcBorders>
              <w:right w:val="single" w:color="auto" w:sz="8" w:space="0"/>
            </w:tcBorders>
            <w:vAlign w:val="bottom"/>
          </w:tcPr>
          <w:p>
            <w:pPr>
              <w:spacing w:after="0"/>
              <w:rPr>
                <w:color w:val="auto"/>
                <w:sz w:val="13"/>
                <w:szCs w:val="13"/>
                <w:highlight w:val="none"/>
              </w:rPr>
            </w:pPr>
          </w:p>
        </w:tc>
        <w:tc>
          <w:tcPr>
            <w:tcW w:w="980" w:type="dxa"/>
            <w:vMerge w:val="continue"/>
            <w:tcBorders>
              <w:right w:val="single" w:color="auto" w:sz="8" w:space="0"/>
            </w:tcBorders>
            <w:vAlign w:val="bottom"/>
          </w:tcPr>
          <w:p>
            <w:pPr>
              <w:spacing w:after="0"/>
              <w:rPr>
                <w:color w:val="auto"/>
                <w:sz w:val="13"/>
                <w:szCs w:val="13"/>
                <w:highlight w:val="none"/>
              </w:rPr>
            </w:pPr>
          </w:p>
        </w:tc>
        <w:tc>
          <w:tcPr>
            <w:tcW w:w="440" w:type="dxa"/>
            <w:vMerge w:val="continue"/>
            <w:tcBorders>
              <w:right w:val="single" w:color="auto" w:sz="8" w:space="0"/>
            </w:tcBorders>
            <w:vAlign w:val="bottom"/>
          </w:tcPr>
          <w:p>
            <w:pPr>
              <w:spacing w:after="0"/>
              <w:rPr>
                <w:color w:val="auto"/>
                <w:sz w:val="13"/>
                <w:szCs w:val="13"/>
                <w:highlight w:val="none"/>
              </w:rPr>
            </w:pPr>
          </w:p>
        </w:tc>
        <w:tc>
          <w:tcPr>
            <w:tcW w:w="840" w:type="dxa"/>
            <w:vMerge w:val="continue"/>
            <w:tcBorders>
              <w:right w:val="single" w:color="auto" w:sz="8" w:space="0"/>
            </w:tcBorders>
            <w:vAlign w:val="bottom"/>
          </w:tcPr>
          <w:p>
            <w:pPr>
              <w:spacing w:after="0"/>
              <w:rPr>
                <w:color w:val="auto"/>
                <w:sz w:val="13"/>
                <w:szCs w:val="13"/>
                <w:highlight w:val="none"/>
              </w:rPr>
            </w:pPr>
          </w:p>
        </w:tc>
        <w:tc>
          <w:tcPr>
            <w:tcW w:w="420" w:type="dxa"/>
            <w:tcBorders>
              <w:right w:val="single" w:color="auto" w:sz="8" w:space="0"/>
            </w:tcBorders>
            <w:vAlign w:val="bottom"/>
          </w:tcPr>
          <w:p>
            <w:pPr>
              <w:spacing w:after="0"/>
              <w:rPr>
                <w:color w:val="auto"/>
                <w:sz w:val="13"/>
                <w:szCs w:val="13"/>
                <w:highlight w:val="none"/>
              </w:rPr>
            </w:pPr>
          </w:p>
        </w:tc>
        <w:tc>
          <w:tcPr>
            <w:tcW w:w="418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9"/>
                <w:sz w:val="24"/>
                <w:szCs w:val="24"/>
                <w:highlight w:val="none"/>
              </w:rPr>
              <w:t>发的，外汇局审核提供的材料和原留存</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20" w:type="dxa"/>
            <w:tcBorders>
              <w:left w:val="single" w:color="auto" w:sz="8" w:space="0"/>
              <w:right w:val="single" w:color="auto" w:sz="8" w:space="0"/>
            </w:tcBorders>
            <w:vAlign w:val="bottom"/>
          </w:tcPr>
          <w:p>
            <w:pPr>
              <w:spacing w:after="0"/>
              <w:rPr>
                <w:color w:val="auto"/>
                <w:sz w:val="13"/>
                <w:szCs w:val="13"/>
                <w:highlight w:val="none"/>
              </w:rPr>
            </w:pPr>
          </w:p>
        </w:tc>
        <w:tc>
          <w:tcPr>
            <w:tcW w:w="114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出示的</w:t>
            </w:r>
          </w:p>
        </w:tc>
        <w:tc>
          <w:tcPr>
            <w:tcW w:w="980" w:type="dxa"/>
            <w:vMerge w:val="restart"/>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的复印</w:t>
            </w:r>
          </w:p>
        </w:tc>
        <w:tc>
          <w:tcPr>
            <w:tcW w:w="44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份</w:t>
            </w:r>
          </w:p>
        </w:tc>
        <w:tc>
          <w:tcPr>
            <w:tcW w:w="840" w:type="dxa"/>
            <w:tcBorders>
              <w:right w:val="single" w:color="auto" w:sz="8" w:space="0"/>
            </w:tcBorders>
            <w:vAlign w:val="bottom"/>
          </w:tcPr>
          <w:p>
            <w:pPr>
              <w:spacing w:after="0"/>
              <w:rPr>
                <w:color w:val="auto"/>
                <w:sz w:val="13"/>
                <w:szCs w:val="13"/>
                <w:highlight w:val="none"/>
              </w:rPr>
            </w:pPr>
          </w:p>
        </w:tc>
        <w:tc>
          <w:tcPr>
            <w:tcW w:w="420" w:type="dxa"/>
            <w:tcBorders>
              <w:right w:val="single" w:color="auto" w:sz="8" w:space="0"/>
            </w:tcBorders>
            <w:vAlign w:val="bottom"/>
          </w:tcPr>
          <w:p>
            <w:pPr>
              <w:spacing w:after="0"/>
              <w:rPr>
                <w:color w:val="auto"/>
                <w:sz w:val="13"/>
                <w:szCs w:val="13"/>
                <w:highlight w:val="none"/>
              </w:rPr>
            </w:pPr>
          </w:p>
        </w:tc>
        <w:tc>
          <w:tcPr>
            <w:tcW w:w="4180" w:type="dxa"/>
            <w:vMerge w:val="continue"/>
            <w:tcBorders>
              <w:right w:val="single" w:color="auto" w:sz="8" w:space="0"/>
            </w:tcBorders>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20" w:type="dxa"/>
            <w:tcBorders>
              <w:left w:val="single" w:color="auto" w:sz="8" w:space="0"/>
              <w:right w:val="single" w:color="auto" w:sz="8" w:space="0"/>
            </w:tcBorders>
            <w:vAlign w:val="bottom"/>
          </w:tcPr>
          <w:p>
            <w:pPr>
              <w:spacing w:after="0"/>
              <w:rPr>
                <w:color w:val="auto"/>
                <w:sz w:val="13"/>
                <w:szCs w:val="13"/>
                <w:highlight w:val="none"/>
              </w:rPr>
            </w:pPr>
          </w:p>
        </w:tc>
        <w:tc>
          <w:tcPr>
            <w:tcW w:w="1140" w:type="dxa"/>
            <w:vMerge w:val="continue"/>
            <w:tcBorders>
              <w:right w:val="single" w:color="auto" w:sz="8" w:space="0"/>
            </w:tcBorders>
            <w:vAlign w:val="bottom"/>
          </w:tcPr>
          <w:p>
            <w:pPr>
              <w:spacing w:after="0"/>
              <w:rPr>
                <w:color w:val="auto"/>
                <w:sz w:val="13"/>
                <w:szCs w:val="13"/>
                <w:highlight w:val="none"/>
              </w:rPr>
            </w:pPr>
          </w:p>
        </w:tc>
        <w:tc>
          <w:tcPr>
            <w:tcW w:w="980" w:type="dxa"/>
            <w:vMerge w:val="continue"/>
            <w:tcBorders>
              <w:right w:val="single" w:color="auto" w:sz="8" w:space="0"/>
            </w:tcBorders>
            <w:vAlign w:val="bottom"/>
          </w:tcPr>
          <w:p>
            <w:pPr>
              <w:spacing w:after="0"/>
              <w:rPr>
                <w:color w:val="auto"/>
                <w:sz w:val="13"/>
                <w:szCs w:val="13"/>
                <w:highlight w:val="none"/>
              </w:rPr>
            </w:pPr>
          </w:p>
        </w:tc>
        <w:tc>
          <w:tcPr>
            <w:tcW w:w="440" w:type="dxa"/>
            <w:vMerge w:val="continue"/>
            <w:tcBorders>
              <w:right w:val="single" w:color="auto" w:sz="8" w:space="0"/>
            </w:tcBorders>
            <w:vAlign w:val="bottom"/>
          </w:tcPr>
          <w:p>
            <w:pPr>
              <w:spacing w:after="0"/>
              <w:rPr>
                <w:color w:val="auto"/>
                <w:sz w:val="13"/>
                <w:szCs w:val="13"/>
                <w:highlight w:val="none"/>
              </w:rPr>
            </w:pPr>
          </w:p>
        </w:tc>
        <w:tc>
          <w:tcPr>
            <w:tcW w:w="840" w:type="dxa"/>
            <w:tcBorders>
              <w:right w:val="single" w:color="auto" w:sz="8" w:space="0"/>
            </w:tcBorders>
            <w:vAlign w:val="bottom"/>
          </w:tcPr>
          <w:p>
            <w:pPr>
              <w:spacing w:after="0"/>
              <w:rPr>
                <w:color w:val="auto"/>
                <w:sz w:val="13"/>
                <w:szCs w:val="13"/>
                <w:highlight w:val="none"/>
              </w:rPr>
            </w:pPr>
          </w:p>
        </w:tc>
        <w:tc>
          <w:tcPr>
            <w:tcW w:w="420" w:type="dxa"/>
            <w:tcBorders>
              <w:right w:val="single" w:color="auto" w:sz="8" w:space="0"/>
            </w:tcBorders>
            <w:vAlign w:val="bottom"/>
          </w:tcPr>
          <w:p>
            <w:pPr>
              <w:spacing w:after="0"/>
              <w:rPr>
                <w:color w:val="auto"/>
                <w:sz w:val="13"/>
                <w:szCs w:val="13"/>
                <w:highlight w:val="none"/>
              </w:rPr>
            </w:pPr>
          </w:p>
        </w:tc>
        <w:tc>
          <w:tcPr>
            <w:tcW w:w="418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9"/>
                <w:sz w:val="24"/>
                <w:szCs w:val="24"/>
                <w:highlight w:val="none"/>
              </w:rPr>
              <w:t>的材料无误后，为其补办，并在补办的</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20" w:type="dxa"/>
            <w:tcBorders>
              <w:left w:val="single" w:color="auto" w:sz="8" w:space="0"/>
              <w:right w:val="single" w:color="auto" w:sz="8" w:space="0"/>
            </w:tcBorders>
            <w:vAlign w:val="bottom"/>
          </w:tcPr>
          <w:p>
            <w:pPr>
              <w:spacing w:after="0"/>
              <w:rPr>
                <w:color w:val="auto"/>
                <w:sz w:val="13"/>
                <w:szCs w:val="13"/>
                <w:highlight w:val="none"/>
              </w:rPr>
            </w:pPr>
          </w:p>
        </w:tc>
        <w:tc>
          <w:tcPr>
            <w:tcW w:w="114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材料</w:t>
            </w:r>
          </w:p>
        </w:tc>
        <w:tc>
          <w:tcPr>
            <w:tcW w:w="980" w:type="dxa"/>
            <w:vMerge w:val="restart"/>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件</w:t>
            </w:r>
          </w:p>
        </w:tc>
        <w:tc>
          <w:tcPr>
            <w:tcW w:w="440" w:type="dxa"/>
            <w:tcBorders>
              <w:right w:val="single" w:color="auto" w:sz="8" w:space="0"/>
            </w:tcBorders>
            <w:vAlign w:val="bottom"/>
          </w:tcPr>
          <w:p>
            <w:pPr>
              <w:spacing w:after="0"/>
              <w:rPr>
                <w:color w:val="auto"/>
                <w:sz w:val="13"/>
                <w:szCs w:val="13"/>
                <w:highlight w:val="none"/>
              </w:rPr>
            </w:pPr>
          </w:p>
        </w:tc>
        <w:tc>
          <w:tcPr>
            <w:tcW w:w="840" w:type="dxa"/>
            <w:tcBorders>
              <w:right w:val="single" w:color="auto" w:sz="8" w:space="0"/>
            </w:tcBorders>
            <w:vAlign w:val="bottom"/>
          </w:tcPr>
          <w:p>
            <w:pPr>
              <w:spacing w:after="0"/>
              <w:rPr>
                <w:color w:val="auto"/>
                <w:sz w:val="13"/>
                <w:szCs w:val="13"/>
                <w:highlight w:val="none"/>
              </w:rPr>
            </w:pPr>
          </w:p>
        </w:tc>
        <w:tc>
          <w:tcPr>
            <w:tcW w:w="420" w:type="dxa"/>
            <w:tcBorders>
              <w:right w:val="single" w:color="auto" w:sz="8" w:space="0"/>
            </w:tcBorders>
            <w:vAlign w:val="bottom"/>
          </w:tcPr>
          <w:p>
            <w:pPr>
              <w:spacing w:after="0"/>
              <w:rPr>
                <w:color w:val="auto"/>
                <w:sz w:val="13"/>
                <w:szCs w:val="13"/>
                <w:highlight w:val="none"/>
              </w:rPr>
            </w:pPr>
          </w:p>
        </w:tc>
        <w:tc>
          <w:tcPr>
            <w:tcW w:w="4180" w:type="dxa"/>
            <w:vMerge w:val="continue"/>
            <w:tcBorders>
              <w:right w:val="single" w:color="auto" w:sz="8" w:space="0"/>
            </w:tcBorders>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20" w:type="dxa"/>
            <w:tcBorders>
              <w:left w:val="single" w:color="auto" w:sz="8" w:space="0"/>
              <w:right w:val="single" w:color="auto" w:sz="8" w:space="0"/>
            </w:tcBorders>
            <w:vAlign w:val="bottom"/>
          </w:tcPr>
          <w:p>
            <w:pPr>
              <w:spacing w:after="0"/>
              <w:rPr>
                <w:color w:val="auto"/>
                <w:sz w:val="13"/>
                <w:szCs w:val="13"/>
                <w:highlight w:val="none"/>
              </w:rPr>
            </w:pPr>
          </w:p>
        </w:tc>
        <w:tc>
          <w:tcPr>
            <w:tcW w:w="1140" w:type="dxa"/>
            <w:vMerge w:val="continue"/>
            <w:tcBorders>
              <w:right w:val="single" w:color="auto" w:sz="8" w:space="0"/>
            </w:tcBorders>
            <w:vAlign w:val="bottom"/>
          </w:tcPr>
          <w:p>
            <w:pPr>
              <w:spacing w:after="0"/>
              <w:rPr>
                <w:color w:val="auto"/>
                <w:sz w:val="13"/>
                <w:szCs w:val="13"/>
                <w:highlight w:val="none"/>
              </w:rPr>
            </w:pPr>
          </w:p>
        </w:tc>
        <w:tc>
          <w:tcPr>
            <w:tcW w:w="980" w:type="dxa"/>
            <w:vMerge w:val="continue"/>
            <w:tcBorders>
              <w:right w:val="single" w:color="auto" w:sz="8" w:space="0"/>
            </w:tcBorders>
            <w:vAlign w:val="bottom"/>
          </w:tcPr>
          <w:p>
            <w:pPr>
              <w:spacing w:after="0"/>
              <w:rPr>
                <w:color w:val="auto"/>
                <w:sz w:val="13"/>
                <w:szCs w:val="13"/>
                <w:highlight w:val="none"/>
              </w:rPr>
            </w:pPr>
          </w:p>
        </w:tc>
        <w:tc>
          <w:tcPr>
            <w:tcW w:w="440" w:type="dxa"/>
            <w:tcBorders>
              <w:right w:val="single" w:color="auto" w:sz="8" w:space="0"/>
            </w:tcBorders>
            <w:vAlign w:val="bottom"/>
          </w:tcPr>
          <w:p>
            <w:pPr>
              <w:spacing w:after="0"/>
              <w:rPr>
                <w:color w:val="auto"/>
                <w:sz w:val="13"/>
                <w:szCs w:val="13"/>
                <w:highlight w:val="none"/>
              </w:rPr>
            </w:pPr>
          </w:p>
        </w:tc>
        <w:tc>
          <w:tcPr>
            <w:tcW w:w="840" w:type="dxa"/>
            <w:tcBorders>
              <w:right w:val="single" w:color="auto" w:sz="8" w:space="0"/>
            </w:tcBorders>
            <w:vAlign w:val="bottom"/>
          </w:tcPr>
          <w:p>
            <w:pPr>
              <w:spacing w:after="0"/>
              <w:rPr>
                <w:color w:val="auto"/>
                <w:sz w:val="13"/>
                <w:szCs w:val="13"/>
                <w:highlight w:val="none"/>
              </w:rPr>
            </w:pPr>
          </w:p>
        </w:tc>
        <w:tc>
          <w:tcPr>
            <w:tcW w:w="420" w:type="dxa"/>
            <w:tcBorders>
              <w:right w:val="single" w:color="auto" w:sz="8" w:space="0"/>
            </w:tcBorders>
            <w:vAlign w:val="bottom"/>
          </w:tcPr>
          <w:p>
            <w:pPr>
              <w:spacing w:after="0"/>
              <w:rPr>
                <w:color w:val="auto"/>
                <w:sz w:val="13"/>
                <w:szCs w:val="13"/>
                <w:highlight w:val="none"/>
              </w:rPr>
            </w:pPr>
          </w:p>
        </w:tc>
        <w:tc>
          <w:tcPr>
            <w:tcW w:w="4180" w:type="dxa"/>
            <w:vMerge w:val="restart"/>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3"/>
                <w:sz w:val="24"/>
                <w:szCs w:val="24"/>
                <w:highlight w:val="none"/>
              </w:rPr>
              <w:t>《携带外汇出境许可证》上加注“补办”</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20" w:type="dxa"/>
            <w:tcBorders>
              <w:left w:val="single" w:color="auto" w:sz="8" w:space="0"/>
              <w:right w:val="single" w:color="auto" w:sz="8" w:space="0"/>
            </w:tcBorders>
            <w:vAlign w:val="bottom"/>
          </w:tcPr>
          <w:p>
            <w:pPr>
              <w:spacing w:after="0"/>
              <w:rPr>
                <w:color w:val="auto"/>
                <w:sz w:val="13"/>
                <w:szCs w:val="13"/>
                <w:highlight w:val="none"/>
              </w:rPr>
            </w:pPr>
          </w:p>
        </w:tc>
        <w:tc>
          <w:tcPr>
            <w:tcW w:w="1140" w:type="dxa"/>
            <w:tcBorders>
              <w:right w:val="single" w:color="auto" w:sz="8" w:space="0"/>
            </w:tcBorders>
            <w:vAlign w:val="bottom"/>
          </w:tcPr>
          <w:p>
            <w:pPr>
              <w:spacing w:after="0"/>
              <w:rPr>
                <w:color w:val="auto"/>
                <w:sz w:val="13"/>
                <w:szCs w:val="13"/>
                <w:highlight w:val="none"/>
              </w:rPr>
            </w:pPr>
          </w:p>
        </w:tc>
        <w:tc>
          <w:tcPr>
            <w:tcW w:w="980" w:type="dxa"/>
            <w:tcBorders>
              <w:right w:val="single" w:color="auto" w:sz="8" w:space="0"/>
            </w:tcBorders>
            <w:vAlign w:val="bottom"/>
          </w:tcPr>
          <w:p>
            <w:pPr>
              <w:spacing w:after="0"/>
              <w:rPr>
                <w:color w:val="auto"/>
                <w:sz w:val="13"/>
                <w:szCs w:val="13"/>
                <w:highlight w:val="none"/>
              </w:rPr>
            </w:pPr>
          </w:p>
        </w:tc>
        <w:tc>
          <w:tcPr>
            <w:tcW w:w="440" w:type="dxa"/>
            <w:tcBorders>
              <w:right w:val="single" w:color="auto" w:sz="8" w:space="0"/>
            </w:tcBorders>
            <w:vAlign w:val="bottom"/>
          </w:tcPr>
          <w:p>
            <w:pPr>
              <w:spacing w:after="0"/>
              <w:rPr>
                <w:color w:val="auto"/>
                <w:sz w:val="13"/>
                <w:szCs w:val="13"/>
                <w:highlight w:val="none"/>
              </w:rPr>
            </w:pPr>
          </w:p>
        </w:tc>
        <w:tc>
          <w:tcPr>
            <w:tcW w:w="840" w:type="dxa"/>
            <w:tcBorders>
              <w:right w:val="single" w:color="auto" w:sz="8" w:space="0"/>
            </w:tcBorders>
            <w:vAlign w:val="bottom"/>
          </w:tcPr>
          <w:p>
            <w:pPr>
              <w:spacing w:after="0"/>
              <w:rPr>
                <w:color w:val="auto"/>
                <w:sz w:val="13"/>
                <w:szCs w:val="13"/>
                <w:highlight w:val="none"/>
              </w:rPr>
            </w:pPr>
          </w:p>
        </w:tc>
        <w:tc>
          <w:tcPr>
            <w:tcW w:w="420" w:type="dxa"/>
            <w:tcBorders>
              <w:right w:val="single" w:color="auto" w:sz="8" w:space="0"/>
            </w:tcBorders>
            <w:vAlign w:val="bottom"/>
          </w:tcPr>
          <w:p>
            <w:pPr>
              <w:spacing w:after="0"/>
              <w:rPr>
                <w:color w:val="auto"/>
                <w:sz w:val="13"/>
                <w:szCs w:val="13"/>
                <w:highlight w:val="none"/>
              </w:rPr>
            </w:pPr>
          </w:p>
        </w:tc>
        <w:tc>
          <w:tcPr>
            <w:tcW w:w="4180" w:type="dxa"/>
            <w:vMerge w:val="continue"/>
            <w:tcBorders>
              <w:right w:val="single" w:color="auto" w:sz="8" w:space="0"/>
            </w:tcBorders>
            <w:vAlign w:val="bottom"/>
          </w:tcPr>
          <w:p>
            <w:pPr>
              <w:spacing w:after="0"/>
              <w:rPr>
                <w:color w:val="auto"/>
                <w:sz w:val="13"/>
                <w:szCs w:val="13"/>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tcBorders>
              <w:right w:val="single" w:color="auto" w:sz="8" w:space="0"/>
            </w:tcBorders>
            <w:vAlign w:val="bottom"/>
          </w:tcPr>
          <w:p>
            <w:pPr>
              <w:spacing w:after="0"/>
              <w:rPr>
                <w:color w:val="auto"/>
                <w:sz w:val="24"/>
                <w:szCs w:val="24"/>
                <w:highlight w:val="none"/>
              </w:rPr>
            </w:pPr>
          </w:p>
        </w:tc>
        <w:tc>
          <w:tcPr>
            <w:tcW w:w="980" w:type="dxa"/>
            <w:tcBorders>
              <w:right w:val="single" w:color="auto" w:sz="8" w:space="0"/>
            </w:tcBorders>
            <w:vAlign w:val="bottom"/>
          </w:tcPr>
          <w:p>
            <w:pPr>
              <w:spacing w:after="0"/>
              <w:rPr>
                <w:color w:val="auto"/>
                <w:sz w:val="24"/>
                <w:szCs w:val="24"/>
                <w:highlight w:val="none"/>
              </w:rPr>
            </w:pPr>
          </w:p>
        </w:tc>
        <w:tc>
          <w:tcPr>
            <w:tcW w:w="440" w:type="dxa"/>
            <w:tcBorders>
              <w:right w:val="single" w:color="auto" w:sz="8" w:space="0"/>
            </w:tcBorders>
            <w:vAlign w:val="bottom"/>
          </w:tcPr>
          <w:p>
            <w:pPr>
              <w:spacing w:after="0"/>
              <w:rPr>
                <w:color w:val="auto"/>
                <w:sz w:val="24"/>
                <w:szCs w:val="24"/>
                <w:highlight w:val="none"/>
              </w:rPr>
            </w:pP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字样。</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420" w:type="dxa"/>
            <w:tcBorders>
              <w:left w:val="single" w:color="auto" w:sz="8" w:space="0"/>
              <w:bottom w:val="single" w:color="auto" w:sz="8" w:space="0"/>
              <w:right w:val="single" w:color="auto" w:sz="8" w:space="0"/>
            </w:tcBorders>
            <w:vAlign w:val="bottom"/>
          </w:tcPr>
          <w:p>
            <w:pPr>
              <w:spacing w:after="0"/>
              <w:rPr>
                <w:color w:val="auto"/>
                <w:sz w:val="2"/>
                <w:szCs w:val="2"/>
                <w:highlight w:val="none"/>
              </w:rPr>
            </w:pPr>
          </w:p>
        </w:tc>
        <w:tc>
          <w:tcPr>
            <w:tcW w:w="1140" w:type="dxa"/>
            <w:tcBorders>
              <w:bottom w:val="single" w:color="auto" w:sz="8" w:space="0"/>
              <w:right w:val="single" w:color="auto" w:sz="8" w:space="0"/>
            </w:tcBorders>
            <w:vAlign w:val="bottom"/>
          </w:tcPr>
          <w:p>
            <w:pPr>
              <w:spacing w:after="0"/>
              <w:rPr>
                <w:color w:val="auto"/>
                <w:sz w:val="2"/>
                <w:szCs w:val="2"/>
                <w:highlight w:val="none"/>
              </w:rPr>
            </w:pPr>
          </w:p>
        </w:tc>
        <w:tc>
          <w:tcPr>
            <w:tcW w:w="980" w:type="dxa"/>
            <w:tcBorders>
              <w:bottom w:val="single" w:color="auto" w:sz="8" w:space="0"/>
              <w:right w:val="single" w:color="auto" w:sz="8" w:space="0"/>
            </w:tcBorders>
            <w:vAlign w:val="bottom"/>
          </w:tcPr>
          <w:p>
            <w:pPr>
              <w:spacing w:after="0"/>
              <w:rPr>
                <w:color w:val="auto"/>
                <w:sz w:val="2"/>
                <w:szCs w:val="2"/>
                <w:highlight w:val="none"/>
              </w:rPr>
            </w:pPr>
          </w:p>
        </w:tc>
        <w:tc>
          <w:tcPr>
            <w:tcW w:w="440" w:type="dxa"/>
            <w:tcBorders>
              <w:bottom w:val="single" w:color="auto" w:sz="8" w:space="0"/>
              <w:right w:val="single" w:color="auto" w:sz="8" w:space="0"/>
            </w:tcBorders>
            <w:vAlign w:val="bottom"/>
          </w:tcPr>
          <w:p>
            <w:pPr>
              <w:spacing w:after="0"/>
              <w:rPr>
                <w:color w:val="auto"/>
                <w:sz w:val="2"/>
                <w:szCs w:val="2"/>
                <w:highlight w:val="none"/>
              </w:rPr>
            </w:pPr>
          </w:p>
        </w:tc>
        <w:tc>
          <w:tcPr>
            <w:tcW w:w="840" w:type="dxa"/>
            <w:tcBorders>
              <w:bottom w:val="single" w:color="auto" w:sz="8" w:space="0"/>
              <w:right w:val="single" w:color="auto" w:sz="8" w:space="0"/>
            </w:tcBorders>
            <w:vAlign w:val="bottom"/>
          </w:tcPr>
          <w:p>
            <w:pPr>
              <w:spacing w:after="0"/>
              <w:rPr>
                <w:color w:val="auto"/>
                <w:sz w:val="2"/>
                <w:szCs w:val="2"/>
                <w:highlight w:val="none"/>
              </w:rPr>
            </w:pPr>
          </w:p>
        </w:tc>
        <w:tc>
          <w:tcPr>
            <w:tcW w:w="420" w:type="dxa"/>
            <w:tcBorders>
              <w:bottom w:val="single" w:color="auto" w:sz="8" w:space="0"/>
              <w:right w:val="single" w:color="auto" w:sz="8" w:space="0"/>
            </w:tcBorders>
            <w:vAlign w:val="bottom"/>
          </w:tcPr>
          <w:p>
            <w:pPr>
              <w:spacing w:after="0"/>
              <w:rPr>
                <w:color w:val="auto"/>
                <w:sz w:val="2"/>
                <w:szCs w:val="2"/>
                <w:highlight w:val="none"/>
              </w:rPr>
            </w:pPr>
          </w:p>
        </w:tc>
        <w:tc>
          <w:tcPr>
            <w:tcW w:w="4180" w:type="dxa"/>
            <w:tcBorders>
              <w:bottom w:val="single" w:color="auto" w:sz="8" w:space="0"/>
              <w:right w:val="single" w:color="auto" w:sz="8" w:space="0"/>
            </w:tcBorders>
            <w:vAlign w:val="bottom"/>
          </w:tcPr>
          <w:p>
            <w:pPr>
              <w:spacing w:after="0"/>
              <w:rPr>
                <w:color w:val="auto"/>
                <w:sz w:val="2"/>
                <w:szCs w:val="2"/>
                <w:highlight w:val="none"/>
              </w:rPr>
            </w:pP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420" w:type="dxa"/>
            <w:tcBorders>
              <w:left w:val="single" w:color="auto" w:sz="8" w:space="0"/>
              <w:right w:val="single" w:color="auto" w:sz="8" w:space="0"/>
            </w:tcBorders>
            <w:vAlign w:val="bottom"/>
          </w:tcPr>
          <w:p>
            <w:pPr>
              <w:spacing w:after="0"/>
              <w:rPr>
                <w:color w:val="auto"/>
                <w:sz w:val="23"/>
                <w:szCs w:val="23"/>
                <w:highlight w:val="none"/>
              </w:rPr>
            </w:pPr>
          </w:p>
        </w:tc>
        <w:tc>
          <w:tcPr>
            <w:tcW w:w="1140" w:type="dxa"/>
            <w:tcBorders>
              <w:right w:val="single" w:color="auto" w:sz="8" w:space="0"/>
            </w:tcBorders>
            <w:vAlign w:val="bottom"/>
          </w:tcPr>
          <w:p>
            <w:pPr>
              <w:spacing w:after="0"/>
              <w:rPr>
                <w:color w:val="auto"/>
                <w:sz w:val="23"/>
                <w:szCs w:val="23"/>
                <w:highlight w:val="none"/>
              </w:rPr>
            </w:pPr>
          </w:p>
        </w:tc>
        <w:tc>
          <w:tcPr>
            <w:tcW w:w="980" w:type="dxa"/>
            <w:tcBorders>
              <w:right w:val="single" w:color="auto" w:sz="8" w:space="0"/>
            </w:tcBorders>
            <w:vAlign w:val="bottom"/>
          </w:tcPr>
          <w:p>
            <w:pPr>
              <w:spacing w:after="0"/>
              <w:rPr>
                <w:color w:val="auto"/>
                <w:sz w:val="23"/>
                <w:szCs w:val="23"/>
                <w:highlight w:val="none"/>
              </w:rPr>
            </w:pPr>
          </w:p>
        </w:tc>
        <w:tc>
          <w:tcPr>
            <w:tcW w:w="440" w:type="dxa"/>
            <w:tcBorders>
              <w:right w:val="single" w:color="auto" w:sz="8" w:space="0"/>
            </w:tcBorders>
            <w:vAlign w:val="bottom"/>
          </w:tcPr>
          <w:p>
            <w:pPr>
              <w:spacing w:after="0"/>
              <w:rPr>
                <w:color w:val="auto"/>
                <w:sz w:val="23"/>
                <w:szCs w:val="23"/>
                <w:highlight w:val="none"/>
              </w:rPr>
            </w:pPr>
          </w:p>
        </w:tc>
        <w:tc>
          <w:tcPr>
            <w:tcW w:w="840" w:type="dxa"/>
            <w:tcBorders>
              <w:right w:val="single" w:color="auto" w:sz="8" w:space="0"/>
            </w:tcBorders>
            <w:vAlign w:val="bottom"/>
          </w:tcPr>
          <w:p>
            <w:pPr>
              <w:spacing w:after="0"/>
              <w:rPr>
                <w:color w:val="auto"/>
                <w:sz w:val="23"/>
                <w:szCs w:val="23"/>
                <w:highlight w:val="none"/>
              </w:rPr>
            </w:pPr>
          </w:p>
        </w:tc>
        <w:tc>
          <w:tcPr>
            <w:tcW w:w="420" w:type="dxa"/>
            <w:tcBorders>
              <w:right w:val="single" w:color="auto" w:sz="8" w:space="0"/>
            </w:tcBorders>
            <w:vAlign w:val="bottom"/>
          </w:tcPr>
          <w:p>
            <w:pPr>
              <w:spacing w:after="0"/>
              <w:rPr>
                <w:color w:val="auto"/>
                <w:sz w:val="23"/>
                <w:szCs w:val="23"/>
                <w:highlight w:val="none"/>
              </w:rPr>
            </w:pPr>
          </w:p>
        </w:tc>
        <w:tc>
          <w:tcPr>
            <w:tcW w:w="4180" w:type="dxa"/>
            <w:tcBorders>
              <w:right w:val="single" w:color="auto" w:sz="8" w:space="0"/>
            </w:tcBorders>
            <w:vAlign w:val="bottom"/>
          </w:tcPr>
          <w:p>
            <w:pPr>
              <w:spacing w:after="0" w:line="271" w:lineRule="exact"/>
              <w:ind w:left="100"/>
              <w:rPr>
                <w:color w:val="auto"/>
                <w:sz w:val="20"/>
                <w:szCs w:val="20"/>
                <w:highlight w:val="none"/>
              </w:rPr>
            </w:pPr>
            <w:r>
              <w:rPr>
                <w:rFonts w:ascii="仿宋" w:hAnsi="仿宋" w:eastAsia="仿宋" w:cs="仿宋"/>
                <w:color w:val="auto"/>
                <w:w w:val="99"/>
                <w:sz w:val="24"/>
                <w:szCs w:val="24"/>
                <w:highlight w:val="none"/>
              </w:rPr>
              <w:t>原《携带外汇出境许可证》由银行签发</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tcBorders>
              <w:right w:val="single" w:color="auto" w:sz="8" w:space="0"/>
            </w:tcBorders>
            <w:vAlign w:val="bottom"/>
          </w:tcPr>
          <w:p>
            <w:pPr>
              <w:spacing w:after="0"/>
              <w:rPr>
                <w:color w:val="auto"/>
                <w:sz w:val="24"/>
                <w:szCs w:val="24"/>
                <w:highlight w:val="none"/>
              </w:rPr>
            </w:pPr>
          </w:p>
        </w:tc>
        <w:tc>
          <w:tcPr>
            <w:tcW w:w="980" w:type="dxa"/>
            <w:tcBorders>
              <w:right w:val="single" w:color="auto" w:sz="8" w:space="0"/>
            </w:tcBorders>
            <w:vAlign w:val="bottom"/>
          </w:tcPr>
          <w:p>
            <w:pPr>
              <w:spacing w:after="0"/>
              <w:rPr>
                <w:color w:val="auto"/>
                <w:sz w:val="24"/>
                <w:szCs w:val="24"/>
                <w:highlight w:val="none"/>
              </w:rPr>
            </w:pPr>
          </w:p>
        </w:tc>
        <w:tc>
          <w:tcPr>
            <w:tcW w:w="440" w:type="dxa"/>
            <w:tcBorders>
              <w:right w:val="single" w:color="auto" w:sz="8" w:space="0"/>
            </w:tcBorders>
            <w:vAlign w:val="bottom"/>
          </w:tcPr>
          <w:p>
            <w:pPr>
              <w:spacing w:after="0"/>
              <w:rPr>
                <w:color w:val="auto"/>
                <w:sz w:val="24"/>
                <w:szCs w:val="24"/>
                <w:highlight w:val="none"/>
              </w:rPr>
            </w:pP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的，按此材料提交外汇局。</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tcBorders>
              <w:right w:val="single" w:color="auto" w:sz="8" w:space="0"/>
            </w:tcBorders>
            <w:vAlign w:val="bottom"/>
          </w:tcPr>
          <w:p>
            <w:pPr>
              <w:spacing w:after="0"/>
              <w:rPr>
                <w:color w:val="auto"/>
                <w:sz w:val="24"/>
                <w:szCs w:val="24"/>
                <w:highlight w:val="none"/>
              </w:rPr>
            </w:pPr>
          </w:p>
        </w:tc>
        <w:tc>
          <w:tcPr>
            <w:tcW w:w="980" w:type="dxa"/>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原件和</w:t>
            </w:r>
          </w:p>
        </w:tc>
        <w:tc>
          <w:tcPr>
            <w:tcW w:w="440" w:type="dxa"/>
            <w:tcBorders>
              <w:right w:val="single" w:color="auto" w:sz="8" w:space="0"/>
            </w:tcBorders>
            <w:vAlign w:val="bottom"/>
          </w:tcPr>
          <w:p>
            <w:pPr>
              <w:spacing w:after="0"/>
              <w:rPr>
                <w:color w:val="auto"/>
                <w:sz w:val="24"/>
                <w:szCs w:val="24"/>
                <w:highlight w:val="none"/>
              </w:rPr>
            </w:pP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9"/>
                <w:sz w:val="24"/>
                <w:szCs w:val="24"/>
                <w:highlight w:val="none"/>
              </w:rPr>
              <w:t>原签发银行审核“原申请办理《携带外</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银行出</w:t>
            </w:r>
          </w:p>
        </w:tc>
        <w:tc>
          <w:tcPr>
            <w:tcW w:w="980" w:type="dxa"/>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加盖企</w:t>
            </w:r>
          </w:p>
        </w:tc>
        <w:tc>
          <w:tcPr>
            <w:tcW w:w="440" w:type="dxa"/>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各</w:t>
            </w: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9"/>
                <w:sz w:val="24"/>
                <w:szCs w:val="24"/>
                <w:highlight w:val="none"/>
              </w:rPr>
              <w:t>汇出境许可证》时出示的材料”和银行</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line="274" w:lineRule="exact"/>
              <w:ind w:left="140"/>
              <w:rPr>
                <w:color w:val="auto"/>
                <w:sz w:val="20"/>
                <w:szCs w:val="20"/>
                <w:highlight w:val="none"/>
              </w:rPr>
            </w:pPr>
            <w:r>
              <w:rPr>
                <w:rFonts w:ascii="仿宋" w:hAnsi="仿宋" w:eastAsia="仿宋" w:cs="仿宋"/>
                <w:color w:val="auto"/>
                <w:sz w:val="24"/>
                <w:szCs w:val="24"/>
                <w:highlight w:val="none"/>
              </w:rPr>
              <w:t>2</w:t>
            </w:r>
          </w:p>
        </w:tc>
        <w:tc>
          <w:tcPr>
            <w:tcW w:w="114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具的《补</w:t>
            </w:r>
          </w:p>
        </w:tc>
        <w:tc>
          <w:tcPr>
            <w:tcW w:w="980" w:type="dxa"/>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业公章</w:t>
            </w:r>
          </w:p>
        </w:tc>
        <w:tc>
          <w:tcPr>
            <w:tcW w:w="440" w:type="dxa"/>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1</w:t>
            </w:r>
          </w:p>
        </w:tc>
        <w:tc>
          <w:tcPr>
            <w:tcW w:w="840" w:type="dxa"/>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纸质</w:t>
            </w: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9"/>
                <w:sz w:val="24"/>
                <w:szCs w:val="24"/>
                <w:highlight w:val="none"/>
              </w:rPr>
              <w:t>原留存材料无误后，向其出具《补办证</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办证明》</w:t>
            </w:r>
          </w:p>
        </w:tc>
        <w:tc>
          <w:tcPr>
            <w:tcW w:w="980" w:type="dxa"/>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的复印</w:t>
            </w:r>
          </w:p>
        </w:tc>
        <w:tc>
          <w:tcPr>
            <w:tcW w:w="44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sz w:val="24"/>
                <w:szCs w:val="24"/>
                <w:highlight w:val="none"/>
              </w:rPr>
              <w:t>份</w:t>
            </w: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9"/>
                <w:sz w:val="24"/>
                <w:szCs w:val="24"/>
                <w:highlight w:val="none"/>
              </w:rPr>
              <w:t>明》，出入境人员凭银行出具的《补办</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tcBorders>
              <w:right w:val="single" w:color="auto" w:sz="8" w:space="0"/>
            </w:tcBorders>
            <w:vAlign w:val="bottom"/>
          </w:tcPr>
          <w:p>
            <w:pPr>
              <w:spacing w:after="0"/>
              <w:rPr>
                <w:color w:val="auto"/>
                <w:sz w:val="24"/>
                <w:szCs w:val="24"/>
                <w:highlight w:val="none"/>
              </w:rPr>
            </w:pPr>
          </w:p>
        </w:tc>
        <w:tc>
          <w:tcPr>
            <w:tcW w:w="980" w:type="dxa"/>
            <w:tcBorders>
              <w:right w:val="single" w:color="auto" w:sz="8" w:space="0"/>
            </w:tcBorders>
            <w:vAlign w:val="bottom"/>
          </w:tcPr>
          <w:p>
            <w:pPr>
              <w:spacing w:after="0" w:line="274" w:lineRule="exact"/>
              <w:jc w:val="center"/>
              <w:rPr>
                <w:color w:val="auto"/>
                <w:sz w:val="20"/>
                <w:szCs w:val="20"/>
                <w:highlight w:val="none"/>
              </w:rPr>
            </w:pPr>
            <w:r>
              <w:rPr>
                <w:rFonts w:ascii="仿宋" w:hAnsi="仿宋" w:eastAsia="仿宋" w:cs="仿宋"/>
                <w:color w:val="auto"/>
                <w:w w:val="99"/>
                <w:sz w:val="24"/>
                <w:szCs w:val="24"/>
                <w:highlight w:val="none"/>
              </w:rPr>
              <w:t>件</w:t>
            </w:r>
          </w:p>
        </w:tc>
        <w:tc>
          <w:tcPr>
            <w:tcW w:w="440" w:type="dxa"/>
            <w:tcBorders>
              <w:right w:val="single" w:color="auto" w:sz="8" w:space="0"/>
            </w:tcBorders>
            <w:vAlign w:val="bottom"/>
          </w:tcPr>
          <w:p>
            <w:pPr>
              <w:spacing w:after="0"/>
              <w:rPr>
                <w:color w:val="auto"/>
                <w:sz w:val="24"/>
                <w:szCs w:val="24"/>
                <w:highlight w:val="none"/>
              </w:rPr>
            </w:pP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9"/>
                <w:sz w:val="24"/>
                <w:szCs w:val="24"/>
                <w:highlight w:val="none"/>
              </w:rPr>
              <w:t>证明》向银行所在地外汇局申请，凭外</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tcBorders>
              <w:right w:val="single" w:color="auto" w:sz="8" w:space="0"/>
            </w:tcBorders>
            <w:vAlign w:val="bottom"/>
          </w:tcPr>
          <w:p>
            <w:pPr>
              <w:spacing w:after="0"/>
              <w:rPr>
                <w:color w:val="auto"/>
                <w:sz w:val="24"/>
                <w:szCs w:val="24"/>
                <w:highlight w:val="none"/>
              </w:rPr>
            </w:pPr>
          </w:p>
        </w:tc>
        <w:tc>
          <w:tcPr>
            <w:tcW w:w="980" w:type="dxa"/>
            <w:tcBorders>
              <w:right w:val="single" w:color="auto" w:sz="8" w:space="0"/>
            </w:tcBorders>
            <w:vAlign w:val="bottom"/>
          </w:tcPr>
          <w:p>
            <w:pPr>
              <w:spacing w:after="0"/>
              <w:rPr>
                <w:color w:val="auto"/>
                <w:sz w:val="24"/>
                <w:szCs w:val="24"/>
                <w:highlight w:val="none"/>
              </w:rPr>
            </w:pPr>
          </w:p>
        </w:tc>
        <w:tc>
          <w:tcPr>
            <w:tcW w:w="440" w:type="dxa"/>
            <w:tcBorders>
              <w:right w:val="single" w:color="auto" w:sz="8" w:space="0"/>
            </w:tcBorders>
            <w:vAlign w:val="bottom"/>
          </w:tcPr>
          <w:p>
            <w:pPr>
              <w:spacing w:after="0"/>
              <w:rPr>
                <w:color w:val="auto"/>
                <w:sz w:val="24"/>
                <w:szCs w:val="24"/>
                <w:highlight w:val="none"/>
              </w:rPr>
            </w:pP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9"/>
                <w:sz w:val="24"/>
                <w:szCs w:val="24"/>
                <w:highlight w:val="none"/>
              </w:rPr>
              <w:t>汇局的核准件到银行补办《携带外汇出</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tcBorders>
              <w:right w:val="single" w:color="auto" w:sz="8" w:space="0"/>
            </w:tcBorders>
            <w:vAlign w:val="bottom"/>
          </w:tcPr>
          <w:p>
            <w:pPr>
              <w:spacing w:after="0"/>
              <w:rPr>
                <w:color w:val="auto"/>
                <w:sz w:val="24"/>
                <w:szCs w:val="24"/>
                <w:highlight w:val="none"/>
              </w:rPr>
            </w:pPr>
          </w:p>
        </w:tc>
        <w:tc>
          <w:tcPr>
            <w:tcW w:w="980" w:type="dxa"/>
            <w:tcBorders>
              <w:right w:val="single" w:color="auto" w:sz="8" w:space="0"/>
            </w:tcBorders>
            <w:vAlign w:val="bottom"/>
          </w:tcPr>
          <w:p>
            <w:pPr>
              <w:spacing w:after="0"/>
              <w:rPr>
                <w:color w:val="auto"/>
                <w:sz w:val="24"/>
                <w:szCs w:val="24"/>
                <w:highlight w:val="none"/>
              </w:rPr>
            </w:pPr>
          </w:p>
        </w:tc>
        <w:tc>
          <w:tcPr>
            <w:tcW w:w="440" w:type="dxa"/>
            <w:tcBorders>
              <w:right w:val="single" w:color="auto" w:sz="8" w:space="0"/>
            </w:tcBorders>
            <w:vAlign w:val="bottom"/>
          </w:tcPr>
          <w:p>
            <w:pPr>
              <w:spacing w:after="0"/>
              <w:rPr>
                <w:color w:val="auto"/>
                <w:sz w:val="24"/>
                <w:szCs w:val="24"/>
                <w:highlight w:val="none"/>
              </w:rPr>
            </w:pP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9"/>
                <w:sz w:val="24"/>
                <w:szCs w:val="24"/>
                <w:highlight w:val="none"/>
              </w:rPr>
              <w:t>境许可证》，银行应当在补办的《携带</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highlight w:val="none"/>
              </w:rPr>
            </w:pPr>
          </w:p>
        </w:tc>
        <w:tc>
          <w:tcPr>
            <w:tcW w:w="1140" w:type="dxa"/>
            <w:tcBorders>
              <w:right w:val="single" w:color="auto" w:sz="8" w:space="0"/>
            </w:tcBorders>
            <w:vAlign w:val="bottom"/>
          </w:tcPr>
          <w:p>
            <w:pPr>
              <w:spacing w:after="0"/>
              <w:rPr>
                <w:color w:val="auto"/>
                <w:sz w:val="24"/>
                <w:szCs w:val="24"/>
                <w:highlight w:val="none"/>
              </w:rPr>
            </w:pPr>
          </w:p>
        </w:tc>
        <w:tc>
          <w:tcPr>
            <w:tcW w:w="980" w:type="dxa"/>
            <w:tcBorders>
              <w:right w:val="single" w:color="auto" w:sz="8" w:space="0"/>
            </w:tcBorders>
            <w:vAlign w:val="bottom"/>
          </w:tcPr>
          <w:p>
            <w:pPr>
              <w:spacing w:after="0"/>
              <w:rPr>
                <w:color w:val="auto"/>
                <w:sz w:val="24"/>
                <w:szCs w:val="24"/>
                <w:highlight w:val="none"/>
              </w:rPr>
            </w:pPr>
          </w:p>
        </w:tc>
        <w:tc>
          <w:tcPr>
            <w:tcW w:w="440" w:type="dxa"/>
            <w:tcBorders>
              <w:right w:val="single" w:color="auto" w:sz="8" w:space="0"/>
            </w:tcBorders>
            <w:vAlign w:val="bottom"/>
          </w:tcPr>
          <w:p>
            <w:pPr>
              <w:spacing w:after="0"/>
              <w:rPr>
                <w:color w:val="auto"/>
                <w:sz w:val="24"/>
                <w:szCs w:val="24"/>
                <w:highlight w:val="none"/>
              </w:rPr>
            </w:pPr>
          </w:p>
        </w:tc>
        <w:tc>
          <w:tcPr>
            <w:tcW w:w="840" w:type="dxa"/>
            <w:tcBorders>
              <w:right w:val="single" w:color="auto" w:sz="8" w:space="0"/>
            </w:tcBorders>
            <w:vAlign w:val="bottom"/>
          </w:tcPr>
          <w:p>
            <w:pPr>
              <w:spacing w:after="0"/>
              <w:rPr>
                <w:color w:val="auto"/>
                <w:sz w:val="24"/>
                <w:szCs w:val="24"/>
                <w:highlight w:val="none"/>
              </w:rPr>
            </w:pPr>
          </w:p>
        </w:tc>
        <w:tc>
          <w:tcPr>
            <w:tcW w:w="420" w:type="dxa"/>
            <w:tcBorders>
              <w:right w:val="single" w:color="auto" w:sz="8" w:space="0"/>
            </w:tcBorders>
            <w:vAlign w:val="bottom"/>
          </w:tcPr>
          <w:p>
            <w:pPr>
              <w:spacing w:after="0"/>
              <w:rPr>
                <w:color w:val="auto"/>
                <w:sz w:val="24"/>
                <w:szCs w:val="24"/>
                <w:highlight w:val="none"/>
              </w:rPr>
            </w:pPr>
          </w:p>
        </w:tc>
        <w:tc>
          <w:tcPr>
            <w:tcW w:w="4180" w:type="dxa"/>
            <w:tcBorders>
              <w:right w:val="single" w:color="auto" w:sz="8" w:space="0"/>
            </w:tcBorders>
            <w:vAlign w:val="bottom"/>
          </w:tcPr>
          <w:p>
            <w:pPr>
              <w:spacing w:after="0" w:line="274" w:lineRule="exact"/>
              <w:ind w:left="100"/>
              <w:rPr>
                <w:color w:val="auto"/>
                <w:sz w:val="20"/>
                <w:szCs w:val="20"/>
                <w:highlight w:val="none"/>
              </w:rPr>
            </w:pPr>
            <w:r>
              <w:rPr>
                <w:rFonts w:ascii="仿宋" w:hAnsi="仿宋" w:eastAsia="仿宋" w:cs="仿宋"/>
                <w:color w:val="auto"/>
                <w:w w:val="93"/>
                <w:sz w:val="24"/>
                <w:szCs w:val="24"/>
                <w:highlight w:val="none"/>
              </w:rPr>
              <w:t>外汇出境许可证》上加注“补办”字样。</w:t>
            </w:r>
          </w:p>
        </w:tc>
        <w:tc>
          <w:tcPr>
            <w:tcW w:w="360" w:type="dxa"/>
            <w:vAlign w:val="bottom"/>
          </w:tcPr>
          <w:p>
            <w:pPr>
              <w:spacing w:after="0"/>
              <w:rPr>
                <w:color w:val="auto"/>
                <w:sz w:val="1"/>
                <w:szCs w:val="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 w:hRule="atLeast"/>
        </w:trPr>
        <w:tc>
          <w:tcPr>
            <w:tcW w:w="420" w:type="dxa"/>
            <w:tcBorders>
              <w:left w:val="single" w:color="auto" w:sz="8" w:space="0"/>
              <w:bottom w:val="single" w:color="auto" w:sz="8" w:space="0"/>
              <w:right w:val="single" w:color="auto" w:sz="8" w:space="0"/>
            </w:tcBorders>
            <w:vAlign w:val="bottom"/>
          </w:tcPr>
          <w:p>
            <w:pPr>
              <w:spacing w:after="0"/>
              <w:rPr>
                <w:color w:val="auto"/>
                <w:sz w:val="2"/>
                <w:szCs w:val="2"/>
                <w:highlight w:val="none"/>
              </w:rPr>
            </w:pPr>
          </w:p>
        </w:tc>
        <w:tc>
          <w:tcPr>
            <w:tcW w:w="1140" w:type="dxa"/>
            <w:tcBorders>
              <w:bottom w:val="single" w:color="auto" w:sz="8" w:space="0"/>
              <w:right w:val="single" w:color="auto" w:sz="8" w:space="0"/>
            </w:tcBorders>
            <w:vAlign w:val="bottom"/>
          </w:tcPr>
          <w:p>
            <w:pPr>
              <w:spacing w:after="0"/>
              <w:rPr>
                <w:color w:val="auto"/>
                <w:sz w:val="2"/>
                <w:szCs w:val="2"/>
                <w:highlight w:val="none"/>
              </w:rPr>
            </w:pPr>
          </w:p>
        </w:tc>
        <w:tc>
          <w:tcPr>
            <w:tcW w:w="980" w:type="dxa"/>
            <w:tcBorders>
              <w:bottom w:val="single" w:color="auto" w:sz="8" w:space="0"/>
              <w:right w:val="single" w:color="auto" w:sz="8" w:space="0"/>
            </w:tcBorders>
            <w:vAlign w:val="bottom"/>
          </w:tcPr>
          <w:p>
            <w:pPr>
              <w:spacing w:after="0"/>
              <w:rPr>
                <w:color w:val="auto"/>
                <w:sz w:val="2"/>
                <w:szCs w:val="2"/>
                <w:highlight w:val="none"/>
              </w:rPr>
            </w:pPr>
          </w:p>
        </w:tc>
        <w:tc>
          <w:tcPr>
            <w:tcW w:w="440" w:type="dxa"/>
            <w:tcBorders>
              <w:bottom w:val="single" w:color="auto" w:sz="8" w:space="0"/>
              <w:right w:val="single" w:color="auto" w:sz="8" w:space="0"/>
            </w:tcBorders>
            <w:vAlign w:val="bottom"/>
          </w:tcPr>
          <w:p>
            <w:pPr>
              <w:spacing w:after="0"/>
              <w:rPr>
                <w:color w:val="auto"/>
                <w:sz w:val="2"/>
                <w:szCs w:val="2"/>
                <w:highlight w:val="none"/>
              </w:rPr>
            </w:pPr>
          </w:p>
        </w:tc>
        <w:tc>
          <w:tcPr>
            <w:tcW w:w="840" w:type="dxa"/>
            <w:tcBorders>
              <w:bottom w:val="single" w:color="auto" w:sz="8" w:space="0"/>
              <w:right w:val="single" w:color="auto" w:sz="8" w:space="0"/>
            </w:tcBorders>
            <w:vAlign w:val="bottom"/>
          </w:tcPr>
          <w:p>
            <w:pPr>
              <w:spacing w:after="0"/>
              <w:rPr>
                <w:color w:val="auto"/>
                <w:sz w:val="2"/>
                <w:szCs w:val="2"/>
                <w:highlight w:val="none"/>
              </w:rPr>
            </w:pPr>
          </w:p>
        </w:tc>
        <w:tc>
          <w:tcPr>
            <w:tcW w:w="420" w:type="dxa"/>
            <w:tcBorders>
              <w:bottom w:val="single" w:color="auto" w:sz="8" w:space="0"/>
              <w:right w:val="single" w:color="auto" w:sz="8" w:space="0"/>
            </w:tcBorders>
            <w:vAlign w:val="bottom"/>
          </w:tcPr>
          <w:p>
            <w:pPr>
              <w:spacing w:after="0"/>
              <w:rPr>
                <w:color w:val="auto"/>
                <w:sz w:val="2"/>
                <w:szCs w:val="2"/>
                <w:highlight w:val="none"/>
              </w:rPr>
            </w:pPr>
          </w:p>
        </w:tc>
        <w:tc>
          <w:tcPr>
            <w:tcW w:w="4180" w:type="dxa"/>
            <w:tcBorders>
              <w:bottom w:val="single" w:color="auto" w:sz="8" w:space="0"/>
              <w:right w:val="single" w:color="auto" w:sz="8" w:space="0"/>
            </w:tcBorders>
            <w:vAlign w:val="bottom"/>
          </w:tcPr>
          <w:p>
            <w:pPr>
              <w:spacing w:after="0"/>
              <w:rPr>
                <w:color w:val="auto"/>
                <w:sz w:val="2"/>
                <w:szCs w:val="2"/>
                <w:highlight w:val="none"/>
              </w:rPr>
            </w:pPr>
          </w:p>
        </w:tc>
        <w:tc>
          <w:tcPr>
            <w:tcW w:w="360" w:type="dxa"/>
            <w:vAlign w:val="bottom"/>
          </w:tcPr>
          <w:p>
            <w:pPr>
              <w:spacing w:after="0"/>
              <w:rPr>
                <w:color w:val="auto"/>
                <w:sz w:val="1"/>
                <w:szCs w:val="1"/>
                <w:highlight w:val="none"/>
              </w:rPr>
            </w:pPr>
          </w:p>
        </w:tc>
      </w:tr>
    </w:tbl>
    <w:p>
      <w:pPr>
        <w:spacing w:after="0" w:line="125"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（七）申请接受</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申请人可通过窗口提交材料。</w:t>
      </w:r>
    </w:p>
    <w:p>
      <w:pPr>
        <w:spacing w:after="0" w:line="272" w:lineRule="exact"/>
        <w:rPr>
          <w:color w:val="auto"/>
          <w:sz w:val="20"/>
          <w:szCs w:val="20"/>
          <w:highlight w:val="none"/>
        </w:rPr>
      </w:pPr>
    </w:p>
    <w:p>
      <w:pPr>
        <w:spacing w:after="0" w:line="365" w:lineRule="exact"/>
        <w:ind w:left="960"/>
        <w:rPr>
          <w:color w:val="auto"/>
          <w:sz w:val="20"/>
          <w:szCs w:val="20"/>
          <w:highlight w:val="none"/>
        </w:rPr>
      </w:pPr>
      <w:r>
        <w:rPr>
          <w:rFonts w:ascii="仿宋" w:hAnsi="仿宋" w:eastAsia="仿宋" w:cs="仿宋"/>
          <w:color w:val="auto"/>
          <w:sz w:val="30"/>
          <w:szCs w:val="30"/>
          <w:highlight w:val="none"/>
        </w:rPr>
        <w:t>国家外汇管理局江西省分局接受申请方式为:</w:t>
      </w:r>
      <w:r>
        <w:rPr>
          <w:rFonts w:ascii="Times New Roman" w:hAnsi="Times New Roman" w:eastAsia="Times New Roman" w:cs="Times New Roman"/>
          <w:color w:val="auto"/>
          <w:sz w:val="30"/>
          <w:szCs w:val="30"/>
          <w:highlight w:val="none"/>
        </w:rPr>
        <w:t>“</w:t>
      </w:r>
      <w:r>
        <w:rPr>
          <w:rFonts w:ascii="仿宋" w:hAnsi="仿宋" w:eastAsia="仿宋" w:cs="仿宋"/>
          <w:color w:val="auto"/>
          <w:sz w:val="30"/>
          <w:szCs w:val="30"/>
          <w:highlight w:val="none"/>
        </w:rPr>
        <w:t>国家外汇管</w:t>
      </w:r>
    </w:p>
    <w:p>
      <w:pPr>
        <w:spacing w:after="0" w:line="259" w:lineRule="exact"/>
        <w:rPr>
          <w:color w:val="auto"/>
          <w:sz w:val="20"/>
          <w:szCs w:val="20"/>
          <w:highlight w:val="none"/>
        </w:rPr>
      </w:pPr>
    </w:p>
    <w:p>
      <w:pPr>
        <w:rPr>
          <w:rFonts w:ascii="仿宋" w:hAnsi="仿宋" w:eastAsia="仿宋" w:cs="仿宋"/>
          <w:color w:val="auto"/>
          <w:sz w:val="29"/>
          <w:szCs w:val="29"/>
          <w:highlight w:val="none"/>
        </w:rPr>
      </w:pPr>
      <w:r>
        <w:rPr>
          <w:rFonts w:ascii="仿宋" w:hAnsi="仿宋" w:eastAsia="仿宋" w:cs="仿宋"/>
          <w:color w:val="auto"/>
          <w:sz w:val="29"/>
          <w:szCs w:val="29"/>
          <w:highlight w:val="none"/>
        </w:rPr>
        <w:t>理局江西省分局经常项目管理处</w:t>
      </w:r>
      <w:r>
        <w:rPr>
          <w:rFonts w:ascii="Times New Roman" w:hAnsi="Times New Roman" w:eastAsia="Times New Roman" w:cs="Times New Roman"/>
          <w:color w:val="auto"/>
          <w:sz w:val="29"/>
          <w:szCs w:val="29"/>
          <w:highlight w:val="none"/>
        </w:rPr>
        <w:t>”</w:t>
      </w:r>
      <w:r>
        <w:rPr>
          <w:rFonts w:ascii="仿宋" w:hAnsi="仿宋" w:eastAsia="仿宋" w:cs="仿宋"/>
          <w:color w:val="auto"/>
          <w:sz w:val="29"/>
          <w:szCs w:val="29"/>
          <w:highlight w:val="none"/>
        </w:rPr>
        <w:t>，联系电话（0791）86617694。</w:t>
      </w:r>
    </w:p>
    <w:p>
      <w:pPr>
        <w:rPr>
          <w:rFonts w:ascii="仿宋" w:hAnsi="仿宋" w:eastAsia="仿宋" w:cs="仿宋"/>
          <w:color w:val="auto"/>
          <w:sz w:val="29"/>
          <w:szCs w:val="29"/>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地址：江西省南昌市东湖区铁街 25 号，邮政编码 330008。</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（八）基本办理流程</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1、申请人提交申请材料；</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2、分支局受理；</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3、分支局审查；</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4、分支局审批；</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5、材料齐全予以当场办理，材料不全或不符合其他法定形</w:t>
      </w:r>
    </w:p>
    <w:p>
      <w:pPr>
        <w:spacing w:after="0" w:line="293" w:lineRule="exact"/>
        <w:rPr>
          <w:color w:val="auto"/>
          <w:sz w:val="20"/>
          <w:szCs w:val="20"/>
          <w:highlight w:val="none"/>
        </w:rPr>
      </w:pPr>
    </w:p>
    <w:p>
      <w:pPr>
        <w:spacing w:after="0" w:line="331" w:lineRule="exact"/>
        <w:ind w:left="360"/>
        <w:rPr>
          <w:color w:val="auto"/>
          <w:sz w:val="20"/>
          <w:szCs w:val="20"/>
          <w:highlight w:val="none"/>
        </w:rPr>
      </w:pPr>
      <w:r>
        <w:rPr>
          <w:rFonts w:ascii="仿宋" w:hAnsi="仿宋" w:eastAsia="仿宋" w:cs="仿宋"/>
          <w:color w:val="auto"/>
          <w:sz w:val="29"/>
          <w:szCs w:val="29"/>
          <w:highlight w:val="none"/>
        </w:rPr>
        <w:t>式的，一次性告知补正材料，并依法出具《行政许可补正通知书》</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或其他文书。</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（九）办理方式</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当场办理：申请、受理、审查、决定、出具《携带外汇出</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境许可证》或不予批准的行政许可书面决定。</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（十）审批时限</w:t>
      </w:r>
    </w:p>
    <w:p>
      <w:pPr>
        <w:spacing w:after="0" w:line="284"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当场办理。</w:t>
      </w:r>
    </w:p>
    <w:p>
      <w:pPr>
        <w:spacing w:after="0" w:line="280" w:lineRule="exact"/>
        <w:rPr>
          <w:color w:val="auto"/>
          <w:sz w:val="20"/>
          <w:szCs w:val="20"/>
          <w:highlight w:val="none"/>
        </w:rPr>
      </w:pPr>
    </w:p>
    <w:p>
      <w:pPr>
        <w:spacing w:after="0" w:line="343" w:lineRule="exact"/>
        <w:ind w:left="940"/>
        <w:rPr>
          <w:color w:val="auto"/>
          <w:sz w:val="20"/>
          <w:szCs w:val="20"/>
          <w:highlight w:val="none"/>
        </w:rPr>
      </w:pPr>
      <w:r>
        <w:rPr>
          <w:rFonts w:ascii="黑体" w:hAnsi="黑体" w:eastAsia="黑体" w:cs="黑体"/>
          <w:color w:val="auto"/>
          <w:sz w:val="30"/>
          <w:szCs w:val="30"/>
          <w:highlight w:val="none"/>
        </w:rPr>
        <w:t>（十一）审批收费依据及标准</w:t>
      </w:r>
    </w:p>
    <w:p>
      <w:pPr>
        <w:spacing w:after="0" w:line="284" w:lineRule="exact"/>
        <w:rPr>
          <w:color w:val="auto"/>
          <w:sz w:val="20"/>
          <w:szCs w:val="20"/>
          <w:highlight w:val="none"/>
        </w:rPr>
      </w:pPr>
    </w:p>
    <w:p>
      <w:pPr>
        <w:spacing w:after="0" w:line="343" w:lineRule="exact"/>
        <w:ind w:left="940"/>
        <w:rPr>
          <w:color w:val="auto"/>
          <w:sz w:val="20"/>
          <w:szCs w:val="20"/>
          <w:highlight w:val="none"/>
        </w:rPr>
      </w:pPr>
      <w:r>
        <w:rPr>
          <w:rFonts w:ascii="仿宋" w:hAnsi="仿宋" w:eastAsia="仿宋" w:cs="仿宋"/>
          <w:color w:val="auto"/>
          <w:sz w:val="30"/>
          <w:szCs w:val="30"/>
          <w:highlight w:val="none"/>
        </w:rPr>
        <w:t>不收费。</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（十二）审批结果</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《携带外汇出境许可证》（一人一证）。</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（十三）结果送达</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当场告知申请人，现场领取。</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（十四）申请人权利和义务</w:t>
      </w:r>
    </w:p>
    <w:p>
      <w:pPr>
        <w:spacing w:after="0" w:line="284" w:lineRule="exact"/>
        <w:rPr>
          <w:color w:val="auto"/>
          <w:sz w:val="20"/>
          <w:szCs w:val="20"/>
          <w:highlight w:val="none"/>
        </w:rPr>
      </w:pPr>
    </w:p>
    <w:p>
      <w:pPr>
        <w:rPr>
          <w:rFonts w:ascii="仿宋" w:hAnsi="仿宋" w:eastAsia="仿宋" w:cs="仿宋"/>
          <w:color w:val="auto"/>
          <w:sz w:val="30"/>
          <w:szCs w:val="30"/>
          <w:highlight w:val="none"/>
        </w:rPr>
      </w:pPr>
      <w:r>
        <w:rPr>
          <w:rFonts w:ascii="仿宋" w:hAnsi="仿宋" w:eastAsia="仿宋" w:cs="仿宋"/>
          <w:color w:val="auto"/>
          <w:sz w:val="30"/>
          <w:szCs w:val="30"/>
          <w:highlight w:val="none"/>
        </w:rPr>
        <w:t>申请人有权依法提出行政审批申请，依法进行投诉、举报、</w:t>
      </w:r>
    </w:p>
    <w:p>
      <w:pPr>
        <w:rPr>
          <w:rFonts w:ascii="仿宋" w:hAnsi="仿宋" w:eastAsia="仿宋" w:cs="仿宋"/>
          <w:color w:val="auto"/>
          <w:sz w:val="30"/>
          <w:szCs w:val="30"/>
          <w:highlight w:val="none"/>
        </w:rPr>
      </w:pPr>
    </w:p>
    <w:p>
      <w:pPr>
        <w:spacing w:after="0" w:line="331" w:lineRule="exact"/>
        <w:ind w:left="360"/>
        <w:rPr>
          <w:color w:val="auto"/>
          <w:sz w:val="20"/>
          <w:szCs w:val="20"/>
          <w:highlight w:val="none"/>
        </w:rPr>
      </w:pPr>
      <w:r>
        <w:rPr>
          <w:rFonts w:ascii="仿宋" w:hAnsi="仿宋" w:eastAsia="仿宋" w:cs="仿宋"/>
          <w:color w:val="auto"/>
          <w:sz w:val="29"/>
          <w:szCs w:val="29"/>
          <w:highlight w:val="none"/>
        </w:rPr>
        <w:t>复议、诉讼等。申请人有义务保证申请材料完整、真实、准确，</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获批后合法合规办理相关业务。</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（十五）咨询途径、监督和投诉、公开查询等由所在地分</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黑体" w:hAnsi="黑体" w:eastAsia="黑体" w:cs="黑体"/>
          <w:color w:val="auto"/>
          <w:sz w:val="30"/>
          <w:szCs w:val="30"/>
          <w:highlight w:val="none"/>
        </w:rPr>
        <w:t>局办理</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向国家外汇管理局江西省分局进行咨询、办理进程查询、</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监督和投诉等可通过外汇局江西省分局官方网站的相应栏目</w:t>
      </w:r>
    </w:p>
    <w:p>
      <w:pPr>
        <w:spacing w:after="0" w:line="293" w:lineRule="exact"/>
        <w:rPr>
          <w:color w:val="auto"/>
          <w:sz w:val="20"/>
          <w:szCs w:val="20"/>
          <w:highlight w:val="none"/>
        </w:rPr>
      </w:pPr>
    </w:p>
    <w:p>
      <w:pPr>
        <w:spacing w:after="0" w:line="331" w:lineRule="exact"/>
        <w:ind w:left="360"/>
        <w:rPr>
          <w:color w:val="auto"/>
          <w:sz w:val="20"/>
          <w:szCs w:val="20"/>
          <w:highlight w:val="none"/>
        </w:rPr>
      </w:pPr>
      <w:r>
        <w:rPr>
          <w:rFonts w:ascii="仿宋" w:hAnsi="仿宋" w:eastAsia="仿宋" w:cs="仿宋"/>
          <w:color w:val="auto"/>
          <w:sz w:val="29"/>
          <w:szCs w:val="29"/>
          <w:highlight w:val="none"/>
        </w:rPr>
        <w:t>进行。网址可通过 www.safe.gov.cn 进行链接，也可通过外汇</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局官方互联网站上公布的电话进行。</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（十六）事项审查类型</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即审即办。</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（十七）办公地址和时间</w:t>
      </w:r>
    </w:p>
    <w:p>
      <w:pPr>
        <w:spacing w:after="0" w:line="284"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国家外汇管理局江西省分局办公地址:江西省南昌市东湖</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区铁街 25 号，邮政编码 330008。</w:t>
      </w:r>
    </w:p>
    <w:p>
      <w:pPr>
        <w:spacing w:after="0" w:line="282"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办公时间：上午:8：30--12:00</w:t>
      </w:r>
    </w:p>
    <w:p>
      <w:pPr>
        <w:spacing w:after="0" w:line="282" w:lineRule="exact"/>
        <w:rPr>
          <w:color w:val="auto"/>
          <w:sz w:val="20"/>
          <w:szCs w:val="20"/>
          <w:highlight w:val="none"/>
        </w:rPr>
      </w:pPr>
    </w:p>
    <w:p>
      <w:pPr>
        <w:spacing w:after="0" w:line="343" w:lineRule="exact"/>
        <w:ind w:left="2300"/>
        <w:rPr>
          <w:color w:val="auto"/>
          <w:sz w:val="20"/>
          <w:szCs w:val="20"/>
          <w:highlight w:val="none"/>
        </w:rPr>
      </w:pPr>
      <w:r>
        <w:rPr>
          <w:rFonts w:ascii="仿宋" w:hAnsi="仿宋" w:eastAsia="仿宋" w:cs="仿宋"/>
          <w:color w:val="auto"/>
          <w:sz w:val="30"/>
          <w:szCs w:val="30"/>
          <w:highlight w:val="none"/>
        </w:rPr>
        <w:t>下午： 2:00--5:30 （冬季作息时间为2:00--5:00）</w:t>
      </w:r>
    </w:p>
    <w:p>
      <w:pPr>
        <w:spacing w:after="0" w:line="280" w:lineRule="exact"/>
        <w:rPr>
          <w:color w:val="auto"/>
          <w:sz w:val="20"/>
          <w:szCs w:val="20"/>
          <w:highlight w:val="none"/>
        </w:rPr>
      </w:pPr>
    </w:p>
    <w:p>
      <w:pPr>
        <w:spacing w:after="0" w:line="343" w:lineRule="exact"/>
        <w:ind w:left="960"/>
        <w:rPr>
          <w:color w:val="auto"/>
          <w:sz w:val="20"/>
          <w:szCs w:val="20"/>
          <w:highlight w:val="none"/>
        </w:rPr>
      </w:pPr>
      <w:r>
        <w:rPr>
          <w:rFonts w:ascii="黑体" w:hAnsi="黑体" w:eastAsia="黑体" w:cs="黑体"/>
          <w:color w:val="auto"/>
          <w:sz w:val="30"/>
          <w:szCs w:val="30"/>
          <w:highlight w:val="none"/>
        </w:rPr>
        <w:t>（十八）示范文本及错误范例</w:t>
      </w:r>
    </w:p>
    <w:p>
      <w:pPr>
        <w:spacing w:after="0" w:line="320" w:lineRule="exact"/>
        <w:rPr>
          <w:color w:val="auto"/>
          <w:sz w:val="20"/>
          <w:szCs w:val="20"/>
          <w:highlight w:val="none"/>
        </w:rPr>
      </w:pPr>
    </w:p>
    <w:p>
      <w:pPr>
        <w:spacing w:after="0" w:line="518" w:lineRule="exact"/>
        <w:ind w:left="360" w:right="666" w:firstLine="600"/>
        <w:jc w:val="both"/>
        <w:rPr>
          <w:color w:val="auto"/>
          <w:sz w:val="20"/>
          <w:szCs w:val="20"/>
          <w:highlight w:val="none"/>
        </w:rPr>
      </w:pPr>
      <w:r>
        <w:rPr>
          <w:rFonts w:ascii="仿宋" w:hAnsi="仿宋" w:eastAsia="仿宋" w:cs="仿宋"/>
          <w:color w:val="auto"/>
          <w:sz w:val="30"/>
          <w:szCs w:val="30"/>
          <w:highlight w:val="none"/>
        </w:rPr>
        <w:t>个人申请携带超过等值 10000 美元现钞出境，应提交申请书，说明相关情况并证明其确有提钞需求，并签字；涉及单位组团出境的，应由单位提交申请并盖单位公章。</w:t>
      </w: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307"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例：</w:t>
      </w:r>
    </w:p>
    <w:p>
      <w:pPr>
        <w:rPr>
          <w:highlight w:val="none"/>
        </w:rPr>
        <w:sectPr>
          <w:type w:val="continuous"/>
          <w:pgSz w:w="11900" w:h="16838"/>
          <w:pgMar w:top="1440" w:right="1440" w:bottom="662" w:left="1440" w:header="0" w:footer="0" w:gutter="0"/>
          <w:cols w:space="720" w:num="1"/>
        </w:sectPr>
      </w:pPr>
    </w:p>
    <w:p>
      <w:pPr>
        <w:spacing w:after="0" w:line="391"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外汇局 XXX 分局：</w:t>
      </w:r>
    </w:p>
    <w:p>
      <w:pPr>
        <w:spacing w:after="0" w:line="318" w:lineRule="exact"/>
        <w:rPr>
          <w:color w:val="auto"/>
          <w:sz w:val="20"/>
          <w:szCs w:val="20"/>
          <w:highlight w:val="none"/>
        </w:rPr>
      </w:pPr>
    </w:p>
    <w:p>
      <w:pPr>
        <w:spacing w:after="0" w:line="465" w:lineRule="exact"/>
        <w:ind w:left="360" w:right="666" w:firstLine="600"/>
        <w:jc w:val="both"/>
        <w:rPr>
          <w:color w:val="auto"/>
          <w:sz w:val="20"/>
          <w:szCs w:val="20"/>
          <w:highlight w:val="none"/>
        </w:rPr>
      </w:pPr>
      <w:r>
        <w:rPr>
          <w:rFonts w:ascii="仿宋" w:hAnsi="仿宋" w:eastAsia="仿宋" w:cs="仿宋"/>
          <w:color w:val="auto"/>
          <w:sz w:val="29"/>
          <w:szCs w:val="29"/>
          <w:highlight w:val="none"/>
        </w:rPr>
        <w:t>本人某某，身份证号／护照号为 XX，今因公务原因／回国／南北极考察……须前往 XX 国／地区，XX 国／地区系战乱</w:t>
      </w:r>
    </w:p>
    <w:p>
      <w:pPr>
        <w:spacing w:after="0" w:line="294" w:lineRule="exact"/>
        <w:rPr>
          <w:color w:val="auto"/>
          <w:sz w:val="20"/>
          <w:szCs w:val="20"/>
          <w:highlight w:val="none"/>
        </w:rPr>
      </w:pPr>
    </w:p>
    <w:p>
      <w:pPr>
        <w:spacing w:after="0" w:line="331" w:lineRule="exact"/>
        <w:ind w:left="360"/>
        <w:rPr>
          <w:color w:val="auto"/>
          <w:sz w:val="20"/>
          <w:szCs w:val="20"/>
          <w:highlight w:val="none"/>
        </w:rPr>
      </w:pPr>
      <w:r>
        <w:rPr>
          <w:rFonts w:ascii="仿宋" w:hAnsi="仿宋" w:eastAsia="仿宋" w:cs="仿宋"/>
          <w:color w:val="auto"/>
          <w:sz w:val="29"/>
          <w:szCs w:val="29"/>
          <w:highlight w:val="none"/>
        </w:rPr>
        <w:t>／金融管制、……国家，本人须携带外币现钞 XXX 元出境，币</w:t>
      </w:r>
    </w:p>
    <w:p>
      <w:pPr>
        <w:spacing w:after="0" w:line="282"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种为 XX。本人外币现钞来源为 XXX／用途为 XXX，望批准。</w:t>
      </w: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306" w:lineRule="exact"/>
        <w:rPr>
          <w:color w:val="auto"/>
          <w:sz w:val="20"/>
          <w:szCs w:val="20"/>
          <w:highlight w:val="none"/>
        </w:rPr>
      </w:pPr>
    </w:p>
    <w:p>
      <w:pPr>
        <w:spacing w:after="0" w:line="343" w:lineRule="exact"/>
        <w:ind w:left="6660"/>
        <w:rPr>
          <w:color w:val="auto"/>
          <w:sz w:val="20"/>
          <w:szCs w:val="20"/>
          <w:highlight w:val="none"/>
        </w:rPr>
      </w:pPr>
      <w:r>
        <w:rPr>
          <w:rFonts w:ascii="仿宋" w:hAnsi="仿宋" w:eastAsia="仿宋" w:cs="仿宋"/>
          <w:color w:val="auto"/>
          <w:sz w:val="30"/>
          <w:szCs w:val="30"/>
          <w:highlight w:val="none"/>
        </w:rPr>
        <w:t>签名</w:t>
      </w:r>
    </w:p>
    <w:p>
      <w:pPr>
        <w:spacing w:after="0" w:line="282" w:lineRule="exact"/>
        <w:rPr>
          <w:color w:val="auto"/>
          <w:sz w:val="20"/>
          <w:szCs w:val="20"/>
          <w:highlight w:val="none"/>
        </w:rPr>
      </w:pPr>
    </w:p>
    <w:p>
      <w:pPr>
        <w:spacing w:after="0" w:line="343" w:lineRule="exact"/>
        <w:ind w:left="6660"/>
        <w:rPr>
          <w:color w:val="auto"/>
          <w:sz w:val="20"/>
          <w:szCs w:val="20"/>
          <w:highlight w:val="none"/>
        </w:rPr>
      </w:pPr>
      <w:r>
        <w:rPr>
          <w:rFonts w:ascii="仿宋" w:hAnsi="仿宋" w:eastAsia="仿宋" w:cs="仿宋"/>
          <w:color w:val="auto"/>
          <w:sz w:val="30"/>
          <w:szCs w:val="30"/>
          <w:highlight w:val="none"/>
        </w:rPr>
        <w:t>日期</w:t>
      </w: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306" w:lineRule="exact"/>
        <w:rPr>
          <w:color w:val="auto"/>
          <w:sz w:val="20"/>
          <w:szCs w:val="20"/>
          <w:highlight w:val="none"/>
        </w:rPr>
      </w:pPr>
    </w:p>
    <w:p>
      <w:pPr>
        <w:spacing w:after="0" w:line="343" w:lineRule="exact"/>
        <w:ind w:left="960"/>
        <w:rPr>
          <w:color w:val="auto"/>
          <w:sz w:val="20"/>
          <w:szCs w:val="20"/>
          <w:highlight w:val="none"/>
        </w:rPr>
      </w:pPr>
      <w:r>
        <w:rPr>
          <w:rFonts w:ascii="仿宋" w:hAnsi="仿宋" w:eastAsia="仿宋" w:cs="仿宋"/>
          <w:color w:val="auto"/>
          <w:sz w:val="30"/>
          <w:szCs w:val="30"/>
          <w:highlight w:val="none"/>
        </w:rPr>
        <w:t>外汇局 XX 分支局：</w:t>
      </w:r>
    </w:p>
    <w:p>
      <w:pPr>
        <w:spacing w:after="0" w:line="293" w:lineRule="exact"/>
        <w:rPr>
          <w:color w:val="auto"/>
          <w:sz w:val="20"/>
          <w:szCs w:val="20"/>
          <w:highlight w:val="none"/>
        </w:rPr>
      </w:pPr>
    </w:p>
    <w:p>
      <w:pPr>
        <w:spacing w:after="0" w:line="331" w:lineRule="exact"/>
        <w:ind w:left="960"/>
        <w:rPr>
          <w:color w:val="auto"/>
          <w:sz w:val="20"/>
          <w:szCs w:val="20"/>
          <w:highlight w:val="none"/>
        </w:rPr>
      </w:pPr>
      <w:r>
        <w:rPr>
          <w:rFonts w:ascii="仿宋" w:hAnsi="仿宋" w:eastAsia="仿宋" w:cs="仿宋"/>
          <w:color w:val="auto"/>
          <w:sz w:val="29"/>
          <w:szCs w:val="29"/>
          <w:highlight w:val="none"/>
        </w:rPr>
        <w:t>今我单位 XXX，因南北极考察／公务出国／……须前往 XX</w:t>
      </w:r>
    </w:p>
    <w:p>
      <w:pPr>
        <w:spacing w:after="0" w:line="318" w:lineRule="exact"/>
        <w:rPr>
          <w:color w:val="auto"/>
          <w:sz w:val="20"/>
          <w:szCs w:val="20"/>
          <w:highlight w:val="none"/>
        </w:rPr>
      </w:pPr>
    </w:p>
    <w:p>
      <w:pPr>
        <w:spacing w:after="0" w:line="465" w:lineRule="exact"/>
        <w:ind w:left="360" w:right="666"/>
        <w:jc w:val="both"/>
        <w:rPr>
          <w:color w:val="auto"/>
          <w:sz w:val="20"/>
          <w:szCs w:val="20"/>
          <w:highlight w:val="none"/>
        </w:rPr>
      </w:pPr>
      <w:r>
        <w:rPr>
          <w:rFonts w:ascii="仿宋" w:hAnsi="仿宋" w:eastAsia="仿宋" w:cs="仿宋"/>
          <w:color w:val="auto"/>
          <w:sz w:val="29"/>
          <w:szCs w:val="29"/>
          <w:highlight w:val="none"/>
        </w:rPr>
        <w:t>国／地区，XX 国／地区系战乱／金融管制／南北极特殊地区……，须携带外币现钞 XXX 元出境，币种为 XX。用途主要</w:t>
      </w:r>
    </w:p>
    <w:p>
      <w:pPr>
        <w:spacing w:after="0" w:line="283" w:lineRule="exact"/>
        <w:rPr>
          <w:color w:val="auto"/>
          <w:sz w:val="20"/>
          <w:szCs w:val="20"/>
          <w:highlight w:val="none"/>
        </w:rPr>
      </w:pPr>
    </w:p>
    <w:p>
      <w:pPr>
        <w:spacing w:after="0" w:line="343" w:lineRule="exact"/>
        <w:ind w:left="360"/>
        <w:rPr>
          <w:color w:val="auto"/>
          <w:sz w:val="20"/>
          <w:szCs w:val="20"/>
          <w:highlight w:val="none"/>
        </w:rPr>
      </w:pPr>
      <w:r>
        <w:rPr>
          <w:rFonts w:ascii="仿宋" w:hAnsi="仿宋" w:eastAsia="仿宋" w:cs="仿宋"/>
          <w:color w:val="auto"/>
          <w:sz w:val="30"/>
          <w:szCs w:val="30"/>
          <w:highlight w:val="none"/>
        </w:rPr>
        <w:t>为……，望你单位批准。</w:t>
      </w: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200" w:lineRule="exact"/>
        <w:rPr>
          <w:color w:val="auto"/>
          <w:sz w:val="20"/>
          <w:szCs w:val="20"/>
          <w:highlight w:val="none"/>
        </w:rPr>
      </w:pPr>
    </w:p>
    <w:p>
      <w:pPr>
        <w:spacing w:after="0" w:line="306" w:lineRule="exact"/>
        <w:rPr>
          <w:color w:val="auto"/>
          <w:sz w:val="20"/>
          <w:szCs w:val="20"/>
          <w:highlight w:val="none"/>
        </w:rPr>
      </w:pPr>
    </w:p>
    <w:p>
      <w:pPr>
        <w:spacing w:after="0" w:line="343" w:lineRule="exact"/>
        <w:ind w:left="4300"/>
        <w:jc w:val="center"/>
        <w:rPr>
          <w:color w:val="auto"/>
          <w:sz w:val="20"/>
          <w:szCs w:val="20"/>
          <w:highlight w:val="none"/>
        </w:rPr>
      </w:pPr>
      <w:r>
        <w:rPr>
          <w:rFonts w:ascii="仿宋" w:hAnsi="仿宋" w:eastAsia="仿宋" w:cs="仿宋"/>
          <w:color w:val="auto"/>
          <w:sz w:val="30"/>
          <w:szCs w:val="30"/>
          <w:highlight w:val="none"/>
        </w:rPr>
        <w:t>单位公章</w:t>
      </w:r>
    </w:p>
    <w:p>
      <w:pPr>
        <w:spacing w:after="0" w:line="282" w:lineRule="exact"/>
        <w:rPr>
          <w:color w:val="auto"/>
          <w:sz w:val="20"/>
          <w:szCs w:val="20"/>
          <w:highlight w:val="none"/>
        </w:rPr>
      </w:pPr>
    </w:p>
    <w:p>
      <w:pPr>
        <w:spacing w:after="0" w:line="343" w:lineRule="exact"/>
        <w:ind w:left="4300"/>
        <w:jc w:val="center"/>
        <w:rPr>
          <w:color w:val="auto"/>
          <w:sz w:val="20"/>
          <w:szCs w:val="20"/>
          <w:highlight w:val="none"/>
        </w:rPr>
      </w:pPr>
      <w:r>
        <w:rPr>
          <w:rFonts w:ascii="仿宋" w:hAnsi="仿宋" w:eastAsia="仿宋" w:cs="仿宋"/>
          <w:color w:val="auto"/>
          <w:sz w:val="30"/>
          <w:szCs w:val="30"/>
          <w:highlight w:val="none"/>
        </w:rPr>
        <w:t>日期</w:t>
      </w:r>
    </w:p>
    <w:p>
      <w:pPr>
        <w:spacing w:after="0" w:line="318" w:lineRule="exact"/>
        <w:rPr>
          <w:color w:val="auto"/>
          <w:sz w:val="20"/>
          <w:szCs w:val="20"/>
          <w:highlight w:val="none"/>
        </w:rPr>
      </w:pPr>
    </w:p>
    <w:p>
      <w:pPr>
        <w:rPr>
          <w:rFonts w:hint="eastAsia" w:ascii="仿宋" w:hAnsi="仿宋" w:eastAsia="仿宋" w:cs="仿宋"/>
          <w:color w:val="auto"/>
          <w:sz w:val="30"/>
          <w:szCs w:val="30"/>
          <w:highlight w:val="none"/>
          <w:lang w:eastAsia="zh-CN"/>
        </w:rPr>
        <w:sectPr>
          <w:type w:val="continuous"/>
          <w:pgSz w:w="11900" w:h="16838"/>
          <w:pgMar w:top="1440" w:right="1440" w:bottom="662" w:left="1440" w:header="0" w:footer="0" w:gutter="0"/>
          <w:cols w:space="720" w:num="1"/>
        </w:sectPr>
      </w:pPr>
      <w:r>
        <w:rPr>
          <w:rFonts w:ascii="仿宋" w:hAnsi="仿宋" w:eastAsia="仿宋" w:cs="仿宋"/>
          <w:color w:val="auto"/>
          <w:sz w:val="30"/>
          <w:szCs w:val="30"/>
          <w:highlight w:val="none"/>
        </w:rPr>
        <w:t>错误范例：金额、申请人名称、携钞用途／来源、携钞金额及币种等项目遗漏，未签章确认，或用途不符合外汇局携钞出境相关法规要求</w:t>
      </w:r>
      <w:r>
        <w:rPr>
          <w:rFonts w:hint="eastAsia" w:ascii="仿宋" w:hAnsi="仿宋" w:eastAsia="仿宋" w:cs="仿宋"/>
          <w:color w:val="auto"/>
          <w:sz w:val="30"/>
          <w:szCs w:val="30"/>
          <w:highlight w:val="none"/>
          <w:lang w:eastAsia="zh-CN"/>
        </w:rPr>
        <w:t>。</w:t>
      </w:r>
    </w:p>
    <w:p>
      <w:pPr>
        <w:rPr>
          <w:highlight w:val="none"/>
        </w:rPr>
        <w:sectPr>
          <w:type w:val="continuous"/>
          <w:pgSz w:w="11900" w:h="16838"/>
          <w:pgMar w:top="1420" w:right="1440" w:bottom="662" w:left="1440" w:header="0" w:footer="0" w:gutter="0"/>
          <w:cols w:space="720" w:num="1"/>
        </w:sectPr>
      </w:pPr>
      <w:bookmarkStart w:id="18" w:name="page20"/>
      <w:bookmarkEnd w:id="18"/>
    </w:p>
    <w:p>
      <w:pPr>
        <w:rPr>
          <w:highlight w:val="none"/>
        </w:rPr>
        <w:sectPr>
          <w:pgSz w:w="11900" w:h="16838"/>
          <w:pgMar w:top="1440" w:right="1440" w:bottom="662" w:left="1440" w:header="0" w:footer="0" w:gutter="0"/>
          <w:cols w:space="720" w:num="1"/>
        </w:sectPr>
      </w:pPr>
      <w:bookmarkStart w:id="19" w:name="page21"/>
      <w:bookmarkEnd w:id="19"/>
      <w:r>
        <w:rPr>
          <w:rFonts w:ascii="Calibri" w:hAnsi="Calibri" w:eastAsia="宋体" w:cs="黑体"/>
          <w:sz w:val="22"/>
          <w:szCs w:val="22"/>
          <w:highlight w:val="none"/>
          <w:lang w:val="en-US" w:eastAsia="zh-CN" w:bidi="ar-SA"/>
        </w:rPr>
        <w:pict>
          <v:shape id="图片 4" o:spid="_x0000_s1033" type="#_x0000_t75" style="height:362.85pt;width:443.6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rPr>
          <w:highlight w:val="none"/>
        </w:rPr>
        <w:sectPr>
          <w:type w:val="continuous"/>
          <w:pgSz w:w="11900" w:h="16838"/>
          <w:pgMar w:top="1440" w:right="1440" w:bottom="662" w:left="1440" w:header="0" w:footer="0" w:gutter="0"/>
          <w:cols w:space="720" w:num="1"/>
        </w:sectPr>
      </w:pPr>
    </w:p>
    <w:p>
      <w:pPr>
        <w:rPr>
          <w:highlight w:val="none"/>
        </w:rPr>
        <w:sectPr>
          <w:type w:val="continuous"/>
          <w:pgSz w:w="11900" w:h="16838"/>
          <w:pgMar w:top="1440" w:right="1440" w:bottom="662" w:left="1440" w:header="0" w:footer="0" w:gutter="0"/>
          <w:cols w:space="720" w:num="1"/>
        </w:sectPr>
      </w:pPr>
      <w:bookmarkStart w:id="20" w:name="page22"/>
      <w:bookmarkEnd w:id="20"/>
    </w:p>
    <w:p>
      <w:pPr>
        <w:rPr>
          <w:highlight w:val="none"/>
        </w:rPr>
        <w:sectPr>
          <w:type w:val="continuous"/>
          <w:pgSz w:w="11900" w:h="16838"/>
          <w:pgMar w:top="1440" w:right="1440" w:bottom="662" w:left="1440" w:header="0" w:footer="0" w:gutter="0"/>
          <w:cols w:space="720" w:num="1"/>
        </w:sectPr>
      </w:pPr>
      <w:bookmarkStart w:id="21" w:name="page23"/>
      <w:bookmarkEnd w:id="21"/>
    </w:p>
    <w:p>
      <w:pPr>
        <w:spacing w:after="0"/>
        <w:ind w:right="6"/>
        <w:jc w:val="both"/>
        <w:rPr>
          <w:color w:val="auto"/>
          <w:sz w:val="20"/>
          <w:szCs w:val="20"/>
          <w:highlight w:val="none"/>
        </w:rPr>
      </w:pPr>
      <w:bookmarkStart w:id="22" w:name="page24"/>
      <w:bookmarkEnd w:id="22"/>
      <w:bookmarkStart w:id="23" w:name="page19"/>
      <w:bookmarkEnd w:id="23"/>
    </w:p>
    <w:sectPr>
      <w:type w:val="continuous"/>
      <w:pgSz w:w="11900" w:h="16838"/>
      <w:pgMar w:top="1440" w:right="1440" w:bottom="662" w:left="144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sz w:val="18"/>
        <w:szCs w:val="22"/>
        <w:lang w:val="en-US" w:eastAsia="zh-CN" w:bidi="ar-SA"/>
      </w:rPr>
      <w:pict>
        <v:rect id="文本框 5"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358">
    <w:nsid w:val="000072AE"/>
    <w:multiLevelType w:val="singleLevel"/>
    <w:tmpl w:val="000072AE"/>
    <w:lvl w:ilvl="0" w:tentative="1">
      <w:start w:val="10"/>
      <w:numFmt w:val="decimal"/>
      <w:lvlText w:val="%1"/>
      <w:lvlJc w:val="left"/>
    </w:lvl>
  </w:abstractNum>
  <w:abstractNum w:abstractNumId="1606731433">
    <w:nsid w:val="5FC4C6A9"/>
    <w:multiLevelType w:val="singleLevel"/>
    <w:tmpl w:val="5FC4C6A9"/>
    <w:lvl w:ilvl="0" w:tentative="1">
      <w:start w:val="2"/>
      <w:numFmt w:val="decimal"/>
      <w:suff w:val="nothing"/>
      <w:lvlText w:val="%1."/>
      <w:lvlJc w:val="left"/>
    </w:lvl>
  </w:abstractNum>
  <w:abstractNum w:abstractNumId="2183273564">
    <w:nsid w:val="82221C5C"/>
    <w:multiLevelType w:val="singleLevel"/>
    <w:tmpl w:val="82221C5C"/>
    <w:lvl w:ilvl="0" w:tentative="1">
      <w:start w:val="18"/>
      <w:numFmt w:val="chineseCounting"/>
      <w:suff w:val="nothing"/>
      <w:lvlText w:val="（%1）"/>
      <w:lvlJc w:val="left"/>
      <w:rPr>
        <w:rFonts w:hint="eastAsia"/>
      </w:rPr>
    </w:lvl>
  </w:abstractNum>
  <w:num w:numId="1">
    <w:abstractNumId w:val="29358"/>
  </w:num>
  <w:num w:numId="2">
    <w:abstractNumId w:val="1606731433"/>
  </w:num>
  <w:num w:numId="3">
    <w:abstractNumId w:val="2183273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A10E95"/>
    <w:rsid w:val="00B723B8"/>
    <w:rsid w:val="019746EF"/>
    <w:rsid w:val="03494694"/>
    <w:rsid w:val="03655E9A"/>
    <w:rsid w:val="0630227D"/>
    <w:rsid w:val="0A64455D"/>
    <w:rsid w:val="0AEF120C"/>
    <w:rsid w:val="0B1F76CB"/>
    <w:rsid w:val="0C770F81"/>
    <w:rsid w:val="0E174690"/>
    <w:rsid w:val="10435C8F"/>
    <w:rsid w:val="12930507"/>
    <w:rsid w:val="17157CEB"/>
    <w:rsid w:val="1D561A2F"/>
    <w:rsid w:val="1D771F63"/>
    <w:rsid w:val="2197305D"/>
    <w:rsid w:val="21B9066D"/>
    <w:rsid w:val="23437814"/>
    <w:rsid w:val="24C54890"/>
    <w:rsid w:val="261142F4"/>
    <w:rsid w:val="28E841FB"/>
    <w:rsid w:val="299A3A19"/>
    <w:rsid w:val="2C401AA0"/>
    <w:rsid w:val="2C7E6715"/>
    <w:rsid w:val="2CEC2C64"/>
    <w:rsid w:val="30C53D9D"/>
    <w:rsid w:val="30CC018A"/>
    <w:rsid w:val="32175CF3"/>
    <w:rsid w:val="336530DF"/>
    <w:rsid w:val="33FA3F36"/>
    <w:rsid w:val="349C11D7"/>
    <w:rsid w:val="36FC3B36"/>
    <w:rsid w:val="371273E8"/>
    <w:rsid w:val="3B19430F"/>
    <w:rsid w:val="3C4619EB"/>
    <w:rsid w:val="3EDD2B13"/>
    <w:rsid w:val="3EFE2415"/>
    <w:rsid w:val="3F845564"/>
    <w:rsid w:val="40FC3566"/>
    <w:rsid w:val="428E22BD"/>
    <w:rsid w:val="43C113B5"/>
    <w:rsid w:val="44266B5B"/>
    <w:rsid w:val="46463023"/>
    <w:rsid w:val="465E6A22"/>
    <w:rsid w:val="477C2455"/>
    <w:rsid w:val="4A873352"/>
    <w:rsid w:val="4AEB3076"/>
    <w:rsid w:val="4B924B09"/>
    <w:rsid w:val="4C2343F8"/>
    <w:rsid w:val="4D7269DB"/>
    <w:rsid w:val="4E8E015D"/>
    <w:rsid w:val="53181571"/>
    <w:rsid w:val="595C6329"/>
    <w:rsid w:val="5A17215B"/>
    <w:rsid w:val="5AA837EA"/>
    <w:rsid w:val="5BAC6AF2"/>
    <w:rsid w:val="5BD52D87"/>
    <w:rsid w:val="62720A8F"/>
    <w:rsid w:val="62D66F0D"/>
    <w:rsid w:val="63654BA0"/>
    <w:rsid w:val="640E3D34"/>
    <w:rsid w:val="657246B1"/>
    <w:rsid w:val="65875895"/>
    <w:rsid w:val="66117C3F"/>
    <w:rsid w:val="66506E63"/>
    <w:rsid w:val="694E02B8"/>
    <w:rsid w:val="6B193A43"/>
    <w:rsid w:val="6B732A40"/>
    <w:rsid w:val="6CD35796"/>
    <w:rsid w:val="6DA04EEA"/>
    <w:rsid w:val="6DA960A4"/>
    <w:rsid w:val="72764C9A"/>
    <w:rsid w:val="73896330"/>
    <w:rsid w:val="75714DBB"/>
    <w:rsid w:val="76A1730B"/>
    <w:rsid w:val="7A0B7864"/>
    <w:rsid w:val="7DD24969"/>
    <w:rsid w:val="7E602EE5"/>
    <w:rsid w:val="7E9D1110"/>
    <w:rsid w:val="7EC6288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黑体"/>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59"/>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2020-03-30T11:04:00Z</dcterms:created>
  <dc:creator>Windows User</dc:creator>
  <cp:lastModifiedBy>卢钰</cp:lastModifiedBy>
  <dcterms:modified xsi:type="dcterms:W3CDTF">2020-12-01T01:05:46Z</dcterms:modified>
  <dc:title>编号：57016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