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header+xml" PartName="/word/header1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0" w:firstLineChars="0"/>
        <w:jc w:val="right"/>
        <w:rPr>
          <w:rFonts w:eastAsia="方正小标宋_GBK"/>
          <w:sz w:val="40"/>
          <w:szCs w:val="40"/>
        </w:rPr>
      </w:pP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Picture 1" o:spid="_x0000_s1026" type="#_x0000_t75" style="height:69.75pt;width:87pt;rotation:0f;" o:ole="f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 w:firstLine="0" w:firstLineChars="0"/>
        <w:jc w:val="left"/>
        <w:rPr>
          <w:rFonts w:eastAsia="黑体"/>
          <w:sz w:val="48"/>
          <w:szCs w:val="48"/>
        </w:rPr>
      </w:pPr>
      <w:r>
        <w:rPr>
          <w:rFonts w:hint="eastAsia" w:eastAsia="黑体"/>
          <w:sz w:val="48"/>
          <w:szCs w:val="48"/>
        </w:rPr>
        <w:t>编号：</w:t>
      </w:r>
      <w:r>
        <w:rPr>
          <w:rFonts w:eastAsia="黑体"/>
          <w:sz w:val="48"/>
          <w:szCs w:val="48"/>
        </w:rPr>
        <w:t>000171102001</w:t>
      </w: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right="300" w:firstLine="0" w:firstLineChars="0"/>
        <w:jc w:val="center"/>
        <w:rPr>
          <w:rFonts w:eastAsia="黑体"/>
          <w:sz w:val="52"/>
          <w:szCs w:val="52"/>
        </w:rPr>
      </w:pPr>
      <w:r>
        <w:rPr>
          <w:rFonts w:hint="eastAsia" w:eastAsia="黑体"/>
          <w:sz w:val="52"/>
          <w:szCs w:val="52"/>
        </w:rPr>
        <w:t>“省</w:t>
      </w:r>
      <w:r>
        <w:rPr>
          <w:rFonts w:eastAsia="黑体"/>
          <w:sz w:val="52"/>
          <w:szCs w:val="52"/>
        </w:rPr>
        <w:t>分局办理的C类企业经常项目收支登记</w:t>
      </w:r>
      <w:r>
        <w:rPr>
          <w:rFonts w:hint="eastAsia" w:eastAsia="黑体"/>
          <w:sz w:val="52"/>
          <w:szCs w:val="52"/>
        </w:rPr>
        <w:t>”</w:t>
      </w:r>
      <w:r>
        <w:rPr>
          <w:rFonts w:eastAsia="黑体"/>
          <w:sz w:val="52"/>
          <w:szCs w:val="52"/>
        </w:rPr>
        <w:t>行政审批服务指南</w:t>
      </w: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right="300" w:firstLine="600"/>
        <w:jc w:val="center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发布日期：20</w:t>
      </w:r>
      <w:r>
        <w:rPr>
          <w:rFonts w:hint="eastAsia" w:eastAsia="仿宋_GB2312"/>
          <w:sz w:val="30"/>
          <w:szCs w:val="30"/>
        </w:rPr>
        <w:t>23</w:t>
      </w:r>
      <w:r>
        <w:rPr>
          <w:rFonts w:eastAsia="仿宋_GB2312"/>
          <w:sz w:val="30"/>
          <w:szCs w:val="30"/>
        </w:rPr>
        <w:t>年</w:t>
      </w:r>
      <w:r>
        <w:rPr>
          <w:rFonts w:hint="eastAsia" w:eastAsia="仿宋_GB2312"/>
          <w:sz w:val="30"/>
          <w:szCs w:val="30"/>
          <w:lang w:val="en-US" w:eastAsia="zh-CN"/>
        </w:rPr>
        <w:t>9</w:t>
      </w:r>
      <w:r>
        <w:rPr>
          <w:rFonts w:eastAsia="仿宋_GB2312"/>
          <w:sz w:val="30"/>
          <w:szCs w:val="30"/>
        </w:rPr>
        <w:t>月</w:t>
      </w:r>
      <w:r>
        <w:rPr>
          <w:rFonts w:hint="eastAsia" w:eastAsia="仿宋_GB2312"/>
          <w:sz w:val="30"/>
          <w:szCs w:val="30"/>
          <w:lang w:val="en-US" w:eastAsia="zh-CN"/>
        </w:rPr>
        <w:t>28</w:t>
      </w:r>
      <w:r>
        <w:rPr>
          <w:rFonts w:eastAsia="仿宋_GB2312"/>
          <w:sz w:val="30"/>
          <w:szCs w:val="30"/>
        </w:rPr>
        <w:t>日</w:t>
      </w:r>
    </w:p>
    <w:p>
      <w:pPr>
        <w:ind w:right="300" w:firstLine="600"/>
        <w:jc w:val="center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实施日期：20</w:t>
      </w:r>
      <w:r>
        <w:rPr>
          <w:rFonts w:hint="eastAsia" w:eastAsia="仿宋_GB2312"/>
          <w:sz w:val="30"/>
          <w:szCs w:val="30"/>
        </w:rPr>
        <w:t>23</w:t>
      </w:r>
      <w:r>
        <w:rPr>
          <w:rFonts w:eastAsia="仿宋_GB2312"/>
          <w:sz w:val="30"/>
          <w:szCs w:val="30"/>
        </w:rPr>
        <w:t>年</w:t>
      </w:r>
      <w:r>
        <w:rPr>
          <w:rFonts w:hint="eastAsia" w:eastAsia="仿宋_GB2312"/>
          <w:sz w:val="30"/>
          <w:szCs w:val="30"/>
          <w:lang w:val="en-US" w:eastAsia="zh-CN"/>
        </w:rPr>
        <w:t>9</w:t>
      </w:r>
      <w:r>
        <w:rPr>
          <w:rFonts w:eastAsia="仿宋_GB2312"/>
          <w:sz w:val="30"/>
          <w:szCs w:val="30"/>
        </w:rPr>
        <w:t>月</w:t>
      </w:r>
      <w:r>
        <w:rPr>
          <w:rFonts w:hint="eastAsia" w:eastAsia="仿宋_GB2312"/>
          <w:sz w:val="30"/>
          <w:szCs w:val="30"/>
          <w:lang w:val="en-US" w:eastAsia="zh-CN"/>
        </w:rPr>
        <w:t>29</w:t>
      </w:r>
      <w:bookmarkStart w:id="11" w:name="_GoBack"/>
      <w:bookmarkEnd w:id="11"/>
      <w:r>
        <w:rPr>
          <w:rFonts w:eastAsia="仿宋_GB2312"/>
          <w:sz w:val="30"/>
          <w:szCs w:val="30"/>
        </w:rPr>
        <w:t>日</w:t>
      </w:r>
    </w:p>
    <w:p>
      <w:pPr>
        <w:ind w:right="300" w:firstLine="600"/>
        <w:jc w:val="center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发布机构：国家外汇管理局</w:t>
      </w:r>
      <w:r>
        <w:rPr>
          <w:rFonts w:hint="eastAsia" w:eastAsia="仿宋_GB2312"/>
          <w:sz w:val="30"/>
          <w:szCs w:val="30"/>
        </w:rPr>
        <w:t>江苏省分局</w:t>
      </w: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adjustRightInd w:val="0"/>
        <w:snapToGrid w:val="0"/>
        <w:spacing w:line="360" w:lineRule="auto"/>
        <w:ind w:firstLine="600"/>
        <w:jc w:val="left"/>
        <w:rPr>
          <w:rFonts w:eastAsia="黑体"/>
          <w:sz w:val="30"/>
          <w:szCs w:val="30"/>
        </w:rPr>
      </w:pPr>
      <w:bookmarkStart w:id="0" w:name="_Toc230209183"/>
      <w:r>
        <w:rPr>
          <w:rFonts w:eastAsia="黑体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1.行政许可事项名称及编码</w:t>
      </w:r>
      <w:bookmarkEnd w:id="0"/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bookmarkStart w:id="1" w:name="_Toc2089527096"/>
      <w:r>
        <w:rPr>
          <w:rFonts w:eastAsia="仿宋_GB2312"/>
          <w:sz w:val="30"/>
          <w:szCs w:val="30"/>
        </w:rPr>
        <w:t>经常项目特定收支业务核准【00017110200Y】</w:t>
      </w:r>
      <w:bookmarkEnd w:id="1"/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bookmarkStart w:id="2" w:name="_Toc1525380920"/>
      <w:r>
        <w:rPr>
          <w:rFonts w:eastAsia="仿宋_GB2312"/>
          <w:sz w:val="30"/>
          <w:szCs w:val="30"/>
        </w:rPr>
        <w:t>2.行政许可事项子项名称及编码</w:t>
      </w:r>
      <w:bookmarkEnd w:id="2"/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省分局</w:t>
      </w:r>
      <w:r>
        <w:rPr>
          <w:rFonts w:eastAsia="仿宋_GB2312"/>
          <w:sz w:val="30"/>
          <w:szCs w:val="30"/>
        </w:rPr>
        <w:t>办理的C类企业经常项目收支登记【000171102001】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bookmarkStart w:id="3" w:name="_Toc2063580263"/>
      <w:r>
        <w:rPr>
          <w:rFonts w:eastAsia="仿宋_GB2312"/>
          <w:sz w:val="30"/>
          <w:szCs w:val="30"/>
        </w:rPr>
        <w:t>3.行政许可事项业务办理项名称及编码</w:t>
      </w:r>
      <w:bookmarkEnd w:id="3"/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bookmarkStart w:id="4" w:name="_Toc643850346"/>
      <w:r>
        <w:rPr>
          <w:rFonts w:hint="eastAsia" w:eastAsia="仿宋_GB2312"/>
          <w:sz w:val="30"/>
          <w:szCs w:val="30"/>
        </w:rPr>
        <w:t>省分局</w:t>
      </w:r>
      <w:r>
        <w:rPr>
          <w:rFonts w:eastAsia="仿宋_GB2312"/>
          <w:sz w:val="30"/>
          <w:szCs w:val="30"/>
        </w:rPr>
        <w:t>办理的C类企业经常项目收支登记实施规范（00017110200101）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本指南适用于</w:t>
      </w:r>
      <w:r>
        <w:rPr>
          <w:rFonts w:hint="eastAsia" w:eastAsia="仿宋_GB2312"/>
          <w:sz w:val="30"/>
          <w:szCs w:val="30"/>
        </w:rPr>
        <w:t>“省分局办理的C类企业经常项目收支登记”</w:t>
      </w:r>
      <w:r>
        <w:rPr>
          <w:rFonts w:eastAsia="仿宋_GB2312"/>
          <w:sz w:val="30"/>
          <w:szCs w:val="30"/>
        </w:rPr>
        <w:t>的申请和办理。</w:t>
      </w:r>
    </w:p>
    <w:bookmarkEnd w:id="4"/>
    <w:p>
      <w:pPr>
        <w:tabs>
          <w:tab w:val="left" w:pos="3718"/>
        </w:tabs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bookmarkStart w:id="5" w:name="_Toc1192412590"/>
      <w:r>
        <w:rPr>
          <w:rFonts w:eastAsia="黑体"/>
          <w:sz w:val="30"/>
          <w:szCs w:val="30"/>
        </w:rPr>
        <w:t>三、设定依据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《国务院对确需保留的行政审批项目设定行政许可的决定》</w:t>
      </w:r>
      <w:bookmarkEnd w:id="5"/>
    </w:p>
    <w:p>
      <w:pPr>
        <w:tabs>
          <w:tab w:val="left" w:pos="3718"/>
        </w:tabs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bookmarkStart w:id="6" w:name="_Toc1882534944"/>
      <w:r>
        <w:rPr>
          <w:rFonts w:hint="eastAsia" w:eastAsia="黑体"/>
          <w:sz w:val="30"/>
          <w:szCs w:val="30"/>
        </w:rPr>
        <w:t>四、办理</w:t>
      </w:r>
      <w:r>
        <w:rPr>
          <w:rFonts w:eastAsia="黑体"/>
          <w:sz w:val="30"/>
          <w:szCs w:val="30"/>
        </w:rPr>
        <w:t>依据</w:t>
      </w:r>
      <w:bookmarkEnd w:id="6"/>
    </w:p>
    <w:p>
      <w:pPr>
        <w:adjustRightInd w:val="0"/>
        <w:snapToGrid w:val="0"/>
        <w:spacing w:line="360" w:lineRule="auto"/>
        <w:ind w:firstLine="600"/>
        <w:jc w:val="left"/>
        <w:rPr>
          <w:rFonts w:eastAsia="仿宋_GB2312"/>
          <w:sz w:val="30"/>
          <w:szCs w:val="30"/>
        </w:rPr>
      </w:pPr>
      <w:bookmarkStart w:id="7" w:name="_Toc54488669"/>
      <w:r>
        <w:rPr>
          <w:rFonts w:eastAsia="仿宋_GB2312"/>
          <w:sz w:val="30"/>
          <w:szCs w:val="30"/>
        </w:rPr>
        <w:t>（1）</w:t>
      </w:r>
      <w:bookmarkEnd w:id="7"/>
      <w:r>
        <w:rPr>
          <w:rFonts w:eastAsia="仿宋_GB2312"/>
          <w:sz w:val="30"/>
          <w:szCs w:val="30"/>
        </w:rPr>
        <w:t>《经常项目外汇业务指引（2020年版）》（汇发〔2020〕14号文印发）第二十三条、第三十五条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eastAsia="仿宋_GB2312"/>
          <w:sz w:val="30"/>
          <w:szCs w:val="30"/>
        </w:rPr>
      </w:pPr>
      <w:bookmarkStart w:id="8" w:name="_Toc1882612011"/>
      <w:r>
        <w:rPr>
          <w:rFonts w:eastAsia="仿宋_GB2312"/>
          <w:sz w:val="30"/>
          <w:szCs w:val="30"/>
        </w:rPr>
        <w:t>（2）《国家外汇管理局行政许可实施办法》（国家外汇管理局公告2021年第1号）</w:t>
      </w:r>
      <w:bookmarkEnd w:id="8"/>
      <w:r>
        <w:rPr>
          <w:rFonts w:eastAsia="仿宋_GB2312"/>
          <w:sz w:val="30"/>
          <w:szCs w:val="30"/>
        </w:rPr>
        <w:t>全文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五、</w:t>
      </w:r>
      <w:r>
        <w:rPr>
          <w:rFonts w:eastAsia="黑体"/>
          <w:sz w:val="30"/>
          <w:szCs w:val="30"/>
        </w:rPr>
        <w:t>受理机构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申请人</w:t>
      </w:r>
      <w:r>
        <w:rPr>
          <w:rFonts w:eastAsia="仿宋_GB2312"/>
          <w:sz w:val="30"/>
          <w:szCs w:val="30"/>
        </w:rPr>
        <w:t>所在地</w:t>
      </w:r>
      <w:r>
        <w:rPr>
          <w:rFonts w:hint="eastAsia" w:eastAsia="仿宋_GB2312"/>
          <w:sz w:val="30"/>
          <w:szCs w:val="30"/>
        </w:rPr>
        <w:t>国家外汇管理局省分局</w:t>
      </w:r>
      <w:r>
        <w:rPr>
          <w:rFonts w:eastAsia="仿宋_GB2312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六、</w:t>
      </w:r>
      <w:r>
        <w:rPr>
          <w:rFonts w:eastAsia="黑体"/>
          <w:sz w:val="30"/>
          <w:szCs w:val="30"/>
        </w:rPr>
        <w:t>决定机构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申请人</w:t>
      </w:r>
      <w:r>
        <w:rPr>
          <w:rFonts w:eastAsia="仿宋_GB2312"/>
          <w:sz w:val="30"/>
          <w:szCs w:val="30"/>
        </w:rPr>
        <w:t>所在地</w:t>
      </w:r>
      <w:r>
        <w:rPr>
          <w:rFonts w:hint="eastAsia" w:eastAsia="仿宋_GB2312"/>
          <w:sz w:val="30"/>
          <w:szCs w:val="30"/>
        </w:rPr>
        <w:t>国家外汇管理局省分局</w:t>
      </w:r>
      <w:r>
        <w:rPr>
          <w:rFonts w:eastAsia="仿宋_GB2312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七、</w:t>
      </w:r>
      <w:r>
        <w:rPr>
          <w:rFonts w:eastAsia="黑体"/>
          <w:sz w:val="30"/>
          <w:szCs w:val="30"/>
        </w:rPr>
        <w:t>审批数量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无数量限制</w:t>
      </w:r>
      <w:r>
        <w:rPr>
          <w:rFonts w:hint="eastAsia" w:eastAsia="仿宋_GB2312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bookmarkStart w:id="9" w:name="_Toc1971317738"/>
      <w:r>
        <w:rPr>
          <w:rFonts w:hint="eastAsia" w:eastAsia="黑体"/>
          <w:sz w:val="30"/>
          <w:szCs w:val="30"/>
        </w:rPr>
        <w:t>八、</w:t>
      </w:r>
      <w:r>
        <w:rPr>
          <w:rFonts w:eastAsia="黑体"/>
          <w:sz w:val="30"/>
          <w:szCs w:val="30"/>
        </w:rPr>
        <w:t>办事条件</w:t>
      </w:r>
    </w:p>
    <w:bookmarkEnd w:id="9"/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申请人为</w:t>
      </w:r>
      <w:r>
        <w:rPr>
          <w:rFonts w:eastAsia="仿宋_GB2312"/>
          <w:sz w:val="30"/>
          <w:szCs w:val="30"/>
        </w:rPr>
        <w:t>货物贸易外汇收支分类为C类的企业</w:t>
      </w:r>
      <w:r>
        <w:rPr>
          <w:rFonts w:hint="eastAsia" w:eastAsia="仿宋_GB2312"/>
          <w:sz w:val="30"/>
          <w:szCs w:val="30"/>
        </w:rPr>
        <w:t>，基于真实合规交易背景需要办理发生</w:t>
      </w:r>
      <w:r>
        <w:rPr>
          <w:rFonts w:eastAsia="仿宋_GB2312"/>
          <w:sz w:val="30"/>
          <w:szCs w:val="30"/>
        </w:rPr>
        <w:t>货物贸易外汇收支。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C类企业原则上不得办理90天以上（不含）的远期信用证（含展期）、海外代付等进口贸易融资业务；不得办理90天以上（不含）的延期付款、托收业务；不得签订包含90天以上（不含）收汇条款的出口合同；不得办理离岸转手买卖外汇收支业务。</w:t>
      </w:r>
      <w:bookmarkStart w:id="10" w:name="_Toc1748493208"/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九</w:t>
      </w:r>
      <w:r>
        <w:rPr>
          <w:rFonts w:eastAsia="黑体"/>
          <w:sz w:val="30"/>
          <w:szCs w:val="30"/>
        </w:rPr>
        <w:t>、申请材料</w:t>
      </w:r>
      <w:bookmarkEnd w:id="10"/>
    </w:p>
    <w:tbl>
      <w:tblPr>
        <w:tblStyle w:val="6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0"/>
        <w:gridCol w:w="942"/>
        <w:gridCol w:w="512"/>
        <w:gridCol w:w="653"/>
        <w:gridCol w:w="4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5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1550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提交材料名称</w:t>
            </w:r>
          </w:p>
        </w:tc>
        <w:tc>
          <w:tcPr>
            <w:tcW w:w="942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原件/复印件</w:t>
            </w:r>
          </w:p>
        </w:tc>
        <w:tc>
          <w:tcPr>
            <w:tcW w:w="512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份数</w:t>
            </w:r>
          </w:p>
        </w:tc>
        <w:tc>
          <w:tcPr>
            <w:tcW w:w="653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纸质/电子</w:t>
            </w:r>
          </w:p>
        </w:tc>
        <w:tc>
          <w:tcPr>
            <w:tcW w:w="4331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50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书面申请</w:t>
            </w:r>
          </w:p>
        </w:tc>
        <w:tc>
          <w:tcPr>
            <w:tcW w:w="942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加盖公章的原件</w:t>
            </w:r>
          </w:p>
        </w:tc>
        <w:tc>
          <w:tcPr>
            <w:tcW w:w="512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653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纸质</w:t>
            </w:r>
          </w:p>
        </w:tc>
        <w:tc>
          <w:tcPr>
            <w:tcW w:w="4331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内容包括但不限于说明需登记的事项和具体内容。对于贸易收汇的退汇支付和贸易付汇的退汇收入，应在书面申请中具体说明退汇原因以及退汇同时是否发生货物退运。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</w:trPr>
        <w:tc>
          <w:tcPr>
            <w:tcW w:w="5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50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合同</w:t>
            </w:r>
          </w:p>
        </w:tc>
        <w:tc>
          <w:tcPr>
            <w:tcW w:w="942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原件或加盖公章的复印件</w:t>
            </w:r>
          </w:p>
        </w:tc>
        <w:tc>
          <w:tcPr>
            <w:tcW w:w="512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653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纸质</w:t>
            </w:r>
          </w:p>
        </w:tc>
        <w:tc>
          <w:tcPr>
            <w:tcW w:w="4331" w:type="dxa"/>
            <w:vAlign w:val="center"/>
          </w:tcPr>
          <w:p>
            <w:pPr>
              <w:ind w:firstLine="0" w:firstLineChars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1.一般情况（含因汇路不畅需要使用外币现钞结算的）应提交进口合同或出口合同。</w:t>
            </w:r>
          </w:p>
          <w:p>
            <w:pPr>
              <w:ind w:firstLine="0" w:firstLineChars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2.对于贸易收汇的退汇支付，因错误汇入以外的其他原因产生的，提交原出口合同。</w:t>
            </w:r>
          </w:p>
          <w:p>
            <w:pPr>
              <w:ind w:firstLine="0" w:firstLineChars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3.对于贸易付汇的退汇收入，因错误汇出以外的其他原因产生的，提交原进口合同。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5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550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发票</w:t>
            </w:r>
          </w:p>
        </w:tc>
        <w:tc>
          <w:tcPr>
            <w:tcW w:w="942" w:type="dxa"/>
            <w:vAlign w:val="center"/>
          </w:tcPr>
          <w:p>
            <w:pPr>
              <w:ind w:firstLine="0" w:firstLineChars="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原件或加盖公章的复印件</w:t>
            </w:r>
          </w:p>
        </w:tc>
        <w:tc>
          <w:tcPr>
            <w:tcW w:w="512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653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纸质</w:t>
            </w:r>
          </w:p>
        </w:tc>
        <w:tc>
          <w:tcPr>
            <w:tcW w:w="4331" w:type="dxa"/>
            <w:vAlign w:val="center"/>
          </w:tcPr>
          <w:p>
            <w:pPr>
              <w:ind w:firstLine="0" w:firstLineChars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1.预付货款和预收货款方式结算时提供。</w:t>
            </w:r>
          </w:p>
          <w:p>
            <w:pPr>
              <w:ind w:firstLine="0" w:firstLineChars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2.出口贸易融资放款时提供。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550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报关单</w:t>
            </w:r>
          </w:p>
        </w:tc>
        <w:tc>
          <w:tcPr>
            <w:tcW w:w="942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加盖公章的复印件</w:t>
            </w:r>
          </w:p>
        </w:tc>
        <w:tc>
          <w:tcPr>
            <w:tcW w:w="512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653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纸质</w:t>
            </w:r>
          </w:p>
        </w:tc>
        <w:tc>
          <w:tcPr>
            <w:tcW w:w="4331" w:type="dxa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1.除信用证、托收、预付货款、预收货款外其他方式结算，货物已进口报关或出口报关的，需提供报关单，货物不报关的，可提供运输单据等其他材料。</w:t>
            </w:r>
          </w:p>
          <w:p>
            <w:pPr>
              <w:widowControl/>
              <w:ind w:firstLine="0" w:firstLineChars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2.发生货物退运而产生贸易收汇的退汇支付时应提供进口报关单；发生货物退运而产生贸易付汇的退汇收入时应提供出口报关单，货物不报关的，可提供运输单据等其他材料。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5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50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《中华人民共和国海关进境旅客行李物品申报单》</w:t>
            </w:r>
          </w:p>
        </w:tc>
        <w:tc>
          <w:tcPr>
            <w:tcW w:w="942" w:type="dxa"/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12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653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纸质</w:t>
            </w:r>
          </w:p>
        </w:tc>
        <w:tc>
          <w:tcPr>
            <w:tcW w:w="4331" w:type="dxa"/>
            <w:vAlign w:val="center"/>
          </w:tcPr>
          <w:p>
            <w:pPr>
              <w:ind w:firstLine="0" w:firstLineChars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因汇路不畅需要使用外币现钞结算的，办理超过规定入境申报金额的外币现钞结汇业务登记时应提交。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5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550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捐赠协议</w:t>
            </w:r>
          </w:p>
        </w:tc>
        <w:tc>
          <w:tcPr>
            <w:tcW w:w="942" w:type="dxa"/>
            <w:vAlign w:val="center"/>
          </w:tcPr>
          <w:p>
            <w:pPr>
              <w:ind w:firstLine="0" w:firstLineChars="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原件或加盖公章的复印件</w:t>
            </w:r>
          </w:p>
        </w:tc>
        <w:tc>
          <w:tcPr>
            <w:tcW w:w="512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653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纸质</w:t>
            </w:r>
          </w:p>
        </w:tc>
        <w:tc>
          <w:tcPr>
            <w:tcW w:w="4331" w:type="dxa"/>
            <w:vAlign w:val="center"/>
          </w:tcPr>
          <w:p>
            <w:pPr>
              <w:ind w:firstLine="0" w:firstLineChars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对于进口与支出主体不一致的业务，属于捐赠进口业务的，应提交捐赠协议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550" w:type="dxa"/>
            <w:vAlign w:val="center"/>
          </w:tcPr>
          <w:p>
            <w:pPr>
              <w:ind w:firstLine="0" w:firstLineChars="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与金融机构签订的融资协议</w:t>
            </w:r>
          </w:p>
        </w:tc>
        <w:tc>
          <w:tcPr>
            <w:tcW w:w="942" w:type="dxa"/>
            <w:vAlign w:val="center"/>
          </w:tcPr>
          <w:p>
            <w:pPr>
              <w:ind w:firstLine="0" w:firstLineChars="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原件或加盖公章的复印件</w:t>
            </w:r>
          </w:p>
        </w:tc>
        <w:tc>
          <w:tcPr>
            <w:tcW w:w="512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653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纸质</w:t>
            </w:r>
          </w:p>
        </w:tc>
        <w:tc>
          <w:tcPr>
            <w:tcW w:w="4331" w:type="dxa"/>
            <w:vAlign w:val="center"/>
          </w:tcPr>
          <w:p>
            <w:pPr>
              <w:ind w:firstLine="0" w:firstLineChars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办理出口贸易融资放款时应提供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550" w:type="dxa"/>
            <w:vAlign w:val="center"/>
          </w:tcPr>
          <w:p>
            <w:pPr>
              <w:ind w:firstLine="0" w:firstLineChars="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分立、合并证明文件</w:t>
            </w:r>
          </w:p>
        </w:tc>
        <w:tc>
          <w:tcPr>
            <w:tcW w:w="942" w:type="dxa"/>
            <w:vAlign w:val="center"/>
          </w:tcPr>
          <w:p>
            <w:pPr>
              <w:ind w:firstLine="0" w:firstLineChars="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原件或加盖公章的复印件</w:t>
            </w:r>
          </w:p>
        </w:tc>
        <w:tc>
          <w:tcPr>
            <w:tcW w:w="512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653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纸质</w:t>
            </w:r>
          </w:p>
        </w:tc>
        <w:tc>
          <w:tcPr>
            <w:tcW w:w="4331" w:type="dxa"/>
            <w:vAlign w:val="center"/>
          </w:tcPr>
          <w:p>
            <w:pPr>
              <w:ind w:firstLine="0" w:firstLineChars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因企业分立、合并原因导致进口与支出主体或出口与收入主体不一致的，应提交相关部门出具的分立、合并证明文件</w:t>
            </w:r>
          </w:p>
        </w:tc>
      </w:tr>
    </w:tbl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十、</w:t>
      </w:r>
      <w:r>
        <w:rPr>
          <w:rFonts w:hint="eastAsia" w:eastAsia="黑体"/>
          <w:sz w:val="30"/>
          <w:szCs w:val="30"/>
        </w:rPr>
        <w:t>申请接受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申请人可通过窗口</w:t>
      </w:r>
      <w:r>
        <w:rPr>
          <w:rFonts w:hint="eastAsia" w:eastAsia="仿宋_GB2312"/>
          <w:sz w:val="30"/>
          <w:szCs w:val="30"/>
        </w:rPr>
        <w:t>、邮寄等</w:t>
      </w:r>
      <w:r>
        <w:rPr>
          <w:rFonts w:eastAsia="仿宋_GB2312"/>
          <w:sz w:val="30"/>
          <w:szCs w:val="30"/>
        </w:rPr>
        <w:t>方式提交材料。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十一、</w:t>
      </w:r>
      <w:r>
        <w:rPr>
          <w:rFonts w:eastAsia="黑体"/>
          <w:sz w:val="30"/>
          <w:szCs w:val="30"/>
        </w:rPr>
        <w:t>基本办理流程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2.决定是否予以受理；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3.不予受理的，出具不予受理通知书；受理的，出具受理通知书，进行审查报批；</w:t>
      </w:r>
    </w:p>
    <w:p>
      <w:pPr>
        <w:adjustRightInd w:val="0"/>
        <w:snapToGrid w:val="0"/>
        <w:spacing w:line="360" w:lineRule="auto"/>
        <w:ind w:firstLine="600"/>
        <w:contextualSpacing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4.不予许可的，出具不予许可</w:t>
      </w:r>
      <w:r>
        <w:rPr>
          <w:rFonts w:hint="eastAsia" w:eastAsia="仿宋_GB2312"/>
          <w:sz w:val="30"/>
          <w:szCs w:val="30"/>
        </w:rPr>
        <w:t>决定</w:t>
      </w:r>
      <w:r>
        <w:rPr>
          <w:rFonts w:eastAsia="仿宋_GB2312"/>
          <w:sz w:val="30"/>
          <w:szCs w:val="30"/>
        </w:rPr>
        <w:t>书。许可的，向申请人出具《贸易外汇业务登记表》。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5.材料不全或不符合法定形式的，一次性告知补正材料，并出具《行政许可补正通知书》。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十二、</w:t>
      </w:r>
      <w:r>
        <w:rPr>
          <w:rFonts w:eastAsia="黑体"/>
          <w:sz w:val="30"/>
          <w:szCs w:val="30"/>
        </w:rPr>
        <w:t>办理方式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一般程序：申请、受理、审查、出具</w:t>
      </w:r>
      <w:r>
        <w:rPr>
          <w:rFonts w:hint="eastAsia" w:eastAsia="仿宋_GB2312"/>
          <w:sz w:val="30"/>
          <w:szCs w:val="30"/>
        </w:rPr>
        <w:t>《贸易外汇业务登记表》。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十三、</w:t>
      </w:r>
      <w:r>
        <w:rPr>
          <w:rFonts w:eastAsia="黑体"/>
          <w:sz w:val="30"/>
          <w:szCs w:val="30"/>
        </w:rPr>
        <w:t>审批时限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20个工作日。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十四、</w:t>
      </w:r>
      <w:r>
        <w:rPr>
          <w:rFonts w:eastAsia="黑体"/>
          <w:sz w:val="30"/>
          <w:szCs w:val="30"/>
        </w:rPr>
        <w:t>审批收费依据及标准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十五、</w:t>
      </w:r>
      <w:r>
        <w:rPr>
          <w:rFonts w:eastAsia="黑体"/>
          <w:sz w:val="30"/>
          <w:szCs w:val="30"/>
        </w:rPr>
        <w:t>审批结果</w:t>
      </w:r>
    </w:p>
    <w:p>
      <w:pPr>
        <w:adjustRightInd w:val="0"/>
        <w:snapToGrid w:val="0"/>
        <w:spacing w:line="360" w:lineRule="auto"/>
        <w:ind w:firstLine="600"/>
        <w:contextualSpacing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《贸易外汇业务登记表》</w:t>
      </w:r>
      <w:r>
        <w:rPr>
          <w:rFonts w:hint="eastAsia" w:eastAsia="仿宋_GB2312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十六、</w:t>
      </w:r>
      <w:r>
        <w:rPr>
          <w:rFonts w:eastAsia="黑体"/>
          <w:sz w:val="30"/>
          <w:szCs w:val="30"/>
        </w:rPr>
        <w:t>结果送达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通过现场告知或电话通知申请人，并通过现场领取或邮寄方式将结果送达。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十七、</w:t>
      </w:r>
      <w:r>
        <w:rPr>
          <w:rFonts w:eastAsia="黑体"/>
          <w:sz w:val="30"/>
          <w:szCs w:val="30"/>
        </w:rPr>
        <w:t>申请人权利和义务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十八、</w:t>
      </w:r>
      <w:r>
        <w:rPr>
          <w:rFonts w:eastAsia="黑体"/>
          <w:sz w:val="30"/>
          <w:szCs w:val="30"/>
        </w:rPr>
        <w:t>事项审查类型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前审后批</w:t>
      </w:r>
      <w:r>
        <w:rPr>
          <w:rFonts w:hint="eastAsia" w:eastAsia="仿宋_GB2312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十九、咨询途径、监督和投诉、办公地址和时间、公开查询方式等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向注册所在地外汇局进行咨询、办理进程查询、监督和投诉等，可通过国家外汇管理局官方互联网站www.safe.gov.cn链接至江苏分局“业务指南”栏目中公布的电话进行。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二十、</w:t>
      </w:r>
      <w:r>
        <w:rPr>
          <w:rFonts w:eastAsia="黑体"/>
          <w:sz w:val="30"/>
          <w:szCs w:val="30"/>
        </w:rPr>
        <w:t>禁止性要求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如符合上述条件，不存在不予许可的情况。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二十一、</w:t>
      </w:r>
      <w:r>
        <w:rPr>
          <w:rFonts w:eastAsia="黑体"/>
          <w:sz w:val="30"/>
          <w:szCs w:val="30"/>
        </w:rPr>
        <w:t>申请材料示范文本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无固定格式，</w:t>
      </w:r>
      <w:r>
        <w:rPr>
          <w:rFonts w:hint="eastAsia" w:eastAsia="仿宋_GB2312"/>
          <w:sz w:val="30"/>
          <w:szCs w:val="30"/>
        </w:rPr>
        <w:t>有关内容要求详见“九、申请材料”。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二十二、</w:t>
      </w:r>
      <w:r>
        <w:rPr>
          <w:rFonts w:eastAsia="黑体"/>
          <w:sz w:val="30"/>
          <w:szCs w:val="30"/>
        </w:rPr>
        <w:t>常见问题解答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审批时限在20个工作日以内。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《贸易外汇业务登记表》有效期原则上不超过1个月。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二十三、</w:t>
      </w:r>
      <w:r>
        <w:rPr>
          <w:rFonts w:eastAsia="黑体"/>
          <w:sz w:val="30"/>
          <w:szCs w:val="30"/>
        </w:rPr>
        <w:t>常见错误示例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申请材料不完全符合规定，例如</w:t>
      </w:r>
      <w:r>
        <w:rPr>
          <w:rFonts w:hint="eastAsia" w:eastAsia="仿宋_GB2312"/>
          <w:sz w:val="30"/>
          <w:szCs w:val="30"/>
        </w:rPr>
        <w:t>合同</w:t>
      </w:r>
      <w:r>
        <w:rPr>
          <w:rFonts w:eastAsia="仿宋_GB2312"/>
          <w:sz w:val="30"/>
          <w:szCs w:val="30"/>
        </w:rPr>
        <w:t>复印件未加盖公章等。</w:t>
      </w:r>
      <w:r>
        <w:rPr>
          <w:rFonts w:eastAsia="仿宋_GB2312"/>
          <w:sz w:val="30"/>
          <w:szCs w:val="30"/>
        </w:rPr>
        <w:br w:type="page"/>
      </w:r>
      <w:r>
        <w:rPr>
          <w:rFonts w:eastAsia="仿宋_GB2312"/>
          <w:sz w:val="30"/>
          <w:szCs w:val="30"/>
        </w:rPr>
        <w:t>附</w:t>
      </w:r>
      <w:r>
        <w:rPr>
          <w:rFonts w:hint="eastAsia" w:eastAsia="仿宋_GB2312"/>
          <w:sz w:val="30"/>
          <w:szCs w:val="30"/>
        </w:rPr>
        <w:t>录</w:t>
      </w:r>
    </w:p>
    <w:p>
      <w:pPr>
        <w:ind w:right="300" w:firstLine="600"/>
        <w:jc w:val="center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基本流程图</w:t>
      </w:r>
    </w:p>
    <w:p>
      <w:pPr>
        <w:ind w:right="300" w:firstLine="600"/>
        <w:jc w:val="center"/>
        <w:rPr>
          <w:rFonts w:eastAsia="黑体"/>
          <w:sz w:val="30"/>
          <w:szCs w:val="30"/>
        </w:rPr>
      </w:pPr>
    </w:p>
    <w:p>
      <w:pPr>
        <w:ind w:right="300" w:firstLine="600"/>
        <w:jc w:val="center"/>
        <w:rPr>
          <w:rFonts w:eastAsia="仿宋_GB2312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399" o:spid="_x0000_s1027" style="position:absolute;left:0;margin-left:-1.45pt;margin-top:12.9pt;height:56.15pt;width:148.4pt;rotation:0f;z-index:251674624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before="34"/>
                    <w:ind w:firstLine="0" w:firstLineChars="0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申请人以现场、邮寄等方式提出书面申请，并提交材料</w:t>
                  </w:r>
                </w:p>
                <w:p>
                  <w:pPr>
                    <w:ind w:firstLine="560"/>
                  </w:pPr>
                </w:p>
              </w:txbxContent>
            </v:textbox>
          </v:rect>
        </w:pict>
      </w:r>
    </w:p>
    <w:p>
      <w:pPr>
        <w:ind w:right="300" w:firstLine="600"/>
        <w:jc w:val="center"/>
        <w:rPr>
          <w:rFonts w:eastAsia="仿宋_GB2312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394" o:spid="_x0000_s1028" style="position:absolute;left:0;margin-left:273.6pt;margin-top:26.7pt;height:39.8pt;width:104.7pt;rotation:0f;z-index:251669504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申请人补全材料</w:t>
                  </w:r>
                </w:p>
                <w:p>
                  <w:pPr>
                    <w:ind w:firstLine="560"/>
                  </w:pPr>
                </w:p>
              </w:txbxContent>
            </v:textbox>
          </v:rect>
        </w:pict>
      </w:r>
    </w:p>
    <w:p>
      <w:pPr>
        <w:ind w:right="300" w:firstLine="600"/>
        <w:jc w:val="center"/>
        <w:rPr>
          <w:rFonts w:eastAsia="仿宋_GB2312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7" o:spid="_x0000_s1029" type="#_x0000_t32" style="position:absolute;left:0;flip:x;margin-left:41.45pt;margin-top:21.05pt;height:0.05pt;width:232.15pt;rotation:0f;z-index:251662336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3" o:spid="_x0000_s1030" type="#_x0000_t32" style="position:absolute;left:0;margin-left:40.6pt;margin-top:6.65pt;height:73.4pt;width:0.85pt;rotation:0f;z-index:251658240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ind w:right="300" w:firstLine="600"/>
        <w:jc w:val="left"/>
        <w:rPr>
          <w:rFonts w:eastAsia="仿宋_GB2312"/>
          <w:sz w:val="30"/>
          <w:szCs w:val="30"/>
        </w:rPr>
        <w:sectPr>
          <w:footerReference r:id="rId7" w:type="first"/>
          <w:headerReference r:id="rId4" w:type="default"/>
          <w:footerReference r:id="rId5" w:type="default"/>
          <w:footerReference r:id="rId6" w:type="even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92" o:spid="_x0000_s1031" type="#_x0000_t32" style="position:absolute;left:0;margin-left:40.6pt;margin-top:182.85pt;height:0.05pt;width:41.1pt;rotation:0f;z-index:251667456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91" o:spid="_x0000_s1032" type="#_x0000_t32" style="position:absolute;left:0;margin-left:40.6pt;margin-top:113.3pt;height:69.55pt;width:0.05pt;rotation:0f;z-index:251666432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5" o:spid="_x0000_s1033" type="#_x0000_t32" style="position:absolute;left:0;margin-left:93.35pt;margin-top:101.65pt;height:0.05pt;width:58.6pt;rotation:0f;z-index:251660288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9" o:spid="_x0000_s1034" type="#_x0000_t32" style="position:absolute;left:0;margin-left:237.35pt;margin-top:253.15pt;height:45.25pt;width:0.85pt;rotation:0f;z-index:251664384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90" o:spid="_x0000_s1035" type="#_x0000_t32" style="position:absolute;left:0;margin-left:131.6pt;margin-top:253.15pt;height:45.25pt;width:0.05pt;rotation:0f;z-index:251665408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8" o:spid="_x0000_s1036" type="#_x0000_t32" style="position:absolute;left:0;margin-left:179.6pt;margin-top:204.6pt;height:21.85pt;width:0.05pt;rotation:0f;z-index:251663360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ind w:right="300" w:firstLine="600"/>
        <w:rPr>
          <w:rFonts w:eastAsia="仿宋_GB2312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4" o:spid="_x0000_s1037" type="#_x0000_t32" style="position:absolute;left:0;margin-left:89.25pt;margin-top:61.45pt;height:0.05pt;width:62.7pt;rotation:0f;z-index:251659264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401" o:spid="_x0000_s1038" style="position:absolute;left:0;margin-left:199.5pt;margin-top:298.4pt;height:69.85pt;width:87.35pt;rotation:0f;z-index:251676672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依法作出不予许可决定，并送达</w:t>
                  </w:r>
                </w:p>
                <w:p>
                  <w:pPr>
                    <w:ind w:firstLine="560"/>
                  </w:pPr>
                </w:p>
              </w:txbxContent>
            </v:textbox>
          </v:rect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400" o:spid="_x0000_s1039" style="position:absolute;left:0;margin-left:81.65pt;margin-top:298.4pt;height:70.4pt;width:87.35pt;rotation:0f;z-index:251675648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予以许可，向申请人出具《贸易外汇业务登记表》</w:t>
                  </w:r>
                </w:p>
                <w:p>
                  <w:pPr>
                    <w:ind w:firstLine="560"/>
                  </w:pPr>
                </w:p>
              </w:txbxContent>
            </v:textbox>
          </v:rect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398" o:spid="_x0000_s1040" style="position:absolute;left:0;margin-left:81.7pt;margin-top:226.45pt;height:26.7pt;width:212.6pt;rotation:0f;z-index:251673600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  <w:jc w:val="center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审查报批</w:t>
                  </w:r>
                </w:p>
                <w:p>
                  <w:pPr>
                    <w:ind w:firstLine="560"/>
                  </w:pPr>
                </w:p>
              </w:txbxContent>
            </v:textbox>
          </v:rect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397" o:spid="_x0000_s1041" style="position:absolute;left:0;margin-left:81.65pt;margin-top:174.45pt;height:30.15pt;width:205.2pt;rotation:0f;z-index:251672576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  <w:jc w:val="center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依法应予受理，出具受理单</w:t>
                  </w:r>
                </w:p>
                <w:p>
                  <w:pPr>
                    <w:ind w:firstLine="560"/>
                  </w:pPr>
                </w:p>
              </w:txbxContent>
            </v:textbox>
          </v:rect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6" o:spid="_x0000_s1042" type="#_x0000_t32" style="position:absolute;left:0;flip:y;margin-left:319.55pt;margin-top:4.1pt;height:44.75pt;width:0.05pt;rotation:0f;z-index:251661312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396" o:spid="_x0000_s1043" style="position:absolute;left:0;margin-left:151.95pt;margin-top:91.45pt;height:45.3pt;width:268.1pt;rotation:0f;z-index:251671552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依法不予受理的，作出不予受理决定，出具不予受理通知书</w:t>
                  </w:r>
                </w:p>
              </w:txbxContent>
            </v:textbox>
          </v:rect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395" o:spid="_x0000_s1044" style="position:absolute;left:0;margin-left:151.95pt;margin-top:48.85pt;height:25pt;width:268.1pt;rotation:0f;z-index:251670528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材料不全或不符合法定形式的，一次性告知补正材料</w:t>
                  </w:r>
                </w:p>
                <w:p>
                  <w:pPr>
                    <w:ind w:firstLine="560"/>
                  </w:pPr>
                </w:p>
              </w:txbxContent>
            </v:textbox>
          </v:rect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Flowchart: Decision 393" o:spid="_x0000_s1045" type="#_x0000_t110" style="position:absolute;left:0;margin-left:-39.65pt;margin-top:35.35pt;height:102.7pt;width:163.7pt;rotation:0f;z-index:251668480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当场（或5个工作日内）作出是否受理决定</w:t>
                  </w:r>
                </w:p>
                <w:p>
                  <w:pPr>
                    <w:ind w:firstLine="560"/>
                  </w:pPr>
                </w:p>
              </w:txbxContent>
            </v:textbox>
          </v:shape>
        </w:pict>
      </w:r>
    </w:p>
    <w:sectPr>
      <w:footerReference r:id="rId8" w:type="default"/>
      <w:type w:val="continuous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firstLine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191</w:t>
    </w:r>
    <w:r>
      <w:rPr>
        <w:lang w:val="zh-CN"/>
      </w:rPr>
      <w:fldChar w:fldCharType="end"/>
    </w:r>
  </w:p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28984527">
    <w:nsid w:val="139BE7CF"/>
    <w:multiLevelType w:val="singleLevel"/>
    <w:tmpl w:val="139BE7CF"/>
    <w:lvl w:ilvl="0" w:tentative="1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289845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C3717"/>
    <w:rsid w:val="002C28D1"/>
    <w:rsid w:val="00304043"/>
    <w:rsid w:val="008C56E0"/>
    <w:rsid w:val="00CC3717"/>
    <w:rsid w:val="00F048E3"/>
    <w:rsid w:val="04A071A7"/>
    <w:rsid w:val="0959711D"/>
    <w:rsid w:val="095D550F"/>
    <w:rsid w:val="0E530487"/>
    <w:rsid w:val="12E95E16"/>
    <w:rsid w:val="154432DB"/>
    <w:rsid w:val="18855B5D"/>
    <w:rsid w:val="1AB226EB"/>
    <w:rsid w:val="1C567013"/>
    <w:rsid w:val="2314499D"/>
    <w:rsid w:val="23575E2B"/>
    <w:rsid w:val="24DA38E3"/>
    <w:rsid w:val="271414AB"/>
    <w:rsid w:val="2BF854B1"/>
    <w:rsid w:val="2D2F2FAF"/>
    <w:rsid w:val="2FC8300B"/>
    <w:rsid w:val="304D41CA"/>
    <w:rsid w:val="313B09E2"/>
    <w:rsid w:val="3B405AD3"/>
    <w:rsid w:val="3B5206E1"/>
    <w:rsid w:val="43374BAA"/>
    <w:rsid w:val="45001185"/>
    <w:rsid w:val="46872B0B"/>
    <w:rsid w:val="46D67C99"/>
    <w:rsid w:val="46F463AC"/>
    <w:rsid w:val="49E30645"/>
    <w:rsid w:val="50345DF0"/>
    <w:rsid w:val="50B22EF2"/>
    <w:rsid w:val="5378142F"/>
    <w:rsid w:val="54B07EFF"/>
    <w:rsid w:val="5902678E"/>
    <w:rsid w:val="597326B6"/>
    <w:rsid w:val="5A276856"/>
    <w:rsid w:val="5D472117"/>
    <w:rsid w:val="5F797017"/>
    <w:rsid w:val="620939AC"/>
    <w:rsid w:val="63D26974"/>
    <w:rsid w:val="67D469E8"/>
    <w:rsid w:val="6F0E432A"/>
    <w:rsid w:val="733F3BA1"/>
    <w:rsid w:val="759B2392"/>
    <w:rsid w:val="75D649BF"/>
    <w:rsid w:val="7AC515FB"/>
    <w:rsid w:val="7CB42566"/>
    <w:rsid w:val="7FFA7403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ind w:firstLine="720" w:firstLineChars="200"/>
      <w:jc w:val="both"/>
    </w:pPr>
    <w:rPr>
      <w:rFonts w:ascii="Times New Roman" w:hAnsi="Times New Roman" w:eastAsia="方正仿宋_GBK" w:cs="Times New Roman"/>
      <w:kern w:val="2"/>
      <w:sz w:val="28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toc 3"/>
    <w:basedOn w:val="1"/>
    <w:next w:val="1"/>
    <w:unhideWhenUsed/>
    <w:qFormat/>
    <w:uiPriority w:val="39"/>
    <w:pPr>
      <w:ind w:left="840" w:leftChars="400"/>
    </w:p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360"/>
      <w:jc w:val="center"/>
    </w:pPr>
    <w:rPr>
      <w:sz w:val="18"/>
      <w:szCs w:val="18"/>
    </w:rPr>
  </w:style>
  <w:style w:type="table" w:styleId="7">
    <w:name w:val="Table Grid"/>
    <w:basedOn w:val="6"/>
    <w:unhideWhenUsed/>
    <w:uiPriority w:val="99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8">
    <w:name w:val="页眉 Char"/>
    <w:basedOn w:val="5"/>
    <w:link w:val="4"/>
    <w:uiPriority w:val="0"/>
    <w:rPr>
      <w:rFonts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326</Words>
  <Characters>1864</Characters>
  <Lines>15</Lines>
  <Paragraphs>4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2023-03-03T02:45:00Z</dcterms:created>
  <dc:creator>sun</dc:creator>
  <cp:lastModifiedBy>sun</cp:lastModifiedBy>
  <dcterms:modified xsi:type="dcterms:W3CDTF">2023-09-28T00:31:08Z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