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000171102008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“市分局办理的超过收、付汇额度的B类企业经常项目收支登记”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0" w:name="_GoBack"/>
      <w:bookmarkEnd w:id="10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市分局办理的超过收、付汇额度的B类企业经常项目收支登记</w:t>
      </w:r>
      <w:r>
        <w:rPr>
          <w:rFonts w:eastAsia="仿宋_GB2312"/>
          <w:sz w:val="30"/>
          <w:szCs w:val="30"/>
        </w:rPr>
        <w:t>【000171102008】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市分局办理的超过收、付汇额度的B类企业经常项目收支登记（00017110200801）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“市分局办理的超过收、付汇额度的B类企业经常项目收支登记”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《经常项目外汇业务指引（2020年版）》（汇发〔2020〕14号文印发）第二十三条、第三十四条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货物贸易外汇收支分类为B类的企业</w:t>
      </w:r>
      <w:r>
        <w:rPr>
          <w:rFonts w:hint="eastAsia" w:eastAsia="仿宋_GB2312"/>
          <w:sz w:val="30"/>
          <w:szCs w:val="30"/>
        </w:rPr>
        <w:t>，基于</w:t>
      </w:r>
      <w:r>
        <w:rPr>
          <w:rFonts w:eastAsia="仿宋_GB2312"/>
          <w:sz w:val="30"/>
          <w:szCs w:val="30"/>
        </w:rPr>
        <w:t>真实合规</w:t>
      </w:r>
      <w:r>
        <w:rPr>
          <w:rFonts w:hint="eastAsia" w:eastAsia="仿宋_GB2312"/>
          <w:sz w:val="30"/>
          <w:szCs w:val="30"/>
        </w:rPr>
        <w:t>的交易背景，</w:t>
      </w:r>
      <w:r>
        <w:rPr>
          <w:rFonts w:eastAsia="仿宋_GB2312"/>
          <w:sz w:val="30"/>
          <w:szCs w:val="30"/>
        </w:rPr>
        <w:t>由于以下一种或多种原因造成可收、付汇额度不足</w:t>
      </w:r>
      <w:r>
        <w:rPr>
          <w:rFonts w:hint="eastAsia" w:eastAsia="仿宋_GB2312"/>
          <w:sz w:val="30"/>
          <w:szCs w:val="30"/>
        </w:rPr>
        <w:t>而需要办理发生</w:t>
      </w:r>
      <w:r>
        <w:rPr>
          <w:rFonts w:eastAsia="仿宋_GB2312"/>
          <w:sz w:val="30"/>
          <w:szCs w:val="30"/>
        </w:rPr>
        <w:t>已超过其可收、付汇额度的货物贸易外汇收支</w:t>
      </w:r>
      <w:r>
        <w:rPr>
          <w:rFonts w:hint="eastAsia"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无货物退运的退汇；错汇款退汇；海关审价；大宗散装商品溢短装；市场行情变动；外汇局认定的其他情况。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B类</w:t>
      </w:r>
      <w:r>
        <w:rPr>
          <w:rFonts w:eastAsia="仿宋_GB2312"/>
          <w:sz w:val="30"/>
          <w:szCs w:val="30"/>
        </w:rPr>
        <w:t>企业原则上不得办理90天以上（不含）的延期付款业务；</w:t>
      </w:r>
      <w:r>
        <w:rPr>
          <w:rFonts w:hint="eastAsia" w:eastAsia="仿宋_GB2312"/>
          <w:sz w:val="30"/>
          <w:szCs w:val="30"/>
        </w:rPr>
        <w:t>不得</w:t>
      </w:r>
      <w:r>
        <w:rPr>
          <w:rFonts w:eastAsia="仿宋_GB2312"/>
          <w:sz w:val="30"/>
          <w:szCs w:val="30"/>
        </w:rPr>
        <w:t>签订包含90天以上（不含）收汇条款的出口合同；</w:t>
      </w:r>
      <w:r>
        <w:rPr>
          <w:rFonts w:hint="eastAsia" w:eastAsia="仿宋_GB2312"/>
          <w:sz w:val="30"/>
          <w:szCs w:val="30"/>
        </w:rPr>
        <w:t>不得办理</w:t>
      </w:r>
      <w:r>
        <w:rPr>
          <w:rFonts w:eastAsia="仿宋_GB2312"/>
          <w:sz w:val="30"/>
          <w:szCs w:val="30"/>
        </w:rPr>
        <w:t>离岸转手买卖外汇收支业务。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11"/>
        <w:gridCol w:w="990"/>
        <w:gridCol w:w="518"/>
        <w:gridCol w:w="673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Style w:val="8"/>
                <w:rFonts w:hint="eastAsia" w:ascii="黑体" w:hAnsi="黑体" w:eastAsia="黑体" w:cs="黑体"/>
                <w:sz w:val="24"/>
                <w:szCs w:val="24"/>
              </w:rPr>
              <w:t>/</w:t>
            </w:r>
            <w:r>
              <w:rPr>
                <w:rStyle w:val="9"/>
                <w:rFonts w:hint="default" w:ascii="黑体" w:hAnsi="黑体" w:eastAsia="黑体" w:cs="黑体"/>
                <w:sz w:val="24"/>
                <w:szCs w:val="24"/>
              </w:rPr>
              <w:t>复印件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纸质</w:t>
            </w:r>
            <w:r>
              <w:rPr>
                <w:rStyle w:val="9"/>
                <w:rFonts w:hint="default" w:ascii="黑体" w:hAnsi="黑体" w:eastAsia="黑体" w:cs="黑体"/>
                <w:sz w:val="24"/>
                <w:szCs w:val="24"/>
              </w:rPr>
              <w:t>/电子</w:t>
            </w:r>
          </w:p>
        </w:tc>
        <w:tc>
          <w:tcPr>
            <w:tcW w:w="4212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书面申请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加盖公章的原件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内容包括但不限于说明B类企业具有超过可收、付汇额度收、付汇需要。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可收、付汇额度不足的证明材料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合同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1.一般情况（含因汇路不畅需要使用外币现钞结算的）应提交进口或出口合同；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2.对于贸易收汇的退汇支付，因错误汇入以外的其他原因产生的，提交原出口合同；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3.对于贸易付汇的退汇收入，因错误汇出以外的其他原因产生的，提交原进口合同。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发票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1.预付货款和预收货款方式结算时提供；</w:t>
            </w:r>
          </w:p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2.出口贸易融资放款时提供。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报关单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1.除信用证、托收、预付货款、预收货款外其他方式结算的，货物已进口报关或出口报关的，需提供报关单，货物不报关的，可提供运输单据等其他材料；</w:t>
            </w:r>
          </w:p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2.发生货物退运而产生贸易收汇的退汇支付时应提供进口报关单，发生货物退运而产生贸易付汇的退汇收入时应提供出口报关单；</w:t>
            </w:r>
          </w:p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3.因汇路不畅需要使用外币现钞结算的，办理外币现钞结汇业务登记时应提交。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捐赠协议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对于进口与支出主体不一致的业务，属于捐赠进口业务的，应提交捐赠协议。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与金融机构签订的融资协议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办理出口贸易融资放款时应提供。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1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分立、合并证明文件</w:t>
            </w:r>
          </w:p>
        </w:tc>
        <w:tc>
          <w:tcPr>
            <w:tcW w:w="99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原件或加盖公章的复印件</w:t>
            </w:r>
          </w:p>
        </w:tc>
        <w:tc>
          <w:tcPr>
            <w:tcW w:w="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纸质</w:t>
            </w:r>
          </w:p>
        </w:tc>
        <w:tc>
          <w:tcPr>
            <w:tcW w:w="421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因企业分立、合并原因导致进口与支出主体或出口与收入主体不一致的，应提交相关部门出具的分立、合并证明文件。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书。许可的，向申请人出具《贸易外汇业务登记表》。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《贸易外汇业务登记表》有效期</w:t>
      </w:r>
      <w:r>
        <w:rPr>
          <w:rFonts w:hint="eastAsia" w:eastAsia="仿宋_GB2312"/>
          <w:sz w:val="30"/>
          <w:szCs w:val="30"/>
        </w:rPr>
        <w:t>原则上不超过</w:t>
      </w:r>
      <w:r>
        <w:rPr>
          <w:rFonts w:eastAsia="仿宋_GB2312"/>
          <w:sz w:val="30"/>
          <w:szCs w:val="30"/>
        </w:rPr>
        <w:t>1个月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书面申请原件</w:t>
      </w:r>
      <w:r>
        <w:rPr>
          <w:rFonts w:eastAsia="仿宋_GB2312"/>
          <w:sz w:val="30"/>
          <w:szCs w:val="30"/>
        </w:rPr>
        <w:t>未加盖公章等。</w:t>
      </w:r>
    </w:p>
    <w:bookmarkEnd w:id="9"/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101.2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54202944">
    <w:nsid w:val="A429CD40"/>
    <w:multiLevelType w:val="singleLevel"/>
    <w:tmpl w:val="A429CD4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7542029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0E9C"/>
    <w:rsid w:val="00031390"/>
    <w:rsid w:val="00254DDB"/>
    <w:rsid w:val="00560E9C"/>
    <w:rsid w:val="006C314E"/>
    <w:rsid w:val="008662DB"/>
    <w:rsid w:val="008B325E"/>
    <w:rsid w:val="00E60586"/>
    <w:rsid w:val="0ACB741A"/>
    <w:rsid w:val="16F63BC9"/>
    <w:rsid w:val="1A252E71"/>
    <w:rsid w:val="1A4A782D"/>
    <w:rsid w:val="29EE019E"/>
    <w:rsid w:val="31A9359B"/>
    <w:rsid w:val="34F06469"/>
    <w:rsid w:val="3EA111D1"/>
    <w:rsid w:val="40100DE0"/>
    <w:rsid w:val="40D62F6B"/>
    <w:rsid w:val="4582357F"/>
    <w:rsid w:val="48C12AEC"/>
    <w:rsid w:val="4EA26D59"/>
    <w:rsid w:val="4F5F2775"/>
    <w:rsid w:val="50FD5344"/>
    <w:rsid w:val="513F35D5"/>
    <w:rsid w:val="551321A2"/>
    <w:rsid w:val="55271B57"/>
    <w:rsid w:val="5F6E3F84"/>
    <w:rsid w:val="6EC12DC3"/>
    <w:rsid w:val="71D03F2D"/>
    <w:rsid w:val="7F25257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328</Words>
  <Characters>1874</Characters>
  <Lines>15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2023-09-28T00:34:55Z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