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D8" w:rsidRDefault="00E103D8">
      <w:pPr>
        <w:rPr>
          <w:rFonts w:ascii="Times New Roman" w:eastAsia="仿宋_GB2312" w:hAnsi="Times New Roman" w:cs="Times New Roman"/>
          <w:sz w:val="30"/>
          <w:szCs w:val="30"/>
        </w:rPr>
      </w:pPr>
    </w:p>
    <w:p w:rsidR="00E103D8" w:rsidRDefault="00E103D8">
      <w:pPr>
        <w:rPr>
          <w:rFonts w:ascii="Times New Roman" w:eastAsia="仿宋_GB2312" w:hAnsi="Times New Roman" w:cs="Times New Roman"/>
          <w:sz w:val="30"/>
          <w:szCs w:val="30"/>
        </w:rPr>
      </w:pPr>
    </w:p>
    <w:p w:rsidR="00E103D8" w:rsidRDefault="005B3D2A">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E103D8" w:rsidRDefault="00E103D8">
      <w:pPr>
        <w:ind w:right="300"/>
        <w:jc w:val="center"/>
        <w:rPr>
          <w:rFonts w:ascii="Times New Roman" w:eastAsia="黑体" w:hAnsi="Times New Roman" w:cs="Times New Roman"/>
          <w:sz w:val="30"/>
          <w:szCs w:val="30"/>
        </w:rPr>
      </w:pPr>
    </w:p>
    <w:p w:rsidR="00E103D8" w:rsidRDefault="00E103D8">
      <w:pPr>
        <w:ind w:right="300"/>
        <w:jc w:val="center"/>
        <w:rPr>
          <w:rFonts w:ascii="Times New Roman" w:eastAsia="黑体" w:hAnsi="Times New Roman" w:cs="Times New Roman"/>
          <w:sz w:val="30"/>
          <w:szCs w:val="30"/>
        </w:rPr>
      </w:pPr>
    </w:p>
    <w:p w:rsidR="00E103D8" w:rsidRDefault="00E103D8">
      <w:pPr>
        <w:ind w:right="300"/>
        <w:jc w:val="center"/>
        <w:rPr>
          <w:rFonts w:ascii="Times New Roman" w:eastAsia="黑体" w:hAnsi="Times New Roman" w:cs="Times New Roman"/>
          <w:sz w:val="52"/>
          <w:szCs w:val="52"/>
        </w:rPr>
      </w:pPr>
    </w:p>
    <w:p w:rsidR="00E103D8" w:rsidRDefault="005B3D2A">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E103D8" w:rsidRDefault="005B3D2A">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center"/>
        <w:rPr>
          <w:rFonts w:ascii="Times New Roman" w:eastAsia="仿宋_GB2312" w:hAnsi="Times New Roman" w:cs="Times New Roman"/>
          <w:sz w:val="30"/>
          <w:szCs w:val="30"/>
        </w:rPr>
      </w:pPr>
    </w:p>
    <w:p w:rsidR="00E103D8" w:rsidRDefault="005B3D2A">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E103D8" w:rsidRDefault="005B3D2A">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E103D8" w:rsidRDefault="005B3D2A">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E103D8" w:rsidRDefault="00E103D8">
      <w:pPr>
        <w:ind w:right="300"/>
        <w:rPr>
          <w:rFonts w:ascii="Times New Roman" w:eastAsia="仿宋_GB2312" w:hAnsi="Times New Roman" w:cs="Times New Roman"/>
          <w:sz w:val="30"/>
          <w:szCs w:val="30"/>
        </w:rPr>
      </w:pPr>
    </w:p>
    <w:p w:rsidR="00E103D8" w:rsidRDefault="005B3D2A">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sz w:val="30"/>
          <w:szCs w:val="30"/>
        </w:rPr>
        <w:t>一、项目信息</w:t>
      </w:r>
    </w:p>
    <w:p w:rsidR="00E103D8" w:rsidRDefault="005B3D2A">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E103D8" w:rsidRDefault="005B3D2A">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E103D8" w:rsidRDefault="005B3D2A">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E103D8" w:rsidRDefault="005B3D2A">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E103D8" w:rsidRDefault="005B3D2A">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E103D8" w:rsidRDefault="005B3D2A">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103D8" w:rsidRDefault="005B3D2A">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w:t>
      </w:r>
      <w:proofErr w:type="gramStart"/>
      <w:r>
        <w:rPr>
          <w:rFonts w:ascii="Times New Roman" w:eastAsia="仿宋_GB2312" w:hAnsi="Times New Roman" w:cs="Times New Roman"/>
          <w:sz w:val="30"/>
          <w:szCs w:val="30"/>
        </w:rPr>
        <w:t>作出</w:t>
      </w:r>
      <w:proofErr w:type="gramEnd"/>
      <w:r>
        <w:rPr>
          <w:rFonts w:ascii="Times New Roman" w:eastAsia="仿宋_GB2312" w:hAnsi="Times New Roman" w:cs="Times New Roman"/>
          <w:sz w:val="30"/>
          <w:szCs w:val="30"/>
        </w:rPr>
        <w:t>批准或者不批准的决定。申请人签订对外担保合同后，应到外汇管理机关办理对外担保登记。经国务院批准为使用外国政府或者国际金融组织贷款进行转贷提供对外担</w:t>
      </w:r>
      <w:r>
        <w:rPr>
          <w:rFonts w:ascii="Times New Roman" w:eastAsia="仿宋_GB2312" w:hAnsi="Times New Roman" w:cs="Times New Roman"/>
          <w:sz w:val="30"/>
          <w:szCs w:val="30"/>
        </w:rPr>
        <w:t>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w:t>
      </w:r>
      <w:r>
        <w:rPr>
          <w:rFonts w:ascii="Times New Roman" w:eastAsia="仿宋_GB2312" w:hAnsi="Times New Roman" w:cs="Times New Roman"/>
          <w:sz w:val="30"/>
          <w:szCs w:val="30"/>
        </w:rPr>
        <w:lastRenderedPageBreak/>
        <w:t>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103D8" w:rsidRDefault="005B3D2A">
      <w:pPr>
        <w:adjustRightInd w:val="0"/>
        <w:snapToGrid w:val="0"/>
        <w:spacing w:line="360" w:lineRule="auto"/>
        <w:ind w:firstLine="585"/>
        <w:rPr>
          <w:rFonts w:ascii="Times New Roman" w:hAnsi="Times New Roman" w:cs="Times New Roman"/>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w:t>
      </w:r>
      <w:r>
        <w:rPr>
          <w:rFonts w:ascii="Times New Roman" w:eastAsia="仿宋_GB2312" w:hAnsi="Times New Roman" w:cs="Times New Roman"/>
          <w:sz w:val="30"/>
          <w:szCs w:val="30"/>
        </w:rPr>
        <w:t>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103D8" w:rsidRDefault="005B3D2A">
      <w:pPr>
        <w:pStyle w:val="1"/>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rsidR="00E103D8" w:rsidRDefault="005B3D2A">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《国家外汇管理局关于发布〈外债登记管理办法〉的通知》（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《国家外汇管理局关于发布〈跨境担保外汇管理规定〉的通知》（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E103D8" w:rsidRDefault="005B3D2A">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E103D8" w:rsidRDefault="005B3D2A">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E103D8" w:rsidRDefault="005B3D2A">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E103D8" w:rsidRDefault="005B3D2A">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E103D8" w:rsidRDefault="005B3D2A">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103D8" w:rsidRDefault="005B3D2A">
      <w:pPr>
        <w:adjustRightInd w:val="0"/>
        <w:snapToGrid w:val="0"/>
        <w:spacing w:line="360" w:lineRule="auto"/>
        <w:ind w:firstLineChars="200" w:firstLine="600"/>
        <w:rPr>
          <w:rFonts w:ascii="Times New Roman" w:eastAsia="黑体" w:hAnsi="Times New Roman" w:cs="Times New Roman"/>
          <w:sz w:val="30"/>
          <w:szCs w:val="30"/>
        </w:rPr>
      </w:pPr>
      <w:proofErr w:type="gramStart"/>
      <w:r>
        <w:rPr>
          <w:rFonts w:ascii="Times New Roman" w:eastAsia="仿宋_GB2312" w:hAnsi="Times New Roman" w:cs="Times New Roman"/>
          <w:sz w:val="30"/>
          <w:szCs w:val="30"/>
        </w:rPr>
        <w:t>无数量</w:t>
      </w:r>
      <w:proofErr w:type="gramEnd"/>
      <w:r>
        <w:rPr>
          <w:rFonts w:ascii="Times New Roman" w:eastAsia="仿宋_GB2312" w:hAnsi="Times New Roman" w:cs="Times New Roman"/>
          <w:sz w:val="30"/>
          <w:szCs w:val="30"/>
        </w:rPr>
        <w:t>限制，按全口径跨境融资宏观审慎或</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模式管理。</w:t>
      </w:r>
    </w:p>
    <w:p w:rsidR="00E103D8" w:rsidRDefault="005B3D2A">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E103D8" w:rsidRDefault="005B3D2A">
      <w:pPr>
        <w:widowControl/>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外保内贷业务发生境外担保履约的，境内债务人应在担保履约后</w:t>
      </w:r>
      <w:r>
        <w:rPr>
          <w:rFonts w:ascii="Times New Roman" w:eastAsia="仿宋_GB2312" w:hAnsi="Times New Roman" w:cs="Times New Roman"/>
          <w:kern w:val="0"/>
          <w:sz w:val="30"/>
          <w:szCs w:val="30"/>
        </w:rPr>
        <w:t>15</w:t>
      </w:r>
      <w:r>
        <w:rPr>
          <w:rFonts w:ascii="Times New Roman" w:eastAsia="仿宋_GB2312" w:hAnsi="Times New Roman" w:cs="Times New Roman"/>
          <w:kern w:val="0"/>
          <w:sz w:val="30"/>
          <w:szCs w:val="30"/>
        </w:rPr>
        <w:t>个工作日内到所在地外汇局办理短期外债签约登记及相关信息备案。外汇局在外债签约登记环节对债务人外保内贷业务的合</w:t>
      </w:r>
      <w:proofErr w:type="gramStart"/>
      <w:r>
        <w:rPr>
          <w:rFonts w:ascii="Times New Roman" w:eastAsia="仿宋_GB2312" w:hAnsi="Times New Roman" w:cs="Times New Roman"/>
          <w:kern w:val="0"/>
          <w:sz w:val="30"/>
          <w:szCs w:val="30"/>
        </w:rPr>
        <w:t>规</w:t>
      </w:r>
      <w:proofErr w:type="gramEnd"/>
      <w:r>
        <w:rPr>
          <w:rFonts w:ascii="Times New Roman" w:eastAsia="仿宋_GB2312" w:hAnsi="Times New Roman" w:cs="Times New Roman"/>
          <w:kern w:val="0"/>
          <w:sz w:val="30"/>
          <w:szCs w:val="30"/>
        </w:rPr>
        <w:t>性进行事后核查。发现违规的，在将违规行为移交外汇检查部门后，外汇局可为其办理外债登记手续。</w:t>
      </w:r>
    </w:p>
    <w:p w:rsidR="00E103D8" w:rsidRDefault="005B3D2A">
      <w:pPr>
        <w:widowControl/>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禁止性要求：如符合上述条件，不存在不予许可的情况。</w:t>
      </w:r>
    </w:p>
    <w:p w:rsidR="00E103D8" w:rsidRDefault="005B3D2A">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E103D8" w:rsidRDefault="005B3D2A">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外保内贷履约外债登记申请材料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475"/>
        <w:gridCol w:w="952"/>
        <w:gridCol w:w="457"/>
        <w:gridCol w:w="844"/>
        <w:gridCol w:w="565"/>
        <w:gridCol w:w="696"/>
      </w:tblGrid>
      <w:tr w:rsidR="00E103D8">
        <w:tc>
          <w:tcPr>
            <w:tcW w:w="533" w:type="dxa"/>
            <w:vAlign w:val="center"/>
          </w:tcPr>
          <w:p w:rsidR="00E103D8" w:rsidRDefault="005B3D2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475" w:type="dxa"/>
            <w:vAlign w:val="center"/>
          </w:tcPr>
          <w:p w:rsidR="00E103D8" w:rsidRDefault="005B3D2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52" w:type="dxa"/>
            <w:vAlign w:val="center"/>
          </w:tcPr>
          <w:p w:rsidR="00E103D8" w:rsidRDefault="005B3D2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E103D8" w:rsidRDefault="005B3D2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4" w:type="dxa"/>
            <w:vAlign w:val="center"/>
          </w:tcPr>
          <w:p w:rsidR="00E103D8" w:rsidRDefault="005B3D2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5" w:type="dxa"/>
            <w:vAlign w:val="center"/>
          </w:tcPr>
          <w:p w:rsidR="00E103D8" w:rsidRDefault="005B3D2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696" w:type="dxa"/>
            <w:vAlign w:val="center"/>
          </w:tcPr>
          <w:p w:rsidR="00E103D8" w:rsidRDefault="005B3D2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103D8">
        <w:trPr>
          <w:trHeight w:val="1035"/>
        </w:trPr>
        <w:tc>
          <w:tcPr>
            <w:tcW w:w="533" w:type="dxa"/>
            <w:vAlign w:val="center"/>
          </w:tcPr>
          <w:p w:rsidR="00E103D8" w:rsidRDefault="005B3D2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475"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52"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57"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E103D8" w:rsidRDefault="00E103D8">
            <w:pPr>
              <w:keepNext/>
              <w:keepLines/>
              <w:spacing w:before="340" w:after="330" w:line="578" w:lineRule="auto"/>
              <w:jc w:val="left"/>
              <w:rPr>
                <w:rFonts w:ascii="Times New Roman" w:eastAsia="仿宋_GB2312" w:hAnsi="Times New Roman" w:cs="Times New Roman"/>
                <w:sz w:val="24"/>
                <w:szCs w:val="24"/>
              </w:rPr>
            </w:pPr>
          </w:p>
        </w:tc>
        <w:tc>
          <w:tcPr>
            <w:tcW w:w="696" w:type="dxa"/>
            <w:vAlign w:val="center"/>
          </w:tcPr>
          <w:p w:rsidR="00E103D8" w:rsidRDefault="00E103D8">
            <w:pPr>
              <w:jc w:val="left"/>
              <w:rPr>
                <w:rFonts w:ascii="Times New Roman" w:eastAsia="仿宋_GB2312" w:hAnsi="Times New Roman" w:cs="Times New Roman"/>
                <w:sz w:val="24"/>
                <w:szCs w:val="24"/>
              </w:rPr>
            </w:pPr>
          </w:p>
        </w:tc>
      </w:tr>
      <w:tr w:rsidR="00E103D8">
        <w:trPr>
          <w:trHeight w:val="378"/>
        </w:trPr>
        <w:tc>
          <w:tcPr>
            <w:tcW w:w="533" w:type="dxa"/>
            <w:vAlign w:val="center"/>
          </w:tcPr>
          <w:p w:rsidR="00E103D8" w:rsidRDefault="005B3D2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475" w:type="dxa"/>
            <w:vAlign w:val="center"/>
          </w:tcPr>
          <w:p w:rsidR="00E103D8" w:rsidRDefault="005B3D2A">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担保履约证明文件</w:t>
            </w:r>
          </w:p>
        </w:tc>
        <w:tc>
          <w:tcPr>
            <w:tcW w:w="952"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E103D8" w:rsidRDefault="00E103D8">
            <w:pPr>
              <w:jc w:val="left"/>
              <w:rPr>
                <w:rFonts w:ascii="Times New Roman" w:eastAsia="仿宋_GB2312" w:hAnsi="Times New Roman" w:cs="Times New Roman"/>
                <w:sz w:val="24"/>
                <w:szCs w:val="24"/>
              </w:rPr>
            </w:pPr>
          </w:p>
        </w:tc>
        <w:tc>
          <w:tcPr>
            <w:tcW w:w="696" w:type="dxa"/>
            <w:vAlign w:val="center"/>
          </w:tcPr>
          <w:p w:rsidR="00E103D8" w:rsidRDefault="005B3D2A">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r w:rsidR="00E103D8">
        <w:tc>
          <w:tcPr>
            <w:tcW w:w="533" w:type="dxa"/>
            <w:vAlign w:val="center"/>
          </w:tcPr>
          <w:p w:rsidR="00E103D8" w:rsidRDefault="005B3D2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475" w:type="dxa"/>
            <w:vAlign w:val="center"/>
          </w:tcPr>
          <w:p w:rsidR="00E103D8" w:rsidRDefault="005B3D2A">
            <w:pPr>
              <w:widowControl/>
              <w:jc w:val="left"/>
              <w:rPr>
                <w:rFonts w:ascii="Times New Roman" w:eastAsia="仿宋_GB2312" w:hAnsi="Times New Roman" w:cs="Times New Roman"/>
                <w:sz w:val="24"/>
                <w:szCs w:val="24"/>
              </w:rPr>
            </w:pPr>
            <w:r>
              <w:rPr>
                <w:rFonts w:ascii="Times New Roman" w:eastAsia="仿宋_GB2312" w:hAnsi="Times New Roman" w:cs="Times New Roman"/>
                <w:kern w:val="0"/>
                <w:sz w:val="24"/>
              </w:rPr>
              <w:t>最近一期经审计的财务报告。选择</w:t>
            </w:r>
            <w:r>
              <w:rPr>
                <w:rFonts w:ascii="Times New Roman" w:eastAsia="仿宋_GB2312" w:hAnsi="Times New Roman" w:cs="Times New Roman"/>
                <w:kern w:val="0"/>
                <w:sz w:val="24"/>
              </w:rPr>
              <w:t>“</w:t>
            </w:r>
            <w:r>
              <w:rPr>
                <w:rFonts w:ascii="Times New Roman" w:eastAsia="仿宋_GB2312" w:hAnsi="Times New Roman" w:cs="Times New Roman"/>
                <w:kern w:val="0"/>
                <w:sz w:val="24"/>
              </w:rPr>
              <w:t>投注差</w:t>
            </w:r>
            <w:r>
              <w:rPr>
                <w:rFonts w:ascii="Times New Roman" w:eastAsia="仿宋_GB2312" w:hAnsi="Times New Roman" w:cs="Times New Roman"/>
                <w:kern w:val="0"/>
                <w:sz w:val="24"/>
              </w:rPr>
              <w:t>”</w:t>
            </w:r>
            <w:r>
              <w:rPr>
                <w:rFonts w:ascii="Times New Roman" w:eastAsia="仿宋_GB2312" w:hAnsi="Times New Roman" w:cs="Times New Roman"/>
                <w:kern w:val="0"/>
                <w:sz w:val="24"/>
              </w:rPr>
              <w:t>模式借用外债的外商投资企业，还应提供外商投资企业批准证书或商务部业务系统统一平台打印的外商投资企业基本信息页面。</w:t>
            </w:r>
          </w:p>
        </w:tc>
        <w:tc>
          <w:tcPr>
            <w:tcW w:w="952"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E103D8" w:rsidRDefault="005B3D2A">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E103D8" w:rsidRDefault="00E103D8">
            <w:pPr>
              <w:jc w:val="left"/>
              <w:rPr>
                <w:rFonts w:ascii="Times New Roman" w:eastAsia="仿宋_GB2312" w:hAnsi="Times New Roman" w:cs="Times New Roman"/>
                <w:sz w:val="24"/>
                <w:szCs w:val="24"/>
              </w:rPr>
            </w:pPr>
          </w:p>
        </w:tc>
        <w:tc>
          <w:tcPr>
            <w:tcW w:w="696" w:type="dxa"/>
            <w:vAlign w:val="center"/>
          </w:tcPr>
          <w:p w:rsidR="00E103D8" w:rsidRDefault="005B3D2A">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E103D8" w:rsidRDefault="005B3D2A">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103D8" w:rsidRDefault="005B3D2A">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E103D8" w:rsidRDefault="005B3D2A">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103D8" w:rsidRDefault="005B3D2A">
      <w:pPr>
        <w:tabs>
          <w:tab w:val="left" w:pos="615"/>
        </w:tabs>
        <w:adjustRightIn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E103D8" w:rsidRDefault="005B3D2A">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2.</w:t>
      </w:r>
      <w:r>
        <w:rPr>
          <w:rFonts w:ascii="Times New Roman" w:eastAsia="仿宋_GB2312" w:hAnsi="Times New Roman" w:cs="Times New Roman"/>
          <w:sz w:val="30"/>
          <w:szCs w:val="30"/>
        </w:rPr>
        <w:t>决定是否予以受理；</w:t>
      </w:r>
    </w:p>
    <w:p w:rsidR="00E103D8" w:rsidRDefault="005B3D2A">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E103D8" w:rsidRDefault="005B3D2A">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103D8" w:rsidRDefault="005B3D2A">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E103D8" w:rsidRDefault="005B3D2A">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103D8" w:rsidRDefault="005B3D2A">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E103D8" w:rsidRDefault="005B3D2A">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103D8" w:rsidRDefault="005B3D2A">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E103D8" w:rsidRDefault="005B3D2A">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E103D8" w:rsidRDefault="005B3D2A">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E103D8" w:rsidRDefault="005B3D2A">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E103D8" w:rsidRDefault="005B3D2A">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E103D8" w:rsidRDefault="005B3D2A">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103D8" w:rsidRDefault="005B3D2A">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E103D8" w:rsidRDefault="005B3D2A">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103D8" w:rsidRDefault="005B3D2A">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w:t>
      </w:r>
      <w:proofErr w:type="gramStart"/>
      <w:r>
        <w:rPr>
          <w:rFonts w:ascii="Times New Roman" w:eastAsia="仿宋_GB2312" w:hAnsi="Times New Roman" w:cs="Times New Roman"/>
          <w:sz w:val="30"/>
        </w:rPr>
        <w:t>规</w:t>
      </w:r>
      <w:proofErr w:type="gramEnd"/>
      <w:r>
        <w:rPr>
          <w:rFonts w:ascii="Times New Roman" w:eastAsia="仿宋_GB2312" w:hAnsi="Times New Roman" w:cs="Times New Roman"/>
          <w:sz w:val="30"/>
        </w:rPr>
        <w:t>办理相关业务，重要信息发生变更按规定及时报</w:t>
      </w:r>
      <w:r>
        <w:rPr>
          <w:rFonts w:ascii="Times New Roman" w:eastAsia="仿宋_GB2312" w:hAnsi="Times New Roman" w:cs="Times New Roman"/>
          <w:sz w:val="30"/>
        </w:rPr>
        <w:lastRenderedPageBreak/>
        <w:t>备，全面、及时、准确报送相关数据信息等。</w:t>
      </w:r>
    </w:p>
    <w:p w:rsidR="00E103D8" w:rsidRDefault="005B3D2A">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p>
    <w:p w:rsidR="00E103D8" w:rsidRDefault="00AE43BC">
      <w:pPr>
        <w:adjustRightInd w:val="0"/>
        <w:snapToGrid w:val="0"/>
        <w:spacing w:line="360" w:lineRule="auto"/>
        <w:ind w:firstLine="600"/>
        <w:rPr>
          <w:rFonts w:ascii="Times New Roman" w:eastAsia="仿宋_GB2312" w:hAnsi="Times New Roman" w:cs="Times New Roman"/>
          <w:sz w:val="30"/>
        </w:rPr>
      </w:pPr>
      <w:bookmarkStart w:id="0" w:name="_GoBack"/>
      <w:bookmarkEnd w:id="0"/>
      <w:r w:rsidRPr="00AE43BC">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AE43BC">
        <w:rPr>
          <w:rFonts w:ascii="Times New Roman" w:eastAsia="仿宋_GB2312" w:hAnsi="Times New Roman" w:cs="Times New Roman" w:hint="eastAsia"/>
          <w:sz w:val="30"/>
          <w:szCs w:val="30"/>
        </w:rPr>
        <w:t>www.safe.gov.cn</w:t>
      </w:r>
      <w:r w:rsidRPr="00AE43BC">
        <w:rPr>
          <w:rFonts w:ascii="Times New Roman" w:eastAsia="仿宋_GB2312" w:hAnsi="Times New Roman" w:cs="Times New Roman" w:hint="eastAsia"/>
          <w:sz w:val="30"/>
          <w:szCs w:val="30"/>
        </w:rPr>
        <w:t>链接至江苏分局“业务指南”栏目进行，也可通过栏目中公布的电话进行。</w:t>
      </w:r>
    </w:p>
    <w:p w:rsidR="00E103D8" w:rsidRDefault="005B3D2A">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E103D8" w:rsidRDefault="005B3D2A">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E103D8" w:rsidRDefault="00E103D8">
      <w:pPr>
        <w:ind w:right="300"/>
        <w:jc w:val="center"/>
        <w:rPr>
          <w:rFonts w:ascii="Times New Roman" w:eastAsia="仿宋_GB2312" w:hAnsi="Times New Roman" w:cs="Times New Roman"/>
          <w:sz w:val="30"/>
          <w:szCs w:val="30"/>
        </w:rPr>
      </w:pPr>
    </w:p>
    <w:p w:rsidR="00E103D8" w:rsidRDefault="005B3D2A">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70" o:spid="_x0000_s1027" style="position:absolute;left:0;text-align:left;margin-left:-18pt;margin-top:-32.15pt;width:453.65pt;height:586.05pt;z-index:1" coordorigin="1195,3000" coordsize="9073,11721">
            <v:rect id="Rectangle 6" o:spid="_x0000_s1028" style="position:absolute;left:4255;top:11319;width:2985;height:534" o:preferrelative="t">
              <v:stroke miterlimit="2"/>
              <v:textbox>
                <w:txbxContent>
                  <w:p w:rsidR="00E103D8" w:rsidRDefault="005B3D2A">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E103D8" w:rsidRDefault="005B3D2A">
                    <w:pPr>
                      <w:jc w:val="center"/>
                    </w:pPr>
                    <w:r>
                      <w:rPr>
                        <w:rFonts w:hint="eastAsia"/>
                      </w:rPr>
                      <w:t>依法</w:t>
                    </w:r>
                    <w:proofErr w:type="gramStart"/>
                    <w:r>
                      <w:rPr>
                        <w:rFonts w:hint="eastAsia"/>
                      </w:rPr>
                      <w:t>作出</w:t>
                    </w:r>
                    <w:proofErr w:type="gramEnd"/>
                    <w:r>
                      <w:rPr>
                        <w:rFonts w:hint="eastAsia"/>
                      </w:rPr>
                      <w:t>不予许可决定，</w:t>
                    </w:r>
                  </w:p>
                  <w:p w:rsidR="00E103D8" w:rsidRDefault="005B3D2A">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E103D8" w:rsidRDefault="005B3D2A">
                    <w:pPr>
                      <w:jc w:val="center"/>
                    </w:pPr>
                    <w:r>
                      <w:rPr>
                        <w:rFonts w:hint="eastAsia"/>
                      </w:rPr>
                      <w:t>依法予以许可，出具相关</w:t>
                    </w:r>
                  </w:p>
                  <w:p w:rsidR="00E103D8" w:rsidRDefault="005B3D2A">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connectortype="straight" o:preferrelative="t">
              <v:stroke endarrow="block" miterlimit="2"/>
            </v:shape>
            <v:shape id="AutoShape 10" o:spid="_x0000_s1032" type="#_x0000_t32" style="position:absolute;left:7678;top:12568;width:17;height:1095" o:connectortype="straight" o:preferrelative="t">
              <v:stroke endarrow="block" miterlimit="2"/>
            </v:shape>
            <v:shape id="AutoShape 11" o:spid="_x0000_s1033" type="#_x0000_t32" style="position:absolute;left:3705;top:12568;width:1;height:1035" o:connectortype="straight" o:preferrelative="t">
              <v:stroke endarrow="block" miterlimit="2"/>
            </v:shape>
            <v:shape id="AutoShape 12" o:spid="_x0000_s1034" type="#_x0000_t32" style="position:absolute;left:5730;top:11853;width:1;height:715" o:connectortype="straight" o:preferrelative="t">
              <v:stroke miterlimit="2"/>
            </v:shape>
            <v:shape id="AutoShape 13" o:spid="_x0000_s1035" type="#_x0000_t32" style="position:absolute;left:3706;top:12568;width:3972;height:0" o:connectortype="straight" o:preferrelative="t">
              <v:stroke miterlimit="2"/>
            </v:shape>
            <v:group id="Group 14" o:spid="_x0000_s1036" style="position:absolute;left:1195;top:3000;width:9073;height:7693" coordorigin="1195,3000" coordsize="9073,7693">
              <v:shape id="AutoShape 15" o:spid="_x0000_s1037" type="#_x0000_t32" style="position:absolute;left:7240;top:9566;width:0;height:608" o:connectortype="straight" o:preferrelative="t">
                <v:stroke endarrow="block" miterlimit="2"/>
              </v:shape>
              <v:group id="Group 16"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E103D8" w:rsidRDefault="005B3D2A">
                        <w:pPr>
                          <w:jc w:val="center"/>
                        </w:pPr>
                        <w:r>
                          <w:rPr>
                            <w:rFonts w:hint="eastAsia"/>
                          </w:rPr>
                          <w:t>不能提供符合受理要求的材料</w:t>
                        </w:r>
                      </w:p>
                    </w:txbxContent>
                  </v:textbox>
                </v:shape>
                <v:shape id="AutoShape 19" o:spid="_x0000_s1041" type="#_x0000_t32" style="position:absolute;left:7240;top:7472;width:0;height:378" o:connectortype="straight" o:preferrelative="t">
                  <v:stroke endarrow="block" miterlimit="2"/>
                </v:shape>
                <v:shape id="Text Box 20" o:spid="_x0000_s1042" type="#_x0000_t202" style="position:absolute;left:3915;top:9566;width:2737;height:477" o:preferrelative="t" strokecolor="white">
                  <v:stroke miterlimit="2"/>
                  <v:textbox>
                    <w:txbxContent>
                      <w:p w:rsidR="00E103D8" w:rsidRDefault="005B3D2A">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346;top:7833;width:3637;height:1733" o:preferrelative="t">
                  <v:stroke miterlimit="2"/>
                  <v:textbox>
                    <w:txbxContent>
                      <w:p w:rsidR="00E103D8" w:rsidRDefault="005B3D2A">
                        <w:r>
                          <w:rPr>
                            <w:rFonts w:hint="eastAsia"/>
                          </w:rPr>
                          <w:t>申请人补充材料</w:t>
                        </w:r>
                      </w:p>
                    </w:txbxContent>
                  </v:textbox>
                </v:shape>
                <v:rect id="Rectangle 22" o:spid="_x0000_s1044" style="position:absolute;left:3915;top:10174;width:4816;height:519" o:preferrelative="t">
                  <v:stroke miterlimit="2"/>
                  <v:textbox>
                    <w:txbxContent>
                      <w:p w:rsidR="00E103D8" w:rsidRDefault="005B3D2A">
                        <w:pPr>
                          <w:jc w:val="center"/>
                        </w:pPr>
                        <w:r>
                          <w:rPr>
                            <w:rFonts w:hint="eastAsia"/>
                          </w:rPr>
                          <w:t>依法应予受理，出具行政审批受理单</w:t>
                        </w:r>
                      </w:p>
                      <w:p w:rsidR="00E103D8" w:rsidRDefault="00E103D8">
                        <w:pPr>
                          <w:jc w:val="center"/>
                        </w:pPr>
                      </w:p>
                    </w:txbxContent>
                  </v:textbox>
                </v:rect>
                <v:rect id="Rectangle 23" o:spid="_x0000_s1045" style="position:absolute;left:5913;top:6341;width:3190;height:1114" o:preferrelative="t">
                  <v:stroke miterlimit="2"/>
                  <v:textbox>
                    <w:txbxContent>
                      <w:p w:rsidR="00E103D8" w:rsidRDefault="005B3D2A">
                        <w:pPr>
                          <w:jc w:val="center"/>
                        </w:pPr>
                        <w:r>
                          <w:rPr>
                            <w:rFonts w:hint="eastAsia"/>
                          </w:rPr>
                          <w:t>材料不全或不符合法定形式的，一次性告知补正材料，</w:t>
                        </w:r>
                      </w:p>
                      <w:p w:rsidR="00E103D8" w:rsidRDefault="005B3D2A">
                        <w:pPr>
                          <w:jc w:val="center"/>
                        </w:pPr>
                        <w:r>
                          <w:rPr>
                            <w:rFonts w:hint="eastAsia"/>
                          </w:rPr>
                          <w:t>出具行政审批补正材料通知书</w:t>
                        </w:r>
                      </w:p>
                      <w:p w:rsidR="00E103D8" w:rsidRDefault="00E103D8"/>
                    </w:txbxContent>
                  </v:textbox>
                </v:rect>
                <v:shape id="AutoShape 24" o:spid="_x0000_s1046" type="#_x0000_t116" style="position:absolute;left:5913;top:4050;width:2922;height:1710" o:preferrelative="t">
                  <v:stroke miterlimit="2"/>
                  <v:textbox>
                    <w:txbxContent>
                      <w:p w:rsidR="00E103D8" w:rsidRDefault="005B3D2A">
                        <w:pPr>
                          <w:jc w:val="center"/>
                        </w:pPr>
                        <w:r>
                          <w:rPr>
                            <w:rFonts w:hint="eastAsia"/>
                          </w:rPr>
                          <w:t>依法不予受理的，</w:t>
                        </w:r>
                        <w:proofErr w:type="gramStart"/>
                        <w:r>
                          <w:rPr>
                            <w:rFonts w:hint="eastAsia"/>
                          </w:rPr>
                          <w:t>作出</w:t>
                        </w:r>
                        <w:proofErr w:type="gramEnd"/>
                        <w:r>
                          <w:rPr>
                            <w:rFonts w:hint="eastAsia"/>
                          </w:rPr>
                          <w:t>不予受理决定，出具不予受理行政审批申请通知书</w:t>
                        </w:r>
                      </w:p>
                      <w:p w:rsidR="00E103D8" w:rsidRDefault="00E103D8">
                        <w:pPr>
                          <w:jc w:val="center"/>
                        </w:pPr>
                      </w:p>
                    </w:txbxContent>
                  </v:textbox>
                </v:shape>
                <v:group id="Group 25" o:spid="_x0000_s1047" style="position:absolute;left:1195;top:3000;width:4746;height:7424" coordorigin="1195,3000" coordsize="4746,7424">
                  <v:shape id="AutoShape 26" o:spid="_x0000_s1048" type="#_x0000_t32" style="position:absolute;left:5010;top:6910;width:931;height:0" o:connectortype="straight" o:preferrelative="t">
                    <v:stroke endarrow="block" miterlimit="2"/>
                  </v:shape>
                  <v:shape id="AutoShape 27" o:spid="_x0000_s1049" type="#_x0000_t32" style="position:absolute;left:2702;top:6986;width:1;height:3437" o:connectortype="straight" o:preferrelative="t">
                    <v:stroke miterlimit="2"/>
                  </v:shape>
                  <v:group id="Group 28" o:spid="_x0000_s1050" style="position:absolute;left:1195;top:3000;width:3781;height:4066" coordorigin="1195,3000" coordsize="3781,4066">
                    <v:shape id="AutoShape 29" o:spid="_x0000_s1051" type="#_x0000_t32" style="position:absolute;left:2743;top:4172;width:1;height:764" o:connectortype="straight" o:preferrelative="t">
                      <v:stroke endarrow="block" miterlimit="2"/>
                    </v:shape>
                    <v:shape id="AutoShape 30" o:spid="_x0000_s1052" type="#_x0000_t32" style="position:absolute;left:4188;top:5967;width:788;height:26;flip:y" o:connectortype="straight" o:preferrelative="t">
                      <v:stroke miterlimit="2"/>
                    </v:shape>
                    <v:shape id="AutoShape 31" o:spid="_x0000_s1053" type="#_x0000_t4" style="position:absolute;left:1195;top:4919;width:2993;height:2147" o:preferrelative="t">
                      <v:stroke miterlimit="2"/>
                      <v:textbox>
                        <w:txbxContent>
                          <w:p w:rsidR="00E103D8" w:rsidRDefault="005B3D2A">
                            <w:r>
                              <w:rPr>
                                <w:rFonts w:hint="eastAsia"/>
                              </w:rPr>
                              <w:t>接件（</w:t>
                            </w:r>
                            <w:r>
                              <w:t>5</w:t>
                            </w:r>
                            <w:r>
                              <w:rPr>
                                <w:rFonts w:hint="eastAsia"/>
                              </w:rPr>
                              <w:t>个工作日）</w:t>
                            </w:r>
                            <w:proofErr w:type="gramStart"/>
                            <w:r>
                              <w:rPr>
                                <w:rFonts w:hint="eastAsia"/>
                              </w:rPr>
                              <w:t>作出</w:t>
                            </w:r>
                            <w:proofErr w:type="gramEnd"/>
                            <w:r>
                              <w:rPr>
                                <w:rFonts w:hint="eastAsia"/>
                              </w:rPr>
                              <w:t>是否受理决定</w:t>
                            </w:r>
                          </w:p>
                          <w:p w:rsidR="00E103D8" w:rsidRDefault="00E103D8"/>
                        </w:txbxContent>
                      </v:textbox>
                    </v:shape>
                    <v:shape id="AutoShape 32" o:spid="_x0000_s1054" type="#_x0000_t116" style="position:absolute;left:1531;top:3000;width:2724;height:1172" o:preferrelative="t">
                      <v:stroke miterlimit="2"/>
                      <v:textbox>
                        <w:txbxContent>
                          <w:p w:rsidR="00E103D8" w:rsidRDefault="005B3D2A">
                            <w:pPr>
                              <w:jc w:val="center"/>
                            </w:pPr>
                            <w:r>
                              <w:rPr>
                                <w:rFonts w:hint="eastAsia"/>
                              </w:rPr>
                              <w:t>申请人提出书面申请，并提交材料</w:t>
                            </w:r>
                          </w:p>
                        </w:txbxContent>
                      </v:textbox>
                    </v:shape>
                  </v:group>
                  <v:shape id="AutoShape 33" o:spid="_x0000_s1055" type="#_x0000_t32" style="position:absolute;left:2702;top:10423;width:1213;height:1" o:connectortype="straight" o:preferrelative="t">
                    <v:stroke endarrow="block" miterlimit="2"/>
                  </v:shape>
                  <v:shape id="AutoShape 34" o:spid="_x0000_s1056" type="#_x0000_t32" style="position:absolute;left:5010;top:4999;width:0;height:1921" o:connectortype="straight" o:preferrelative="t">
                    <v:stroke miterlimit="2"/>
                  </v:shape>
                  <v:shape id="AutoShape 35" o:spid="_x0000_s1057" type="#_x0000_t32" style="position:absolute;left:5010;top:4989;width:903;height:1" o:connectortype="straight" o:preferrelative="t">
                    <v:stroke endarrow="block" miterlimit="2"/>
                  </v:shape>
                  <v:shape id="Text Box 36" o:spid="_x0000_s1058" type="#_x0000_t202" style="position:absolute;left:1944;top:8280;width:508;height:1152" o:preferrelative="t" strokecolor="white">
                    <v:stroke miterlimit="2"/>
                    <v:textbox>
                      <w:txbxContent>
                        <w:p w:rsidR="00E103D8" w:rsidRDefault="005B3D2A">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E103D8" w:rsidRDefault="005B3D2A">
                          <w:proofErr w:type="gramStart"/>
                          <w:r>
                            <w:rPr>
                              <w:rFonts w:hint="eastAsia"/>
                            </w:rPr>
                            <w:t>否</w:t>
                          </w:r>
                          <w:proofErr w:type="gramEnd"/>
                        </w:p>
                      </w:txbxContent>
                    </v:textbox>
                  </v:shape>
                </v:group>
                <v:shape id="AutoShape 38" o:spid="_x0000_s1060" type="#_x0000_t32" style="position:absolute;left:8927;top:4886;width:1341;height:0;flip:x" o:connectortype="straight" o:preferrelative="t">
                  <v:stroke endarrow="block" miterlimit="2"/>
                </v:shape>
              </v:group>
            </v:group>
          </v:group>
        </w:pict>
      </w: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center"/>
        <w:rPr>
          <w:rFonts w:ascii="Times New Roman" w:eastAsia="仿宋_GB2312" w:hAnsi="Times New Roman" w:cs="Times New Roman"/>
          <w:sz w:val="30"/>
          <w:szCs w:val="30"/>
        </w:rPr>
      </w:pPr>
    </w:p>
    <w:p w:rsidR="00E103D8" w:rsidRDefault="00E103D8">
      <w:pPr>
        <w:ind w:right="300"/>
        <w:jc w:val="left"/>
        <w:rPr>
          <w:rFonts w:ascii="Times New Roman" w:eastAsia="仿宋_GB2312" w:hAnsi="Times New Roman" w:cs="Times New Roman"/>
          <w:sz w:val="30"/>
          <w:szCs w:val="30"/>
        </w:rPr>
      </w:pPr>
    </w:p>
    <w:p w:rsidR="00E103D8" w:rsidRDefault="005B3D2A">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E103D8" w:rsidRDefault="00E103D8">
      <w:pPr>
        <w:ind w:firstLine="420"/>
        <w:rPr>
          <w:rFonts w:ascii="Times New Roman" w:hAnsi="Times New Roman" w:cs="Times New Roman"/>
        </w:rPr>
      </w:pPr>
    </w:p>
    <w:p w:rsidR="00E103D8" w:rsidRDefault="005B3D2A">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kern w:val="0"/>
          <w:sz w:val="30"/>
          <w:szCs w:val="30"/>
        </w:rPr>
        <w:br w:type="page"/>
      </w:r>
    </w:p>
    <w:p w:rsidR="00E103D8" w:rsidRDefault="005B3D2A">
      <w:pPr>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E103D8" w:rsidRDefault="005B3D2A">
      <w:pPr>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
    <w:p w:rsidR="00E103D8" w:rsidRDefault="005B3D2A">
      <w:pPr>
        <w:jc w:val="center"/>
        <w:rPr>
          <w:rFonts w:ascii="Times New Roman" w:eastAsia="黑体" w:hAnsi="黑体" w:cs="Times New Roman"/>
          <w:sz w:val="30"/>
          <w:szCs w:val="30"/>
        </w:rPr>
      </w:pPr>
      <w:r>
        <w:rPr>
          <w:rFonts w:ascii="Times New Roman" w:eastAsia="黑体" w:hAnsi="黑体" w:cs="Times New Roman"/>
          <w:sz w:val="30"/>
          <w:szCs w:val="30"/>
        </w:rPr>
        <w:t>常见问题</w:t>
      </w:r>
    </w:p>
    <w:p w:rsidR="00E103D8" w:rsidRDefault="00E103D8">
      <w:pPr>
        <w:jc w:val="center"/>
        <w:rPr>
          <w:rFonts w:ascii="Times New Roman" w:eastAsia="黑体" w:hAnsi="Times New Roman" w:cs="Times New Roman"/>
          <w:sz w:val="30"/>
          <w:szCs w:val="30"/>
        </w:rPr>
      </w:pPr>
    </w:p>
    <w:p w:rsidR="00E103D8" w:rsidRDefault="005B3D2A">
      <w:pPr>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问：境内债务人因外</w:t>
      </w:r>
      <w:proofErr w:type="gramStart"/>
      <w:r>
        <w:rPr>
          <w:rFonts w:ascii="Times New Roman" w:eastAsia="仿宋_GB2312" w:hAnsi="Times New Roman" w:cs="Times New Roman"/>
          <w:sz w:val="30"/>
          <w:szCs w:val="30"/>
        </w:rPr>
        <w:t>保内贷项下</w:t>
      </w:r>
      <w:proofErr w:type="gramEnd"/>
      <w:r>
        <w:rPr>
          <w:rFonts w:ascii="Times New Roman" w:eastAsia="仿宋_GB2312" w:hAnsi="Times New Roman" w:cs="Times New Roman"/>
          <w:sz w:val="30"/>
          <w:szCs w:val="30"/>
        </w:rPr>
        <w:t>担保履约形成的对外负债会对企业有什么影响？</w:t>
      </w:r>
    </w:p>
    <w:p w:rsidR="00E103D8" w:rsidRDefault="005B3D2A">
      <w:pPr>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答：境内债务人因外保内贷业务发生担保履约的，在境内债务人偿清其对境外担保人的债务之前，未经外汇局批准，境内债务人应暂停签订新的外保内贷合同；已经签订外保内</w:t>
      </w:r>
      <w:proofErr w:type="gramStart"/>
      <w:r>
        <w:rPr>
          <w:rFonts w:ascii="Times New Roman" w:eastAsia="仿宋_GB2312" w:hAnsi="Times New Roman" w:cs="Times New Roman"/>
          <w:sz w:val="30"/>
          <w:szCs w:val="30"/>
        </w:rPr>
        <w:t>贷合同</w:t>
      </w:r>
      <w:proofErr w:type="gramEnd"/>
      <w:r>
        <w:rPr>
          <w:rFonts w:ascii="Times New Roman" w:eastAsia="仿宋_GB2312" w:hAnsi="Times New Roman" w:cs="Times New Roman"/>
          <w:sz w:val="30"/>
          <w:szCs w:val="30"/>
        </w:rPr>
        <w:t>但尚未提款或尚未全部提款的，未经所在地外汇局批准，应暂停办理新的提款。</w:t>
      </w:r>
    </w:p>
    <w:sectPr w:rsidR="00E103D8">
      <w:headerReference w:type="even" r:id="rId9"/>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2A" w:rsidRDefault="005B3D2A">
      <w:r>
        <w:separator/>
      </w:r>
    </w:p>
  </w:endnote>
  <w:endnote w:type="continuationSeparator" w:id="0">
    <w:p w:rsidR="005B3D2A" w:rsidRDefault="005B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D8" w:rsidRDefault="005B3D2A">
    <w:pPr>
      <w:pStyle w:val="a6"/>
      <w:jc w:val="center"/>
    </w:pPr>
    <w:r>
      <w:fldChar w:fldCharType="begin"/>
    </w:r>
    <w:r>
      <w:instrText xml:space="preserve"> PAGE   \* MERGEFORMAT </w:instrText>
    </w:r>
    <w:r>
      <w:fldChar w:fldCharType="separate"/>
    </w:r>
    <w:r w:rsidR="00DF352E" w:rsidRPr="00DF352E">
      <w:rPr>
        <w:noProof/>
        <w:lang w:val="zh-CN"/>
      </w:rPr>
      <w:t>8</w:t>
    </w:r>
    <w:r>
      <w:rPr>
        <w:lang w:val="zh-CN"/>
      </w:rPr>
      <w:fldChar w:fldCharType="end"/>
    </w:r>
  </w:p>
  <w:p w:rsidR="00E103D8" w:rsidRDefault="00E103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2A" w:rsidRDefault="005B3D2A">
      <w:r>
        <w:separator/>
      </w:r>
    </w:p>
  </w:footnote>
  <w:footnote w:type="continuationSeparator" w:id="0">
    <w:p w:rsidR="005B3D2A" w:rsidRDefault="005B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D8" w:rsidRDefault="00E103D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D8" w:rsidRDefault="00E103D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5B3D2A"/>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43BC"/>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352E"/>
    <w:rsid w:val="00DF4380"/>
    <w:rsid w:val="00E03D33"/>
    <w:rsid w:val="00E0580B"/>
    <w:rsid w:val="00E103D8"/>
    <w:rsid w:val="00E972E3"/>
    <w:rsid w:val="00F17EFA"/>
    <w:rsid w:val="00F5601D"/>
    <w:rsid w:val="00FA003D"/>
    <w:rsid w:val="24E1718B"/>
    <w:rsid w:val="3CBC5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9"/>
        <o:r id="V:Rule2" type="connector" idref="#AutoShape 11"/>
        <o:r id="V:Rule3" type="connector" idref="#AutoShape 10"/>
        <o:r id="V:Rule4" type="connector" idref="#AutoShape 17"/>
        <o:r id="V:Rule5" type="connector" idref="#AutoShape 15"/>
        <o:r id="V:Rule6" type="connector" idref="#AutoShape 12"/>
        <o:r id="V:Rule7" type="connector" idref="#AutoShape 13"/>
        <o:r id="V:Rule8" type="connector" idref="#AutoShape 27"/>
        <o:r id="V:Rule9" type="connector" idref="#AutoShape 29"/>
        <o:r id="V:Rule10" type="connector" idref="#AutoShape 33"/>
        <o:r id="V:Rule11" type="connector" idref="#AutoShape 30"/>
        <o:r id="V:Rule12" type="connector" idref="#AutoShape 19"/>
        <o:r id="V:Rule13" type="connector" idref="#AutoShape 38"/>
        <o:r id="V:Rule14" type="connector" idref="#AutoShape 26"/>
        <o:r id="V:Rule15" type="connector" idref="#AutoShape 34"/>
        <o:r id="V:Rule16" type="connector" idref="#AutoShape 35"/>
      </o:rules>
    </o:shapelayout>
  </w:shapeDefaults>
  <w:decimalSymbol w:val="."/>
  <w:listSeparator w:val=","/>
  <w15:docId w15:val="{89DC8608-D80C-4AC5-8015-CA57DE63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footnote reference"/>
    <w:unhideWhenUsed/>
    <w:qFormat/>
    <w:rPr>
      <w:rFonts w:ascii="Times New Roman" w:hAnsi="Times New Roman" w:cs="Times New Roman"/>
      <w:vertAlign w:val="superscript"/>
    </w:rPr>
  </w:style>
  <w:style w:type="paragraph" w:customStyle="1" w:styleId="10">
    <w:name w:val="列出段落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paragraph" w:customStyle="1" w:styleId="12">
    <w:name w:val="修订1"/>
    <w:hidden/>
    <w:uiPriority w:val="99"/>
    <w:semiHidden/>
    <w:qFormat/>
    <w:rPr>
      <w:rFonts w:ascii="Calibri" w:hAnsi="Calibri" w:cs="黑体"/>
      <w:kern w:val="2"/>
      <w:sz w:val="21"/>
      <w:szCs w:val="22"/>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rPr>
      <w:sz w:val="18"/>
      <w:szCs w:val="18"/>
    </w:rPr>
  </w:style>
  <w:style w:type="character" w:customStyle="1" w:styleId="Char10">
    <w:name w:val="批注框文本 Char1"/>
    <w:uiPriority w:val="99"/>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uiPriority w:val="99"/>
    <w:qFormat/>
    <w:rPr>
      <w:rFonts w:ascii="Calibri" w:eastAsia="宋体" w:hAnsi="Calibri" w:cs="Times New Roman"/>
    </w:rPr>
  </w:style>
  <w:style w:type="character" w:customStyle="1" w:styleId="Char4">
    <w:name w:val="脚注文本 Char"/>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13">
    <w:name w:val="明显强调1"/>
    <w:uiPriority w:val="21"/>
    <w:qFormat/>
    <w:rPr>
      <w:b/>
      <w:bCs/>
      <w:i/>
      <w:iCs/>
      <w:color w:val="4F81BD"/>
    </w:rPr>
  </w:style>
  <w:style w:type="character" w:customStyle="1" w:styleId="Char11">
    <w:name w:val="文档结构图 Char1"/>
    <w:uiPriority w:val="99"/>
    <w:semiHidden/>
    <w:qFormat/>
    <w:rPr>
      <w:rFonts w:ascii="宋体" w:eastAsia="宋体"/>
      <w:sz w:val="18"/>
      <w:szCs w:val="18"/>
    </w:rPr>
  </w:style>
  <w:style w:type="character" w:customStyle="1" w:styleId="Char20">
    <w:name w:val="脚注文本 Char2"/>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334</Words>
  <Characters>1906</Characters>
  <Application>Microsoft Office Word</Application>
  <DocSecurity>0</DocSecurity>
  <Lines>15</Lines>
  <Paragraphs>4</Paragraphs>
  <ScaleCrop>false</ScaleCrop>
  <Company>Lenovo (Beijing) Limited</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编号：57006                 _x0001_</dc:title>
  <dc:creator>朱敏1</dc:creator>
  <cp:lastModifiedBy>孟田</cp:lastModifiedBy>
  <cp:revision>1</cp:revision>
  <cp:lastPrinted>2019-11-29T03:02:00Z</cp:lastPrinted>
  <dcterms:created xsi:type="dcterms:W3CDTF">2019-11-28T09:31:00Z</dcterms:created>
  <dcterms:modified xsi:type="dcterms:W3CDTF">2021-02-04T06:54:00Z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