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（三）《国家外汇管理局关于印发〈跨国公司跨境资金集中运营管理规定〉的通知》（汇发〔2019〕7号）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（四）《国家外汇管理局关于优化外汇管理 支持涉外业务发展的通知》（汇发〔2020〕8号）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（五）《国家外汇管理局关于印发〈经常项目外汇业务指引（2020年版）〉的通知》（汇发〔2020〕14号）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val="en-US"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跨国公司资金集中运营-经常项目资金集中收付和轧差净额结算业务相关行政许可的决定机构为国家外汇管理局</w:t>
      </w:r>
      <w:r>
        <w:rPr>
          <w:rFonts w:hint="eastAsia" w:ascii="Times New Roman" w:hAnsi="Times New Roman" w:eastAsia="仿宋_GB2312" w:cs="Times New Roman"/>
          <w:sz w:val="30"/>
          <w:szCs w:val="30"/>
          <w:lang w:eastAsia="zh-CN"/>
        </w:rPr>
        <w:t>江苏省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w:t>
      </w:r>
      <w:r>
        <w:rPr>
          <w:rFonts w:hint="eastAsia" w:ascii="Times New Roman" w:hAnsi="Times New Roman" w:eastAsia="仿宋_GB2312" w:cs="Times New Roman"/>
          <w:sz w:val="30"/>
          <w:szCs w:val="30"/>
        </w:rPr>
        <w:t>国家外汇管理局分支局</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7"/>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99" w:hRule="atLeast"/>
        </w:trP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3"/>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3"/>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7"/>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8" w:hRule="atLeast"/>
        </w:trP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cBorders>
              <w:bottom w:val="none" w:color="auto" w:sz="0"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ascii="Times New Roman" w:hAnsi="Times New Roman" w:eastAsia="仿宋_GB2312" w:cs="Times New Roman"/>
          <w:sz w:val="30"/>
          <w:szCs w:val="30"/>
        </w:rPr>
        <w:t>注册所在地外汇局</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r>
        <w:rPr>
          <w:rFonts w:hint="eastAsia" w:ascii="Times New Roman" w:hAnsi="Times New Roman" w:eastAsia="仿宋_GB2312" w:cs="Times New Roman"/>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tabs>
          <w:tab w:val="left" w:pos="615"/>
        </w:tabs>
        <w:ind w:firstLine="585"/>
        <w:rPr>
          <w:rFonts w:ascii="仿宋_GB2312" w:eastAsia="仿宋_GB2312"/>
          <w:sz w:val="30"/>
          <w:szCs w:val="30"/>
        </w:rPr>
      </w:pPr>
      <w:r>
        <w:rPr>
          <w:rFonts w:hint="eastAsia" w:ascii="仿宋_GB2312" w:eastAsia="仿宋_GB2312"/>
          <w:sz w:val="30"/>
          <w:szCs w:val="30"/>
        </w:rPr>
        <w:t>（五）材料齐全的，依法予以受理，并出具行政许可受理通知书</w:t>
      </w:r>
    </w:p>
    <w:p>
      <w:pPr>
        <w:tabs>
          <w:tab w:val="left" w:pos="615"/>
        </w:tabs>
        <w:ind w:firstLine="600" w:firstLineChars="200"/>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39.8pt;margin-top:12.8pt;height:43.4pt;width:0.8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AutoShape 6" o:spid="_x0000_s1031" type="#_x0000_t32" style="position:absolute;left:0;margin-left:41.45pt;margin-top:125.3pt;height:57.55pt;width:0.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7" o:spid="_x0000_s1032" type="#_x0000_t32" style="position:absolute;left:0;margin-left:99.95pt;margin-top:92.5pt;height:0.05pt;width:52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AutoShape 9"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10"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11" o:spid="_x0000_s1036" type="#_x0000_t32" style="position:absolute;left:0;margin-left:237.25pt;margin-top:323.1pt;height:52.1pt;width:0.0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117.65pt;margin-top:323.1pt;height:52.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4" o:spid="_x0000_s1039" type="#_x0000_t32" style="position:absolute;left:0;margin-left:179.6pt;margin-top:231.45pt;height:33.9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5" o:spid="_x0000_s1040" type="#_x0000_t32" style="position:absolute;left:0;margin-left:103.8pt;margin-top:61.4pt;height:0.05pt;width:48.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6"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17"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AutoShape 18" o:spid="_x0000_s1043" type="#_x0000_t32" style="position:absolute;left:0;margin-left:40.6pt;margin-top:182.85pt;height:0.05pt;width:41.1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9" o:spid="_x0000_s1044" type="#_x0000_t32" style="position:absolute;left:0;flip:y;margin-left:345.35pt;margin-top:4.1pt;height:44.75pt;width:0.05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20"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23978CF"/>
    <w:rsid w:val="0BCE3FEB"/>
    <w:rsid w:val="0E452476"/>
    <w:rsid w:val="43C7119F"/>
    <w:rsid w:val="45024AC5"/>
    <w:rsid w:val="4D4941DA"/>
    <w:rsid w:val="4DA70A97"/>
    <w:rsid w:val="4EA0221A"/>
    <w:rsid w:val="55B577AC"/>
    <w:rsid w:val="6F2D1696"/>
    <w:rsid w:val="7111581D"/>
    <w:rsid w:val="75801B5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0"/>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rFonts w:hint="default" w:ascii="ˎ̥" w:hAnsi="ˎ̥"/>
      <w:color w:val="0453CC"/>
      <w:sz w:val="20"/>
      <w:szCs w:val="20"/>
      <w:u w:val="none"/>
    </w:rPr>
  </w:style>
  <w:style w:type="paragraph" w:customStyle="1" w:styleId="8">
    <w:name w:val="List Paragraph"/>
    <w:basedOn w:val="1"/>
    <w:qFormat/>
    <w:uiPriority w:val="34"/>
    <w:pPr>
      <w:ind w:firstLine="420" w:firstLineChars="200"/>
    </w:pPr>
  </w:style>
  <w:style w:type="paragraph" w:customStyle="1" w:styleId="9">
    <w:name w:val="Revision"/>
    <w:hidden/>
    <w:semiHidden/>
    <w:uiPriority w:val="99"/>
    <w:rPr>
      <w:rFonts w:ascii="Calibri" w:hAnsi="Calibri" w:eastAsia="宋体" w:cs="黑体"/>
      <w:kern w:val="2"/>
      <w:sz w:val="21"/>
      <w:szCs w:val="22"/>
      <w:lang w:val="en-US" w:eastAsia="zh-CN" w:bidi="ar-SA"/>
    </w:rPr>
  </w:style>
  <w:style w:type="character" w:customStyle="1" w:styleId="10">
    <w:name w:val="页眉 Char Char"/>
    <w:basedOn w:val="5"/>
    <w:link w:val="4"/>
    <w:uiPriority w:val="99"/>
    <w:rPr>
      <w:sz w:val="18"/>
      <w:szCs w:val="18"/>
    </w:rPr>
  </w:style>
  <w:style w:type="character" w:customStyle="1" w:styleId="11">
    <w:name w:val="页脚 Char Char"/>
    <w:basedOn w:val="5"/>
    <w:link w:val="3"/>
    <w:uiPriority w:val="99"/>
    <w:rPr>
      <w:sz w:val="18"/>
      <w:szCs w:val="18"/>
    </w:rPr>
  </w:style>
  <w:style w:type="character" w:customStyle="1" w:styleId="12">
    <w:name w:val="批注框文本 Char Char"/>
    <w:basedOn w:val="5"/>
    <w:link w:val="2"/>
    <w:uiPriority w:val="99"/>
    <w:rPr>
      <w:sz w:val="18"/>
      <w:szCs w:val="18"/>
    </w:rPr>
  </w:style>
  <w:style w:type="character" w:customStyle="1" w:styleId="13">
    <w:name w:val="mini-outputtext"/>
    <w:basedOn w:val="5"/>
    <w:uiPriority w:val="0"/>
    <w:rPr/>
  </w:style>
  <w:style w:type="character" w:customStyle="1" w:styleId="14">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sun</cp:lastModifiedBy>
  <cp:lastPrinted>2020-05-08T08:38:00Z</cp:lastPrinted>
  <dcterms:modified xsi:type="dcterms:W3CDTF">2021-02-22T07:12:51Z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