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发布日期：202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</w:rPr>
        <w:t>0日</w:t>
      </w: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</w:rPr>
        <w:t>0日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30"/>
          <w:szCs w:val="30"/>
        </w:rPr>
        <w:t>发布机构：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国家外汇管理局江苏省分局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。咨询电话：025-84790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、84790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373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国家外汇管理局江苏省分局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19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向</w:t>
      </w:r>
      <w:r>
        <w:rPr>
          <w:rFonts w:hint="eastAsia" w:ascii="仿宋_GB2312" w:hAnsi="Times New Roman" w:eastAsia="仿宋_GB2312"/>
          <w:sz w:val="30"/>
          <w:szCs w:val="30"/>
        </w:rPr>
        <w:t>国家外汇管理局江苏省分局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经常项目管理处</w:t>
      </w:r>
      <w:r>
        <w:rPr>
          <w:rFonts w:hint="eastAsia" w:ascii="仿宋_GB2312" w:hAnsi="Times New Roman" w:eastAsia="仿宋_GB2312"/>
          <w:sz w:val="30"/>
          <w:szCs w:val="30"/>
        </w:rPr>
        <w:t>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</w:t>
      </w:r>
      <w:r>
        <w:rPr>
          <w:rFonts w:hint="eastAsia" w:ascii="Times New Roman" w:hAnsi="Times New Roman" w:eastAsia="黑体" w:cs="Times New Roman"/>
          <w:sz w:val="30"/>
          <w:szCs w:val="30"/>
        </w:rPr>
        <w:t>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</w:rPr>
        <w:t>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</w:rPr>
        <w:t>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申请材料未明确业务范围，</w:t>
      </w:r>
      <w:r>
        <w:rPr>
          <w:rFonts w:hint="eastAsia" w:ascii="仿宋_GB2312" w:eastAsia="仿宋_GB2312"/>
          <w:sz w:val="30"/>
          <w:szCs w:val="30"/>
        </w:rPr>
        <w:t>内部管理制度缺少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7" o:spid="_x0000_s1027" type="#_x0000_t116" style="position:absolute;left:0;margin-left:-17.75pt;margin-top:9.4pt;height:58.6pt;width:123.35pt;rotation:0f;z-index:25167667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申请人现场提出书面申请，并提交材料</w:t>
                  </w:r>
                </w:p>
                <w:p/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4" o:spid="_x0000_s1028" type="#_x0000_t32" style="position:absolute;left:0;margin-left:37.6pt;margin-top:7.7pt;height:69.55pt;width:0.05pt;rotation:0f;z-index:25167769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rect id="Rectangle 299" o:spid="_x0000_s1029" style="position:absolute;left:0;margin-left:273.6pt;margin-top:0.65pt;height:36pt;width:146.45pt;rotation:0f;z-index:25166848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1" o:spid="_x0000_s1030" type="#_x0000_t32" style="position:absolute;left:0;flip:x;margin-left:41.45pt;margin-top:22.25pt;height:0.05pt;width:232.1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0" o:spid="_x0000_s1031" type="#_x0000_t32" style="position:absolute;left:0;flip:y;margin-left:345.35pt;margin-top:6.8pt;height:44.75pt;width:0.05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</w:pPr>
      <w:r>
        <w:rPr>
          <w:rFonts w:ascii="Calibri" w:hAnsi="Calibri" w:eastAsia="宋体" w:cs="黑体"/>
          <w:kern w:val="2"/>
          <w:sz w:val="30"/>
          <w:szCs w:val="22"/>
          <w:lang w:val="en-US" w:eastAsia="zh-CN" w:bidi="ar-SA"/>
        </w:rPr>
        <w:pict>
          <v:line id="直线 26" o:spid="_x0000_s1032" style="position:absolute;left:0;margin-left:144.3pt;margin-top:36.85pt;height:52.5pt;width:0.75pt;rotation:0f;z-index:251678720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6" o:spid="_x0000_s1033" type="#_x0000_t110" style="position:absolute;left:0;margin-left:-39.9pt;margin-top:14.35pt;height:105.75pt;width:157.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hint="eastAsia"/>
                    </w:rPr>
                    <w:t>个工作日作出是否受理决定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9" o:spid="_x0000_s1034" type="#_x0000_t34" style="position:absolute;left:0;margin-left:144pt;margin-top:89pt;height:0.05pt;width:25.95pt;rotation:0f;z-index:251659264;" o:ole="f" fillcolor="#FFFFFF" filled="t" o:preferrelative="t" stroked="t" coordorigin="0,0" coordsize="21600,21600" adj="10779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8" o:spid="_x0000_s1035" type="#_x0000_t32" style="position:absolute;left:0;margin-left:144.75pt;margin-top:37.45pt;height:0.05pt;width:25.2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8" o:spid="_x0000_s1036" type="#_x0000_t32" style="position:absolute;left:0;margin-left:118.35pt;margin-top:67.4pt;height:0.05pt;width:25.6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01" o:spid="_x0000_s1037" style="position:absolute;left:0;margin-left:170.7pt;margin-top:67.4pt;height:40.55pt;width:272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0" o:spid="_x0000_s1038" type="#_x0000_t109" style="position:absolute;left:0;margin-left:169.95pt;margin-top:20.35pt;height:29.35pt;width:272pt;rotation:0f;z-index:25166950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5" o:spid="_x0000_s1039" type="#_x0000_t32" style="position:absolute;left:0;margin-left:41.35pt;margin-top:181.35pt;height:0.05pt;width:41.1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6" o:spid="_x0000_s1040" type="#_x0000_t32" style="position:absolute;left:0;flip:y;margin-left:236pt;margin-top:261.9pt;height:0.75pt;width:63.3pt;rotation:0f;z-index:25167564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5" o:spid="_x0000_s1041" type="#_x0000_t109" style="position:absolute;left:0;margin-left:299.3pt;margin-top:242.85pt;height:38.3pt;width:114.9pt;rotation:0f;z-index:25167462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2" o:spid="_x0000_s1042" type="#_x0000_t109" style="position:absolute;left:0;margin-left:82.6pt;margin-top:163.85pt;height:40.75pt;width:161.35pt;rotation:0f;z-index:25167155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依法应予受理的，出具受理单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4" o:spid="_x0000_s1043" type="#_x0000_t109" style="position:absolute;left:0;margin-left:82.6pt;margin-top:345.8pt;height:37.85pt;width:149.35pt;rotation:0f;z-index:25167360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予以许可的，向申请人出具核准书面决定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3" o:spid="_x0000_s1044" type="#_x0000_t32" style="position:absolute;left:0;margin-left:159.3pt;margin-top:300.55pt;height:45.2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3" o:spid="_x0000_s1045" type="#_x0000_t110" style="position:absolute;left:0;margin-left:82.8pt;margin-top:226.45pt;height:72.2pt;width:153.2pt;rotation:0f;z-index:25167257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2" o:spid="_x0000_s1046" type="#_x0000_t32" style="position:absolute;left:0;margin-left:160.1pt;margin-top:204.6pt;height:21.85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4" o:spid="_x0000_s1047" type="#_x0000_t32" style="position:absolute;left:0;margin-left:41.35pt;margin-top:111.05pt;height:69.55pt;width:0.05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sectPr>
      <w:footerReference r:id="rId10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75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A113593"/>
    <w:rsid w:val="29322E73"/>
    <w:rsid w:val="62E96CD5"/>
    <w:rsid w:val="655A3D56"/>
    <w:rsid w:val="75DF0C7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uiPriority w:val="0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27">
    <w:name w:val="页眉 Char Char"/>
    <w:basedOn w:val="13"/>
    <w:link w:val="9"/>
    <w:uiPriority w:val="99"/>
    <w:rPr>
      <w:sz w:val="18"/>
      <w:szCs w:val="18"/>
    </w:rPr>
  </w:style>
  <w:style w:type="character" w:customStyle="1" w:styleId="28">
    <w:name w:val="页脚 Char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7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0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570</Words>
  <Characters>3252</Characters>
  <Lines>27</Lines>
  <Paragraphs>7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sun</cp:lastModifiedBy>
  <cp:lastPrinted>2017-12-26T09:10:00Z</cp:lastPrinted>
  <dcterms:modified xsi:type="dcterms:W3CDTF">2021-02-20T08:56:54Z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