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_GBK" w:hAnsi="方正小标宋_GBK" w:eastAsia="方正小标宋_GBK" w:cs="方正小标宋_GBK"/>
          <w:sz w:val="40"/>
          <w:szCs w:val="40"/>
        </w:rPr>
      </w:pPr>
      <w:r>
        <w:rPr>
          <w:rFonts w:hint="eastAsia" w:ascii="方正小标宋_GBK" w:hAnsi="方正小标宋_GBK" w:eastAsia="方正小标宋_GBK" w:cs="方正小标宋_GBK"/>
          <w:sz w:val="40"/>
          <w:szCs w:val="40"/>
        </w:rPr>
        <w:t>省级分局和计划单列市分局办理的金融机构外债结汇核准</w:t>
      </w:r>
    </w:p>
    <w:p>
      <w:pPr>
        <w:jc w:val="center"/>
        <w:rPr>
          <w:rFonts w:hint="eastAsia" w:ascii="方正小标宋_GBK" w:hAnsi="方正小标宋_GBK" w:eastAsia="方正小标宋_GBK" w:cs="方正小标宋_GBK"/>
          <w:sz w:val="40"/>
          <w:szCs w:val="40"/>
        </w:rPr>
      </w:pPr>
      <w:r>
        <w:rPr>
          <w:rFonts w:hint="eastAsia" w:ascii="方正小标宋_GBK" w:hAnsi="方正小标宋_GBK" w:eastAsia="方正小标宋_GBK" w:cs="方正小标宋_GBK"/>
          <w:sz w:val="40"/>
          <w:szCs w:val="40"/>
        </w:rPr>
        <w:t>【000171110005】</w:t>
      </w:r>
    </w:p>
    <w:p>
      <w:pPr>
        <w:spacing w:line="540" w:lineRule="exact"/>
        <w:outlineLvl w:val="1"/>
        <w:rPr>
          <w:rFonts w:hint="eastAsia" w:ascii="仿宋_GB2312" w:hAnsi="仿宋_GB2312" w:eastAsia="仿宋_GB2312" w:cs="仿宋_GB2312"/>
          <w:sz w:val="28"/>
          <w:szCs w:val="28"/>
        </w:rPr>
      </w:pPr>
      <w:bookmarkStart w:id="0" w:name="_GoBack"/>
      <w:r>
        <w:rPr>
          <w:rFonts w:hint="eastAsia" w:ascii="仿宋_GB2312" w:hAnsi="仿宋_GB2312" w:eastAsia="仿宋_GB2312" w:cs="仿宋_GB2312"/>
          <w:sz w:val="28"/>
          <w:szCs w:val="28"/>
        </w:rPr>
        <w:t>一、基本要素</w:t>
      </w:r>
    </w:p>
    <w:p>
      <w:pPr>
        <w:spacing w:line="540" w:lineRule="exact"/>
        <w:ind w:firstLine="562" w:firstLineChars="200"/>
        <w:outlineLvl w:val="2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1.行政许可事项名称及编码</w:t>
      </w:r>
    </w:p>
    <w:p>
      <w:pPr>
        <w:spacing w:line="540" w:lineRule="exact"/>
        <w:ind w:firstLine="560" w:firstLineChars="200"/>
        <w:outlineLvl w:val="2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资本项目外汇资金结汇核准【00017111000Y】</w:t>
      </w:r>
    </w:p>
    <w:p>
      <w:pPr>
        <w:spacing w:line="540" w:lineRule="exact"/>
        <w:ind w:firstLine="562" w:firstLineChars="200"/>
        <w:outlineLvl w:val="2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2.行政许可事项子项名称及编码</w:t>
      </w:r>
    </w:p>
    <w:p>
      <w:pPr>
        <w:spacing w:line="36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省级分局和计划单列市分局办理的金融机构外债结汇核准【000171110005】</w:t>
      </w:r>
    </w:p>
    <w:p>
      <w:pPr>
        <w:spacing w:line="540" w:lineRule="exact"/>
        <w:ind w:firstLine="562" w:firstLineChars="200"/>
        <w:outlineLvl w:val="2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3.行政许可事项业务办理项名称及编码</w:t>
      </w:r>
    </w:p>
    <w:p>
      <w:pPr>
        <w:spacing w:line="36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1.省级分局和计划单列市分局办理的金融机构外债结汇核准(00017111000501)</w:t>
      </w:r>
    </w:p>
    <w:p>
      <w:pPr>
        <w:spacing w:line="540" w:lineRule="exact"/>
        <w:ind w:firstLine="562" w:firstLineChars="200"/>
        <w:outlineLvl w:val="2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4.设定依据</w:t>
      </w:r>
    </w:p>
    <w:p>
      <w:pPr>
        <w:spacing w:line="540" w:lineRule="exact"/>
        <w:ind w:firstLine="560" w:firstLineChars="200"/>
        <w:outlineLvl w:val="2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（1）《中华人民共和国外汇管理条例》第二十一条</w:t>
      </w:r>
    </w:p>
    <w:p>
      <w:pPr>
        <w:spacing w:line="540" w:lineRule="exact"/>
        <w:ind w:firstLine="562" w:firstLineChars="200"/>
        <w:outlineLvl w:val="2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5.实施依据</w:t>
      </w:r>
    </w:p>
    <w:p>
      <w:pPr>
        <w:spacing w:line="540" w:lineRule="exact"/>
        <w:ind w:firstLine="560" w:firstLineChars="200"/>
        <w:outlineLvl w:val="2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（1）《中国人民银行关于全口径跨境融资宏观审慎管理有关事宜的通知》（银发〔2017〕9号）第十一条</w:t>
      </w:r>
    </w:p>
    <w:p>
      <w:pPr>
        <w:spacing w:line="540" w:lineRule="exact"/>
        <w:ind w:firstLine="560" w:firstLineChars="200"/>
        <w:outlineLvl w:val="2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（2）《国家外汇管理局行政许可实施办法》（国家外汇管理局公告2021年第1号）</w:t>
      </w:r>
    </w:p>
    <w:p>
      <w:pPr>
        <w:spacing w:line="540" w:lineRule="exact"/>
        <w:ind w:firstLine="560" w:firstLineChars="200"/>
        <w:outlineLvl w:val="2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（3）《资本项目外汇业务指引（2024版）》（汇发[2024]12号）3.2</w:t>
      </w:r>
    </w:p>
    <w:p>
      <w:pPr>
        <w:spacing w:line="540" w:lineRule="exact"/>
        <w:ind w:firstLine="562" w:firstLineChars="200"/>
        <w:outlineLvl w:val="2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6.监管依据</w:t>
      </w:r>
    </w:p>
    <w:p>
      <w:pPr>
        <w:spacing w:line="540" w:lineRule="exact"/>
        <w:ind w:firstLine="560" w:firstLineChars="200"/>
        <w:outlineLvl w:val="2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（1）《中华人民共和国外汇管理条例》</w:t>
      </w:r>
    </w:p>
    <w:p>
      <w:pPr>
        <w:spacing w:line="600" w:lineRule="exact"/>
        <w:ind w:firstLine="562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7.实施机关：</w:t>
      </w:r>
      <w:r>
        <w:rPr>
          <w:rFonts w:hint="eastAsia" w:ascii="仿宋_GB2312" w:hAnsi="仿宋_GB2312" w:eastAsia="仿宋_GB2312" w:cs="仿宋_GB2312"/>
          <w:sz w:val="28"/>
          <w:szCs w:val="28"/>
        </w:rPr>
        <w:t>国家外汇局省级分局和计划单列市分局</w:t>
      </w:r>
    </w:p>
    <w:p>
      <w:pPr>
        <w:spacing w:line="600" w:lineRule="exact"/>
        <w:ind w:firstLine="562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8.审批层级：</w:t>
      </w:r>
      <w:r>
        <w:rPr>
          <w:rFonts w:hint="eastAsia" w:ascii="仿宋_GB2312" w:hAnsi="仿宋_GB2312" w:eastAsia="仿宋_GB2312" w:cs="仿宋_GB2312"/>
          <w:sz w:val="28"/>
          <w:szCs w:val="28"/>
        </w:rPr>
        <w:t>国家级</w:t>
      </w:r>
    </w:p>
    <w:p>
      <w:pPr>
        <w:spacing w:line="600" w:lineRule="exact"/>
        <w:ind w:firstLine="562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9.行使层级：</w:t>
      </w:r>
      <w:r>
        <w:rPr>
          <w:rFonts w:hint="eastAsia" w:ascii="仿宋_GB2312" w:hAnsi="仿宋_GB2312" w:eastAsia="仿宋_GB2312" w:cs="仿宋_GB2312"/>
          <w:sz w:val="28"/>
          <w:szCs w:val="28"/>
        </w:rPr>
        <w:t>省级/直属</w:t>
      </w:r>
    </w:p>
    <w:p>
      <w:pPr>
        <w:spacing w:line="600" w:lineRule="exact"/>
        <w:ind w:firstLine="562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10.是否由审批机关受理：</w:t>
      </w:r>
      <w:r>
        <w:rPr>
          <w:rFonts w:hint="eastAsia" w:ascii="仿宋_GB2312" w:hAnsi="仿宋_GB2312" w:eastAsia="仿宋_GB2312" w:cs="仿宋_GB2312"/>
          <w:sz w:val="28"/>
          <w:szCs w:val="28"/>
        </w:rPr>
        <w:t>是</w:t>
      </w:r>
    </w:p>
    <w:p>
      <w:pPr>
        <w:spacing w:line="600" w:lineRule="exact"/>
        <w:ind w:firstLine="562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11.受理层级：</w:t>
      </w:r>
      <w:r>
        <w:rPr>
          <w:rFonts w:hint="eastAsia" w:ascii="仿宋_GB2312" w:hAnsi="仿宋_GB2312" w:eastAsia="仿宋_GB2312" w:cs="仿宋_GB2312"/>
          <w:sz w:val="28"/>
          <w:szCs w:val="28"/>
        </w:rPr>
        <w:t>省级</w:t>
      </w:r>
    </w:p>
    <w:p>
      <w:pPr>
        <w:spacing w:line="600" w:lineRule="exact"/>
        <w:ind w:firstLine="562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12.是否存在初审环节：</w:t>
      </w:r>
      <w:r>
        <w:rPr>
          <w:rFonts w:hint="eastAsia" w:ascii="仿宋_GB2312" w:hAnsi="仿宋_GB2312" w:eastAsia="仿宋_GB2312" w:cs="仿宋_GB2312"/>
          <w:sz w:val="28"/>
          <w:szCs w:val="28"/>
        </w:rPr>
        <w:t>否</w:t>
      </w:r>
    </w:p>
    <w:p>
      <w:pPr>
        <w:spacing w:line="600" w:lineRule="exact"/>
        <w:ind w:firstLine="562" w:firstLineChars="200"/>
        <w:rPr>
          <w:rFonts w:hint="eastAsia" w:ascii="仿宋_GB2312" w:hAnsi="仿宋_GB2312" w:eastAsia="仿宋_GB2312" w:cs="仿宋_GB2312"/>
          <w:sz w:val="28"/>
          <w:szCs w:val="28"/>
          <w:highlight w:val="yellow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13.初审层级：</w:t>
      </w:r>
      <w:r>
        <w:rPr>
          <w:rFonts w:hint="eastAsia" w:ascii="仿宋_GB2312" w:hAnsi="仿宋_GB2312" w:eastAsia="仿宋_GB2312" w:cs="仿宋_GB2312"/>
          <w:sz w:val="28"/>
          <w:szCs w:val="28"/>
        </w:rPr>
        <w:t>无</w:t>
      </w:r>
    </w:p>
    <w:p>
      <w:pPr>
        <w:spacing w:line="600" w:lineRule="exact"/>
        <w:ind w:firstLine="562" w:firstLineChars="200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14.对应政务服务事项国家级基本目录名称：</w:t>
      </w:r>
      <w:r>
        <w:rPr>
          <w:rFonts w:hint="eastAsia" w:ascii="仿宋_GB2312" w:hAnsi="仿宋_GB2312" w:eastAsia="仿宋_GB2312" w:cs="仿宋_GB2312"/>
          <w:sz w:val="28"/>
          <w:szCs w:val="28"/>
        </w:rPr>
        <w:t>金融机构外债结汇核准</w:t>
      </w:r>
    </w:p>
    <w:p>
      <w:pPr>
        <w:spacing w:line="600" w:lineRule="exact"/>
        <w:ind w:firstLine="562" w:firstLineChars="200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15.要素统一情况：</w:t>
      </w:r>
      <w:r>
        <w:rPr>
          <w:rFonts w:hint="eastAsia" w:ascii="仿宋_GB2312" w:hAnsi="仿宋_GB2312" w:eastAsia="仿宋_GB2312" w:cs="仿宋_GB2312"/>
          <w:sz w:val="28"/>
          <w:szCs w:val="28"/>
        </w:rPr>
        <w:t>全部要素全国统一</w:t>
      </w:r>
    </w:p>
    <w:p>
      <w:pPr>
        <w:spacing w:line="540" w:lineRule="exact"/>
        <w:outlineLvl w:val="1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二、行政许可事项类型</w:t>
      </w:r>
    </w:p>
    <w:p>
      <w:pPr>
        <w:spacing w:line="60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条件型</w:t>
      </w:r>
    </w:p>
    <w:p>
      <w:pPr>
        <w:spacing w:line="540" w:lineRule="exact"/>
        <w:outlineLvl w:val="1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三、行政许可条件</w:t>
      </w:r>
    </w:p>
    <w:p>
      <w:pPr>
        <w:spacing w:line="540" w:lineRule="exact"/>
        <w:ind w:firstLine="562" w:firstLineChars="200"/>
        <w:outlineLvl w:val="2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1.准予行政许可的条件</w:t>
      </w:r>
    </w:p>
    <w:p>
      <w:pPr>
        <w:spacing w:line="60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金融机构融入资金用于补充资本金，服务实体经济发展，并符合国家产业宏观调控方向。</w:t>
      </w:r>
    </w:p>
    <w:p>
      <w:pPr>
        <w:spacing w:line="540" w:lineRule="exact"/>
        <w:ind w:firstLine="562" w:firstLineChars="200"/>
        <w:outlineLvl w:val="2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2.规定行政许可条件的依据</w:t>
      </w:r>
    </w:p>
    <w:p>
      <w:pPr>
        <w:spacing w:line="60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1）《中国人民银行关于全口径跨境融资宏观审慎管理有关事宜的通知》（银发〔2017〕9号）第十一条……（四）金融机构融入资金可用于补充资本金，服务实体经济发展，并符合国家产业宏观调控方向。经国家外汇管理局批准，金融机构融入外汇资金可结汇使用。……</w:t>
      </w:r>
    </w:p>
    <w:p>
      <w:pPr>
        <w:spacing w:line="540" w:lineRule="exact"/>
        <w:outlineLvl w:val="1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四、行政许可服务对象类型与改革举措</w:t>
      </w:r>
    </w:p>
    <w:p>
      <w:pPr>
        <w:spacing w:line="600" w:lineRule="exact"/>
        <w:ind w:firstLine="562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1.服务对象类型：</w:t>
      </w:r>
      <w:r>
        <w:rPr>
          <w:rFonts w:hint="eastAsia" w:ascii="仿宋_GB2312" w:hAnsi="仿宋_GB2312" w:eastAsia="仿宋_GB2312" w:cs="仿宋_GB2312"/>
          <w:sz w:val="28"/>
          <w:szCs w:val="28"/>
        </w:rPr>
        <w:t>企业法人</w:t>
      </w:r>
    </w:p>
    <w:p>
      <w:pPr>
        <w:spacing w:line="600" w:lineRule="exact"/>
        <w:ind w:firstLine="562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2.是否为涉企许可事项：</w:t>
      </w:r>
      <w:r>
        <w:rPr>
          <w:rFonts w:hint="eastAsia" w:ascii="仿宋_GB2312" w:hAnsi="仿宋_GB2312" w:eastAsia="仿宋_GB2312" w:cs="仿宋_GB2312"/>
          <w:sz w:val="28"/>
          <w:szCs w:val="28"/>
        </w:rPr>
        <w:t>否</w:t>
      </w:r>
    </w:p>
    <w:p>
      <w:pPr>
        <w:spacing w:line="600" w:lineRule="exact"/>
        <w:ind w:firstLine="562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3.涉企经营许可事项名称：</w:t>
      </w:r>
      <w:r>
        <w:rPr>
          <w:rFonts w:hint="eastAsia" w:ascii="仿宋_GB2312" w:hAnsi="仿宋_GB2312" w:eastAsia="仿宋_GB2312" w:cs="仿宋_GB2312"/>
          <w:sz w:val="28"/>
          <w:szCs w:val="28"/>
        </w:rPr>
        <w:t>无</w:t>
      </w:r>
    </w:p>
    <w:p>
      <w:pPr>
        <w:spacing w:line="600" w:lineRule="exact"/>
        <w:ind w:firstLine="562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4.许可证件名称：</w:t>
      </w:r>
      <w:r>
        <w:rPr>
          <w:rFonts w:hint="eastAsia" w:ascii="仿宋_GB2312" w:hAnsi="仿宋_GB2312" w:eastAsia="仿宋_GB2312" w:cs="仿宋_GB2312"/>
          <w:sz w:val="28"/>
          <w:szCs w:val="28"/>
        </w:rPr>
        <w:t>无</w:t>
      </w:r>
    </w:p>
    <w:p>
      <w:pPr>
        <w:spacing w:line="600" w:lineRule="exact"/>
        <w:ind w:firstLine="562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5.改革方式：</w:t>
      </w:r>
      <w:r>
        <w:rPr>
          <w:rFonts w:hint="eastAsia" w:ascii="仿宋_GB2312" w:hAnsi="仿宋_GB2312" w:eastAsia="仿宋_GB2312" w:cs="仿宋_GB2312"/>
          <w:sz w:val="28"/>
          <w:szCs w:val="28"/>
        </w:rPr>
        <w:t>无</w:t>
      </w:r>
    </w:p>
    <w:p>
      <w:pPr>
        <w:spacing w:line="540" w:lineRule="exact"/>
        <w:ind w:firstLine="562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6.具体改革举措：</w:t>
      </w:r>
      <w:r>
        <w:rPr>
          <w:rFonts w:hint="eastAsia" w:ascii="仿宋_GB2312" w:hAnsi="仿宋_GB2312" w:eastAsia="仿宋_GB2312" w:cs="仿宋_GB2312"/>
          <w:sz w:val="28"/>
          <w:szCs w:val="28"/>
        </w:rPr>
        <w:t>无</w:t>
      </w:r>
    </w:p>
    <w:p>
      <w:pPr>
        <w:spacing w:line="540" w:lineRule="exact"/>
        <w:ind w:firstLine="562" w:firstLineChars="200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7.加强事中事后监管措施</w:t>
      </w:r>
    </w:p>
    <w:p>
      <w:pPr>
        <w:spacing w:line="60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1.开展“双随机、一公开”监管，依法查处违规行为，适时公开相关案例。2.依法及时处理投诉举报。3.开展数据统计与监测，掌握外汇业务情况。</w:t>
      </w:r>
    </w:p>
    <w:p>
      <w:pPr>
        <w:spacing w:line="540" w:lineRule="exact"/>
        <w:outlineLvl w:val="1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五、申请材料</w:t>
      </w:r>
    </w:p>
    <w:p>
      <w:pPr>
        <w:spacing w:line="540" w:lineRule="exact"/>
        <w:ind w:firstLine="562" w:firstLineChars="200"/>
        <w:outlineLvl w:val="2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1.申请材料名称</w:t>
      </w:r>
    </w:p>
    <w:p>
      <w:pPr>
        <w:spacing w:line="60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加盖公章的书面申请原件1份</w:t>
      </w:r>
      <w:r>
        <w:rPr>
          <w:rFonts w:hint="eastAsia" w:ascii="仿宋_GB2312" w:hAnsi="仿宋_GB2312" w:eastAsia="仿宋_GB2312" w:cs="仿宋_GB2312"/>
          <w:sz w:val="28"/>
          <w:szCs w:val="28"/>
        </w:rPr>
        <w:tab/>
      </w:r>
      <w:r>
        <w:rPr>
          <w:rFonts w:hint="eastAsia" w:ascii="仿宋_GB2312" w:hAnsi="仿宋_GB2312" w:eastAsia="仿宋_GB2312" w:cs="仿宋_GB2312"/>
          <w:sz w:val="28"/>
          <w:szCs w:val="28"/>
        </w:rPr>
        <w:tab/>
      </w:r>
    </w:p>
    <w:p>
      <w:pPr>
        <w:spacing w:line="60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资金需结汇使用相关真实性证明材料原件及加盖公章的复印件各1份（验原件，留存复印件）</w:t>
      </w:r>
    </w:p>
    <w:p>
      <w:pPr>
        <w:spacing w:line="60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营业执照（统一社会信用代码证）原件或加盖公章的复印件1份。</w:t>
      </w:r>
    </w:p>
    <w:p>
      <w:pPr>
        <w:spacing w:line="540" w:lineRule="exact"/>
        <w:ind w:firstLine="562" w:firstLineChars="200"/>
        <w:outlineLvl w:val="2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2.规定申请材料的依据</w:t>
      </w:r>
    </w:p>
    <w:p>
      <w:pPr>
        <w:spacing w:line="60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（1）《国家外汇管理局行政许可实施办法》（国家外汇管理局公告2021年第1号）第八条……申请人为机构的，应出示统一社会信用代码证或营业执照原件，或加盖公章的上述证件复印件……。</w:t>
      </w:r>
    </w:p>
    <w:p>
      <w:pPr>
        <w:spacing w:line="60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（2）《资本项目外汇业务指引（2024版）》（汇发[2024]12号）3.23.2.3审核材料</w:t>
      </w:r>
    </w:p>
    <w:p>
      <w:pPr>
        <w:spacing w:line="60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1.营业执照。</w:t>
      </w:r>
    </w:p>
    <w:p>
      <w:pPr>
        <w:spacing w:line="60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2.书面申请。</w:t>
      </w:r>
    </w:p>
    <w:p>
      <w:pPr>
        <w:spacing w:line="60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3.资金需结汇使用相关真实性证明材料。</w:t>
      </w:r>
    </w:p>
    <w:p>
      <w:pPr>
        <w:spacing w:line="540" w:lineRule="exact"/>
        <w:outlineLvl w:val="1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六、中介服务</w:t>
      </w:r>
    </w:p>
    <w:p>
      <w:pPr>
        <w:spacing w:line="600" w:lineRule="exact"/>
        <w:ind w:firstLine="562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1.有无法定中介服务事项：</w:t>
      </w:r>
      <w:r>
        <w:rPr>
          <w:rFonts w:hint="eastAsia" w:ascii="仿宋_GB2312" w:hAnsi="仿宋_GB2312" w:eastAsia="仿宋_GB2312" w:cs="仿宋_GB2312"/>
          <w:sz w:val="28"/>
          <w:szCs w:val="28"/>
        </w:rPr>
        <w:t>无</w:t>
      </w:r>
    </w:p>
    <w:p>
      <w:pPr>
        <w:spacing w:line="600" w:lineRule="exact"/>
        <w:ind w:firstLine="562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2.中介服务事项名称：</w:t>
      </w:r>
      <w:r>
        <w:rPr>
          <w:rFonts w:hint="eastAsia" w:ascii="仿宋_GB2312" w:hAnsi="仿宋_GB2312" w:eastAsia="仿宋_GB2312" w:cs="仿宋_GB2312"/>
          <w:sz w:val="28"/>
          <w:szCs w:val="28"/>
        </w:rPr>
        <w:t>无</w:t>
      </w:r>
    </w:p>
    <w:p>
      <w:pPr>
        <w:spacing w:line="600" w:lineRule="exact"/>
        <w:ind w:firstLine="562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3.设定中介服务事项的依据：</w:t>
      </w:r>
      <w:r>
        <w:rPr>
          <w:rFonts w:hint="eastAsia" w:ascii="仿宋_GB2312" w:hAnsi="仿宋_GB2312" w:eastAsia="仿宋_GB2312" w:cs="仿宋_GB2312"/>
          <w:sz w:val="28"/>
          <w:szCs w:val="28"/>
        </w:rPr>
        <w:t>无</w:t>
      </w:r>
    </w:p>
    <w:p>
      <w:pPr>
        <w:spacing w:line="600" w:lineRule="exact"/>
        <w:ind w:firstLine="562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4.提供中介服务的机构：</w:t>
      </w:r>
      <w:r>
        <w:rPr>
          <w:rFonts w:hint="eastAsia" w:ascii="仿宋_GB2312" w:hAnsi="仿宋_GB2312" w:eastAsia="仿宋_GB2312" w:cs="仿宋_GB2312"/>
          <w:sz w:val="28"/>
          <w:szCs w:val="28"/>
        </w:rPr>
        <w:t>无</w:t>
      </w:r>
    </w:p>
    <w:p>
      <w:pPr>
        <w:spacing w:line="600" w:lineRule="exact"/>
        <w:ind w:firstLine="562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5.中介服务事项的收费性质：</w:t>
      </w:r>
      <w:r>
        <w:rPr>
          <w:rFonts w:hint="eastAsia" w:ascii="仿宋_GB2312" w:hAnsi="仿宋_GB2312" w:eastAsia="仿宋_GB2312" w:cs="仿宋_GB2312"/>
          <w:sz w:val="28"/>
          <w:szCs w:val="28"/>
        </w:rPr>
        <w:t>无</w:t>
      </w:r>
    </w:p>
    <w:p>
      <w:pPr>
        <w:spacing w:line="540" w:lineRule="exact"/>
        <w:outlineLvl w:val="1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七、审批程序</w:t>
      </w:r>
    </w:p>
    <w:p>
      <w:pPr>
        <w:spacing w:line="540" w:lineRule="exact"/>
        <w:ind w:firstLine="562" w:firstLineChars="200"/>
        <w:outlineLvl w:val="2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1.办理行政许可的程序环节</w:t>
      </w:r>
    </w:p>
    <w:p>
      <w:pPr>
        <w:spacing w:line="60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（1）申请人申请；</w:t>
      </w:r>
    </w:p>
    <w:p>
      <w:pPr>
        <w:spacing w:line="60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（2）审批机构受理/不予受理；</w:t>
      </w:r>
    </w:p>
    <w:p>
      <w:pPr>
        <w:spacing w:line="60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（3）审批机构审查；</w:t>
      </w:r>
    </w:p>
    <w:p>
      <w:pPr>
        <w:spacing w:line="60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（4）决定作出许可决定书/不予许可决定书</w:t>
      </w:r>
    </w:p>
    <w:p>
      <w:pPr>
        <w:spacing w:line="540" w:lineRule="exact"/>
        <w:ind w:firstLine="562" w:firstLineChars="200"/>
        <w:outlineLvl w:val="2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2.规定行政许可程序的依据</w:t>
      </w:r>
    </w:p>
    <w:p>
      <w:pPr>
        <w:spacing w:line="60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（1）《国家外汇管理局行政许可实施办法》（国家外汇管理局公告2021年第1号）第十条，第十四条第十条</w:t>
      </w:r>
      <w:r>
        <w:rPr>
          <w:rFonts w:hint="eastAsia" w:ascii="仿宋_GB2312" w:hAnsi="仿宋_GB2312" w:eastAsia="仿宋_GB2312" w:cs="仿宋_GB2312"/>
          <w:sz w:val="28"/>
          <w:szCs w:val="28"/>
        </w:rPr>
        <w:tab/>
      </w:r>
      <w:r>
        <w:rPr>
          <w:rFonts w:hint="eastAsia" w:ascii="仿宋_GB2312" w:hAnsi="仿宋_GB2312" w:eastAsia="仿宋_GB2312" w:cs="仿宋_GB2312"/>
          <w:sz w:val="28"/>
          <w:szCs w:val="28"/>
        </w:rPr>
        <w:t>外汇局收到行政许可申请后，应区分下列情况分别作出处理：</w:t>
      </w:r>
    </w:p>
    <w:p>
      <w:pPr>
        <w:spacing w:line="60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（一）申请事项属于本局职责范围，但依法不需要取得行政许可的，应即时告知申请人不受理，出具不予受理行政许可通知书；</w:t>
      </w:r>
    </w:p>
    <w:p>
      <w:pPr>
        <w:spacing w:line="60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（二）申请事项不属于本局职责范围，应即时作出不予受理的决定，出具不予受理行政许可通知书，并告知申请人向有关行政机关申请；</w:t>
      </w:r>
    </w:p>
    <w:p>
      <w:pPr>
        <w:spacing w:line="60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三）申请事项属于本局职责范围，但申请材料不齐全或不符合法定形式的，应当场或在收到申请材料之日起5个工作日内作出要求申请人补正材料的决定，出具补正告知书，一次性告知申请人需要补正的全部内容；逾期不告知的，自收到申请材料之日起即为受理；</w:t>
      </w:r>
    </w:p>
    <w:p>
      <w:pPr>
        <w:spacing w:line="60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申请人拒不补正，或者自补正告知书送达之日起30日内未能提交全部且符合法定形式的补正材料的，应不予受理，出具不予受理行政许可通知书；</w:t>
      </w:r>
    </w:p>
    <w:p>
      <w:pPr>
        <w:spacing w:line="60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申请材料存在文字笔误等可当场更正的错误的，应允许申请人当场更正，并告知其在修改处签字或盖章确认；</w:t>
      </w:r>
    </w:p>
    <w:p>
      <w:pPr>
        <w:spacing w:line="60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 （四）申请事项属于本局职责范围，申请材料齐全、符合法定形式，或者申请人按照要求提交全部补正申请材料的，应受理行政许可申请，出具行政许可受理通知书。</w:t>
      </w:r>
    </w:p>
    <w:p>
      <w:pPr>
        <w:spacing w:line="60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（2）第十四条 外汇局对行政许可申请审查后，应区分下列情况分别作出处理：</w:t>
      </w:r>
    </w:p>
    <w:p>
      <w:pPr>
        <w:spacing w:line="60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（一）申请符合法定条件、拟准予行政许可的，应出具准予行政许可的书面决定。准予行政许可的书面决定应载明名称、出具单位、被许可人姓名或名称、行政许可事项、颁发日期、有效期（如有）等；</w:t>
      </w:r>
    </w:p>
    <w:p>
      <w:pPr>
        <w:spacing w:line="60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（二）申请不符合法定条件、拟不予行政许可的，应出具不予行政许可决定书，并说明不予行政许可的理由，告知申请人享有依法申请行政复议的权利。</w:t>
      </w:r>
    </w:p>
    <w:p>
      <w:pPr>
        <w:spacing w:line="600" w:lineRule="exact"/>
        <w:ind w:firstLine="562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3.是否需要现场勘验：</w:t>
      </w:r>
      <w:r>
        <w:rPr>
          <w:rFonts w:hint="eastAsia" w:ascii="仿宋_GB2312" w:hAnsi="仿宋_GB2312" w:eastAsia="仿宋_GB2312" w:cs="仿宋_GB2312"/>
          <w:sz w:val="28"/>
          <w:szCs w:val="28"/>
        </w:rPr>
        <w:t>否</w:t>
      </w:r>
    </w:p>
    <w:p>
      <w:pPr>
        <w:spacing w:line="600" w:lineRule="exact"/>
        <w:ind w:firstLine="562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4.是否需要组织听证：</w:t>
      </w:r>
      <w:r>
        <w:rPr>
          <w:rFonts w:hint="eastAsia" w:ascii="仿宋_GB2312" w:hAnsi="仿宋_GB2312" w:eastAsia="仿宋_GB2312" w:cs="仿宋_GB2312"/>
          <w:sz w:val="28"/>
          <w:szCs w:val="28"/>
        </w:rPr>
        <w:t>否</w:t>
      </w:r>
    </w:p>
    <w:p>
      <w:pPr>
        <w:spacing w:line="600" w:lineRule="exact"/>
        <w:ind w:firstLine="562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5.是否需要招标、拍卖、挂牌交易：</w:t>
      </w:r>
      <w:r>
        <w:rPr>
          <w:rFonts w:hint="eastAsia" w:ascii="仿宋_GB2312" w:hAnsi="仿宋_GB2312" w:eastAsia="仿宋_GB2312" w:cs="仿宋_GB2312"/>
          <w:sz w:val="28"/>
          <w:szCs w:val="28"/>
        </w:rPr>
        <w:t>否</w:t>
      </w:r>
    </w:p>
    <w:p>
      <w:pPr>
        <w:spacing w:line="600" w:lineRule="exact"/>
        <w:ind w:firstLine="562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6.是否需要检验、检测、检疫：</w:t>
      </w:r>
      <w:r>
        <w:rPr>
          <w:rFonts w:hint="eastAsia" w:ascii="仿宋_GB2312" w:hAnsi="仿宋_GB2312" w:eastAsia="仿宋_GB2312" w:cs="仿宋_GB2312"/>
          <w:sz w:val="28"/>
          <w:szCs w:val="28"/>
        </w:rPr>
        <w:t>否</w:t>
      </w:r>
    </w:p>
    <w:p>
      <w:pPr>
        <w:spacing w:line="600" w:lineRule="exact"/>
        <w:ind w:firstLine="562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7.是否需要鉴定：</w:t>
      </w:r>
      <w:r>
        <w:rPr>
          <w:rFonts w:hint="eastAsia" w:ascii="仿宋_GB2312" w:hAnsi="仿宋_GB2312" w:eastAsia="仿宋_GB2312" w:cs="仿宋_GB2312"/>
          <w:sz w:val="28"/>
          <w:szCs w:val="28"/>
        </w:rPr>
        <w:t>否</w:t>
      </w:r>
    </w:p>
    <w:p>
      <w:pPr>
        <w:spacing w:line="600" w:lineRule="exact"/>
        <w:ind w:firstLine="562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8.是否需要专家评审：</w:t>
      </w:r>
      <w:r>
        <w:rPr>
          <w:rFonts w:hint="eastAsia" w:ascii="仿宋_GB2312" w:hAnsi="仿宋_GB2312" w:eastAsia="仿宋_GB2312" w:cs="仿宋_GB2312"/>
          <w:sz w:val="28"/>
          <w:szCs w:val="28"/>
        </w:rPr>
        <w:t>否</w:t>
      </w:r>
    </w:p>
    <w:p>
      <w:pPr>
        <w:spacing w:line="600" w:lineRule="exact"/>
        <w:ind w:firstLine="562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9.是否需要向社会公示：</w:t>
      </w:r>
      <w:r>
        <w:rPr>
          <w:rFonts w:hint="eastAsia" w:ascii="仿宋_GB2312" w:hAnsi="仿宋_GB2312" w:eastAsia="仿宋_GB2312" w:cs="仿宋_GB2312"/>
          <w:sz w:val="28"/>
          <w:szCs w:val="28"/>
        </w:rPr>
        <w:t>否</w:t>
      </w:r>
    </w:p>
    <w:p>
      <w:pPr>
        <w:spacing w:line="600" w:lineRule="exact"/>
        <w:ind w:firstLine="562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10.是否实行告知承诺办理：</w:t>
      </w:r>
      <w:r>
        <w:rPr>
          <w:rFonts w:hint="eastAsia" w:ascii="仿宋_GB2312" w:hAnsi="仿宋_GB2312" w:eastAsia="仿宋_GB2312" w:cs="仿宋_GB2312"/>
          <w:sz w:val="28"/>
          <w:szCs w:val="28"/>
        </w:rPr>
        <w:t>否</w:t>
      </w:r>
    </w:p>
    <w:p>
      <w:pPr>
        <w:spacing w:line="600" w:lineRule="exact"/>
        <w:ind w:firstLine="562" w:firstLineChars="200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11.审批机关是否委托服务机构开展技术性服务：</w:t>
      </w:r>
      <w:r>
        <w:rPr>
          <w:rFonts w:hint="eastAsia" w:ascii="仿宋_GB2312" w:hAnsi="仿宋_GB2312" w:eastAsia="仿宋_GB2312" w:cs="仿宋_GB2312"/>
          <w:sz w:val="28"/>
          <w:szCs w:val="28"/>
        </w:rPr>
        <w:t>否</w:t>
      </w:r>
    </w:p>
    <w:p>
      <w:pPr>
        <w:spacing w:line="540" w:lineRule="exact"/>
        <w:outlineLvl w:val="1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八、受理和审批时限</w:t>
      </w:r>
    </w:p>
    <w:p>
      <w:pPr>
        <w:spacing w:line="600" w:lineRule="exact"/>
        <w:ind w:firstLine="562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1.承诺受理时限：</w:t>
      </w:r>
      <w:r>
        <w:rPr>
          <w:rFonts w:hint="eastAsia" w:ascii="仿宋_GB2312" w:hAnsi="仿宋_GB2312" w:eastAsia="仿宋_GB2312" w:cs="仿宋_GB2312"/>
          <w:sz w:val="28"/>
          <w:szCs w:val="28"/>
        </w:rPr>
        <w:t>5个工作日</w:t>
      </w:r>
    </w:p>
    <w:p>
      <w:pPr>
        <w:spacing w:line="540" w:lineRule="exact"/>
        <w:ind w:firstLine="562" w:firstLineChars="200"/>
        <w:outlineLvl w:val="2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2.法定审批时限：</w:t>
      </w:r>
      <w:r>
        <w:rPr>
          <w:rFonts w:hint="eastAsia" w:ascii="仿宋_GB2312" w:hAnsi="仿宋_GB2312" w:eastAsia="仿宋_GB2312" w:cs="仿宋_GB2312"/>
          <w:sz w:val="28"/>
          <w:szCs w:val="28"/>
        </w:rPr>
        <w:t>20个工作日</w:t>
      </w:r>
    </w:p>
    <w:p>
      <w:pPr>
        <w:spacing w:line="540" w:lineRule="exact"/>
        <w:ind w:firstLine="562" w:firstLineChars="200"/>
        <w:outlineLvl w:val="2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3.规定法定审批时限依据</w:t>
      </w:r>
    </w:p>
    <w:p>
      <w:pPr>
        <w:spacing w:line="60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（1）《国家外汇管理局行政许可实施办法》（国家外汇管理局公告2021年第1号）第十五条外汇局应根据以下要求确保行政许可依法按时完成：</w:t>
      </w:r>
    </w:p>
    <w:p>
      <w:pPr>
        <w:spacing w:line="60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（一）能当场作出决定的，应当场作出行政许可决定。当场作出行政许可决定的，可不出具行政许可受理通知书；</w:t>
      </w:r>
    </w:p>
    <w:p>
      <w:pPr>
        <w:spacing w:line="60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二）不能当场作出决定的，应自受理之日起20个工作日内作出决定；20个工作日内不能作出决定的，经本级外汇局局长或者主管副局长批准，可延长10个工作日，并向申请人出具延长行政许可办理期限通知书，说明延长期限的理由。行政许可办理期限只能延长一次。</w:t>
      </w:r>
    </w:p>
    <w:p>
      <w:pPr>
        <w:spacing w:line="60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外汇局征求其他部门意见的时间计算在以上办理时限内；依法需要听证、检验、检测、鉴定、专家评审等的时间，不计算在上述办理时限内。</w:t>
      </w:r>
    </w:p>
    <w:p>
      <w:pPr>
        <w:spacing w:line="60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各级外汇局对行政许可办理时限具有对外承诺的，应按照其承诺的时限完成；对外承诺的时限应短于20个工作日。</w:t>
      </w:r>
    </w:p>
    <w:p>
      <w:pPr>
        <w:spacing w:line="600" w:lineRule="exact"/>
        <w:ind w:firstLine="562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4.承诺审批时限：</w:t>
      </w:r>
      <w:r>
        <w:rPr>
          <w:rFonts w:hint="eastAsia" w:ascii="仿宋_GB2312" w:hAnsi="仿宋_GB2312" w:eastAsia="仿宋_GB2312" w:cs="仿宋_GB2312"/>
          <w:sz w:val="28"/>
          <w:szCs w:val="28"/>
        </w:rPr>
        <w:t>20个工作日</w:t>
      </w:r>
    </w:p>
    <w:p>
      <w:pPr>
        <w:spacing w:line="540" w:lineRule="exact"/>
        <w:outlineLvl w:val="1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九、收费</w:t>
      </w:r>
    </w:p>
    <w:p>
      <w:pPr>
        <w:spacing w:line="600" w:lineRule="exact"/>
        <w:ind w:firstLine="562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1.办理行政许可是否收费：</w:t>
      </w:r>
      <w:r>
        <w:rPr>
          <w:rFonts w:hint="eastAsia" w:ascii="仿宋_GB2312" w:hAnsi="仿宋_GB2312" w:eastAsia="仿宋_GB2312" w:cs="仿宋_GB2312"/>
          <w:sz w:val="28"/>
          <w:szCs w:val="28"/>
        </w:rPr>
        <w:t>否</w:t>
      </w:r>
    </w:p>
    <w:p>
      <w:pPr>
        <w:spacing w:line="540" w:lineRule="exact"/>
        <w:ind w:firstLine="562" w:firstLineChars="200"/>
        <w:outlineLvl w:val="2"/>
        <w:rPr>
          <w:rFonts w:hint="eastAsia" w:ascii="仿宋_GB2312" w:hAnsi="仿宋_GB2312" w:eastAsia="仿宋_GB2312" w:cs="仿宋_GB2312"/>
          <w:b/>
          <w:bCs/>
          <w:color w:val="FF000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2.收费项目的名称、收费项目的标准、设定收费项目的依据、规定收费标准的依据：</w:t>
      </w:r>
      <w:r>
        <w:rPr>
          <w:rFonts w:hint="eastAsia" w:ascii="仿宋_GB2312" w:hAnsi="仿宋_GB2312" w:eastAsia="仿宋_GB2312" w:cs="仿宋_GB2312"/>
          <w:sz w:val="28"/>
          <w:szCs w:val="28"/>
        </w:rPr>
        <w:t>无</w:t>
      </w:r>
    </w:p>
    <w:p>
      <w:pPr>
        <w:spacing w:line="540" w:lineRule="exact"/>
        <w:outlineLvl w:val="1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十、行政许可证件</w:t>
      </w:r>
    </w:p>
    <w:p>
      <w:pPr>
        <w:spacing w:line="540" w:lineRule="exact"/>
        <w:ind w:firstLine="562" w:firstLineChars="200"/>
        <w:outlineLvl w:val="2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1.审批结果类型：</w:t>
      </w:r>
      <w:r>
        <w:rPr>
          <w:rFonts w:hint="eastAsia" w:ascii="仿宋_GB2312" w:hAnsi="仿宋_GB2312" w:eastAsia="仿宋_GB2312" w:cs="仿宋_GB2312"/>
          <w:sz w:val="28"/>
          <w:szCs w:val="28"/>
        </w:rPr>
        <w:t>批文</w:t>
      </w:r>
    </w:p>
    <w:p>
      <w:pPr>
        <w:spacing w:line="600" w:lineRule="exact"/>
        <w:ind w:firstLine="562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2.审批结果名称：</w:t>
      </w:r>
      <w:r>
        <w:rPr>
          <w:rFonts w:hint="eastAsia" w:ascii="仿宋_GB2312" w:hAnsi="仿宋_GB2312" w:eastAsia="仿宋_GB2312" w:cs="仿宋_GB2312"/>
          <w:sz w:val="28"/>
          <w:szCs w:val="28"/>
        </w:rPr>
        <w:t>《国家外汇管理局资本项目外汇业务核准件》</w:t>
      </w:r>
    </w:p>
    <w:p>
      <w:pPr>
        <w:spacing w:line="600" w:lineRule="exact"/>
        <w:ind w:firstLine="562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3.审批结果的有效期限：</w:t>
      </w:r>
      <w:r>
        <w:rPr>
          <w:rFonts w:hint="eastAsia" w:ascii="仿宋_GB2312" w:hAnsi="仿宋_GB2312" w:eastAsia="仿宋_GB2312" w:cs="仿宋_GB2312"/>
          <w:sz w:val="28"/>
          <w:szCs w:val="28"/>
        </w:rPr>
        <w:t>当次</w:t>
      </w:r>
    </w:p>
    <w:p>
      <w:pPr>
        <w:spacing w:line="540" w:lineRule="exact"/>
        <w:ind w:firstLine="562" w:firstLineChars="200"/>
        <w:outlineLvl w:val="2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4.规定审批结果有效期限的依据：</w:t>
      </w:r>
      <w:r>
        <w:rPr>
          <w:rFonts w:hint="eastAsia" w:ascii="仿宋_GB2312" w:hAnsi="仿宋_GB2312" w:eastAsia="仿宋_GB2312" w:cs="仿宋_GB2312"/>
          <w:sz w:val="28"/>
          <w:szCs w:val="28"/>
        </w:rPr>
        <w:t>无</w:t>
      </w:r>
    </w:p>
    <w:p>
      <w:pPr>
        <w:spacing w:line="600" w:lineRule="exact"/>
        <w:ind w:firstLine="562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5.是否需要办理审批结果变更手续：</w:t>
      </w:r>
      <w:r>
        <w:rPr>
          <w:rFonts w:hint="eastAsia" w:ascii="仿宋_GB2312" w:hAnsi="仿宋_GB2312" w:eastAsia="仿宋_GB2312" w:cs="仿宋_GB2312"/>
          <w:sz w:val="28"/>
          <w:szCs w:val="28"/>
        </w:rPr>
        <w:t>否</w:t>
      </w:r>
    </w:p>
    <w:p>
      <w:pPr>
        <w:spacing w:line="540" w:lineRule="exact"/>
        <w:ind w:firstLine="562" w:firstLineChars="200"/>
        <w:outlineLvl w:val="2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6.办理审批结果变更手续的要求：</w:t>
      </w:r>
      <w:r>
        <w:rPr>
          <w:rFonts w:hint="eastAsia" w:ascii="仿宋_GB2312" w:hAnsi="仿宋_GB2312" w:eastAsia="仿宋_GB2312" w:cs="仿宋_GB2312"/>
          <w:sz w:val="28"/>
          <w:szCs w:val="28"/>
        </w:rPr>
        <w:t>无</w:t>
      </w:r>
    </w:p>
    <w:p>
      <w:pPr>
        <w:spacing w:line="600" w:lineRule="exact"/>
        <w:ind w:firstLine="562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7.是否需要办理审批结果延续手续：</w:t>
      </w:r>
      <w:r>
        <w:rPr>
          <w:rFonts w:hint="eastAsia" w:ascii="仿宋_GB2312" w:hAnsi="仿宋_GB2312" w:eastAsia="仿宋_GB2312" w:cs="仿宋_GB2312"/>
          <w:sz w:val="28"/>
          <w:szCs w:val="28"/>
        </w:rPr>
        <w:t>否</w:t>
      </w:r>
    </w:p>
    <w:p>
      <w:pPr>
        <w:spacing w:line="540" w:lineRule="exact"/>
        <w:ind w:firstLine="562" w:firstLineChars="200"/>
        <w:outlineLvl w:val="2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8.办理审批结果延续手续的要求：</w:t>
      </w:r>
      <w:r>
        <w:rPr>
          <w:rFonts w:hint="eastAsia" w:ascii="仿宋_GB2312" w:hAnsi="仿宋_GB2312" w:eastAsia="仿宋_GB2312" w:cs="仿宋_GB2312"/>
          <w:sz w:val="28"/>
          <w:szCs w:val="28"/>
        </w:rPr>
        <w:t>无</w:t>
      </w:r>
    </w:p>
    <w:p>
      <w:pPr>
        <w:spacing w:line="540" w:lineRule="exact"/>
        <w:ind w:firstLine="562" w:firstLineChars="200"/>
        <w:outlineLvl w:val="2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9.审批结果的有效地域范围：</w:t>
      </w:r>
      <w:r>
        <w:rPr>
          <w:rFonts w:hint="eastAsia" w:ascii="仿宋_GB2312" w:hAnsi="仿宋_GB2312" w:eastAsia="仿宋_GB2312" w:cs="仿宋_GB2312"/>
          <w:sz w:val="28"/>
          <w:szCs w:val="28"/>
        </w:rPr>
        <w:t>全国</w:t>
      </w:r>
    </w:p>
    <w:p>
      <w:pPr>
        <w:spacing w:line="540" w:lineRule="exact"/>
        <w:ind w:firstLine="562" w:firstLineChars="200"/>
        <w:outlineLvl w:val="2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10.规定审批结果有效地域范围的依据：</w:t>
      </w:r>
      <w:r>
        <w:rPr>
          <w:rFonts w:hint="eastAsia" w:ascii="仿宋_GB2312" w:hAnsi="仿宋_GB2312" w:eastAsia="仿宋_GB2312" w:cs="仿宋_GB2312"/>
          <w:sz w:val="28"/>
          <w:szCs w:val="28"/>
        </w:rPr>
        <w:t>无</w:t>
      </w:r>
    </w:p>
    <w:p>
      <w:pPr>
        <w:spacing w:line="540" w:lineRule="exact"/>
        <w:outlineLvl w:val="1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十一、行政许可数量限制</w:t>
      </w:r>
    </w:p>
    <w:p>
      <w:pPr>
        <w:spacing w:line="600" w:lineRule="exact"/>
        <w:ind w:firstLine="562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1.有无行政许可数量限制：</w:t>
      </w:r>
      <w:r>
        <w:rPr>
          <w:rFonts w:hint="eastAsia" w:ascii="仿宋_GB2312" w:hAnsi="仿宋_GB2312" w:eastAsia="仿宋_GB2312" w:cs="仿宋_GB2312"/>
          <w:sz w:val="28"/>
          <w:szCs w:val="28"/>
        </w:rPr>
        <w:t>无</w:t>
      </w:r>
    </w:p>
    <w:p>
      <w:pPr>
        <w:spacing w:line="540" w:lineRule="exact"/>
        <w:ind w:firstLine="562" w:firstLineChars="200"/>
        <w:outlineLvl w:val="2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2.公布数量限制的方式：</w:t>
      </w:r>
      <w:r>
        <w:rPr>
          <w:rFonts w:hint="eastAsia" w:ascii="仿宋_GB2312" w:hAnsi="仿宋_GB2312" w:eastAsia="仿宋_GB2312" w:cs="仿宋_GB2312"/>
          <w:sz w:val="28"/>
          <w:szCs w:val="28"/>
        </w:rPr>
        <w:t>无</w:t>
      </w:r>
    </w:p>
    <w:p>
      <w:pPr>
        <w:spacing w:line="540" w:lineRule="exact"/>
        <w:ind w:firstLine="562" w:firstLineChars="200"/>
        <w:outlineLvl w:val="2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3.公布数量限制的周期：</w:t>
      </w:r>
      <w:r>
        <w:rPr>
          <w:rFonts w:hint="eastAsia" w:ascii="仿宋_GB2312" w:hAnsi="仿宋_GB2312" w:eastAsia="仿宋_GB2312" w:cs="仿宋_GB2312"/>
          <w:sz w:val="28"/>
          <w:szCs w:val="28"/>
        </w:rPr>
        <w:t>无</w:t>
      </w:r>
    </w:p>
    <w:p>
      <w:pPr>
        <w:spacing w:line="600" w:lineRule="exact"/>
        <w:ind w:firstLine="562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4.在数量限制条件下实施行政许可的方式：</w:t>
      </w:r>
      <w:r>
        <w:rPr>
          <w:rFonts w:hint="eastAsia" w:ascii="仿宋_GB2312" w:hAnsi="仿宋_GB2312" w:eastAsia="仿宋_GB2312" w:cs="仿宋_GB2312"/>
          <w:sz w:val="28"/>
          <w:szCs w:val="28"/>
        </w:rPr>
        <w:t>无</w:t>
      </w:r>
    </w:p>
    <w:p>
      <w:pPr>
        <w:spacing w:line="600" w:lineRule="exact"/>
        <w:ind w:firstLine="562" w:firstLineChars="200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5.规定在数量限制条件下实施行政许可方式的依据：</w:t>
      </w:r>
      <w:r>
        <w:rPr>
          <w:rFonts w:hint="eastAsia" w:ascii="仿宋_GB2312" w:hAnsi="仿宋_GB2312" w:eastAsia="仿宋_GB2312" w:cs="仿宋_GB2312"/>
          <w:sz w:val="28"/>
          <w:szCs w:val="28"/>
        </w:rPr>
        <w:t>无</w:t>
      </w:r>
    </w:p>
    <w:p>
      <w:pPr>
        <w:spacing w:line="540" w:lineRule="exact"/>
        <w:outlineLvl w:val="1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十二、行政许可后年检</w:t>
      </w:r>
    </w:p>
    <w:p>
      <w:pPr>
        <w:spacing w:line="600" w:lineRule="exact"/>
        <w:ind w:firstLine="562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1.有无年检要求：</w:t>
      </w:r>
      <w:r>
        <w:rPr>
          <w:rFonts w:hint="eastAsia" w:ascii="仿宋_GB2312" w:hAnsi="仿宋_GB2312" w:eastAsia="仿宋_GB2312" w:cs="仿宋_GB2312"/>
          <w:sz w:val="28"/>
          <w:szCs w:val="28"/>
        </w:rPr>
        <w:t>无</w:t>
      </w:r>
    </w:p>
    <w:p>
      <w:pPr>
        <w:spacing w:line="540" w:lineRule="exact"/>
        <w:ind w:firstLine="562" w:firstLineChars="200"/>
        <w:outlineLvl w:val="2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2.设定年检要求的依据：</w:t>
      </w:r>
      <w:r>
        <w:rPr>
          <w:rFonts w:hint="eastAsia" w:ascii="仿宋_GB2312" w:hAnsi="仿宋_GB2312" w:eastAsia="仿宋_GB2312" w:cs="仿宋_GB2312"/>
          <w:sz w:val="28"/>
          <w:szCs w:val="28"/>
        </w:rPr>
        <w:t>无</w:t>
      </w:r>
    </w:p>
    <w:p>
      <w:pPr>
        <w:spacing w:line="540" w:lineRule="exact"/>
        <w:ind w:firstLine="562" w:firstLineChars="200"/>
        <w:outlineLvl w:val="2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3.年检周期：</w:t>
      </w:r>
      <w:r>
        <w:rPr>
          <w:rFonts w:hint="eastAsia" w:ascii="仿宋_GB2312" w:hAnsi="仿宋_GB2312" w:eastAsia="仿宋_GB2312" w:cs="仿宋_GB2312"/>
          <w:sz w:val="28"/>
          <w:szCs w:val="28"/>
        </w:rPr>
        <w:t>无</w:t>
      </w:r>
    </w:p>
    <w:p>
      <w:pPr>
        <w:spacing w:line="600" w:lineRule="exact"/>
        <w:ind w:firstLine="562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4.年检是否要求报送材料：</w:t>
      </w:r>
      <w:r>
        <w:rPr>
          <w:rFonts w:hint="eastAsia" w:ascii="仿宋_GB2312" w:hAnsi="仿宋_GB2312" w:eastAsia="仿宋_GB2312" w:cs="仿宋_GB2312"/>
          <w:sz w:val="28"/>
          <w:szCs w:val="28"/>
        </w:rPr>
        <w:t>无</w:t>
      </w:r>
    </w:p>
    <w:p>
      <w:pPr>
        <w:spacing w:line="600" w:lineRule="exact"/>
        <w:ind w:firstLine="562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5.年检报送材料名称：</w:t>
      </w:r>
      <w:r>
        <w:rPr>
          <w:rFonts w:hint="eastAsia" w:ascii="仿宋_GB2312" w:hAnsi="仿宋_GB2312" w:eastAsia="仿宋_GB2312" w:cs="仿宋_GB2312"/>
          <w:sz w:val="28"/>
          <w:szCs w:val="28"/>
        </w:rPr>
        <w:t>无</w:t>
      </w:r>
    </w:p>
    <w:p>
      <w:pPr>
        <w:spacing w:line="600" w:lineRule="exact"/>
        <w:ind w:firstLine="562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6.年检是否收费：</w:t>
      </w:r>
      <w:r>
        <w:rPr>
          <w:rFonts w:hint="eastAsia" w:ascii="仿宋_GB2312" w:hAnsi="仿宋_GB2312" w:eastAsia="仿宋_GB2312" w:cs="仿宋_GB2312"/>
          <w:sz w:val="28"/>
          <w:szCs w:val="28"/>
        </w:rPr>
        <w:t>无</w:t>
      </w:r>
    </w:p>
    <w:p>
      <w:pPr>
        <w:spacing w:line="600" w:lineRule="exact"/>
        <w:ind w:firstLine="562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7.年检收费项目的名称、年检收费项目的标准、设定年检收费项目的依据、规定年检项目收费标准的依据：</w:t>
      </w:r>
      <w:r>
        <w:rPr>
          <w:rFonts w:hint="eastAsia" w:ascii="仿宋_GB2312" w:hAnsi="仿宋_GB2312" w:eastAsia="仿宋_GB2312" w:cs="仿宋_GB2312"/>
          <w:sz w:val="28"/>
          <w:szCs w:val="28"/>
        </w:rPr>
        <w:t>无</w:t>
      </w:r>
    </w:p>
    <w:p>
      <w:pPr>
        <w:spacing w:line="540" w:lineRule="exact"/>
        <w:ind w:firstLine="562" w:firstLineChars="200"/>
        <w:outlineLvl w:val="2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8.通过年检的证明或者标志：</w:t>
      </w:r>
      <w:r>
        <w:rPr>
          <w:rFonts w:hint="eastAsia" w:ascii="仿宋_GB2312" w:hAnsi="仿宋_GB2312" w:eastAsia="仿宋_GB2312" w:cs="仿宋_GB2312"/>
          <w:sz w:val="28"/>
          <w:szCs w:val="28"/>
        </w:rPr>
        <w:t>无</w:t>
      </w:r>
    </w:p>
    <w:p>
      <w:pPr>
        <w:spacing w:line="540" w:lineRule="exact"/>
        <w:outlineLvl w:val="1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十三、行政许可后年报</w:t>
      </w:r>
    </w:p>
    <w:p>
      <w:pPr>
        <w:spacing w:line="600" w:lineRule="exact"/>
        <w:ind w:firstLine="562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1.有无年报要求：</w:t>
      </w:r>
      <w:r>
        <w:rPr>
          <w:rFonts w:hint="eastAsia" w:ascii="仿宋_GB2312" w:hAnsi="仿宋_GB2312" w:eastAsia="仿宋_GB2312" w:cs="仿宋_GB2312"/>
          <w:sz w:val="28"/>
          <w:szCs w:val="28"/>
        </w:rPr>
        <w:t>无</w:t>
      </w:r>
    </w:p>
    <w:p>
      <w:pPr>
        <w:spacing w:line="600" w:lineRule="exact"/>
        <w:ind w:firstLine="562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2.年报报送材料名称：</w:t>
      </w:r>
      <w:r>
        <w:rPr>
          <w:rFonts w:hint="eastAsia" w:ascii="仿宋_GB2312" w:hAnsi="仿宋_GB2312" w:eastAsia="仿宋_GB2312" w:cs="仿宋_GB2312"/>
          <w:sz w:val="28"/>
          <w:szCs w:val="28"/>
        </w:rPr>
        <w:t>无</w:t>
      </w:r>
    </w:p>
    <w:p>
      <w:pPr>
        <w:spacing w:line="540" w:lineRule="exact"/>
        <w:ind w:firstLine="562" w:firstLineChars="200"/>
        <w:outlineLvl w:val="2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3.设定年报要求的依据：</w:t>
      </w:r>
      <w:r>
        <w:rPr>
          <w:rFonts w:hint="eastAsia" w:ascii="仿宋_GB2312" w:hAnsi="仿宋_GB2312" w:eastAsia="仿宋_GB2312" w:cs="仿宋_GB2312"/>
          <w:sz w:val="28"/>
          <w:szCs w:val="28"/>
        </w:rPr>
        <w:t>无</w:t>
      </w:r>
    </w:p>
    <w:p>
      <w:pPr>
        <w:spacing w:line="600" w:lineRule="exact"/>
        <w:ind w:firstLine="562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4.年报周期：</w:t>
      </w:r>
      <w:r>
        <w:rPr>
          <w:rFonts w:hint="eastAsia" w:ascii="仿宋_GB2312" w:hAnsi="仿宋_GB2312" w:eastAsia="仿宋_GB2312" w:cs="仿宋_GB2312"/>
          <w:sz w:val="28"/>
          <w:szCs w:val="28"/>
        </w:rPr>
        <w:t>无</w:t>
      </w:r>
    </w:p>
    <w:p>
      <w:pPr>
        <w:spacing w:line="540" w:lineRule="exact"/>
        <w:outlineLvl w:val="1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十四、监管主体</w:t>
      </w:r>
    </w:p>
    <w:p>
      <w:pPr>
        <w:spacing w:line="60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国家外汇局</w:t>
      </w:r>
    </w:p>
    <w:p>
      <w:pPr>
        <w:spacing w:line="540" w:lineRule="exact"/>
        <w:outlineLvl w:val="1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十五、备注</w:t>
      </w:r>
    </w:p>
    <w:p>
      <w:pPr>
        <w:spacing w:line="600" w:lineRule="exact"/>
        <w:ind w:left="559" w:leftChars="266" w:firstLine="0" w:firstLineChars="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办公地址：</w:t>
      </w:r>
      <w:r>
        <w:rPr>
          <w:rFonts w:hint="eastAsia" w:ascii="仿宋_GB2312" w:hAnsi="仿宋_GB2312" w:eastAsia="仿宋_GB2312" w:cs="仿宋_GB2312"/>
          <w:sz w:val="28"/>
          <w:szCs w:val="28"/>
        </w:rPr>
        <w:t>长沙市芙蓉区蔡锷中路2号B座809室。</w:t>
      </w:r>
      <w:r>
        <w:rPr>
          <w:rFonts w:hint="eastAsia" w:ascii="仿宋_GB2312" w:hAnsi="仿宋_GB2312" w:eastAsia="仿宋_GB2312" w:cs="仿宋_GB2312"/>
          <w:sz w:val="28"/>
          <w:szCs w:val="28"/>
        </w:rPr>
        <w:br w:type="textWrapping"/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办公时间：</w:t>
      </w:r>
      <w:r>
        <w:rPr>
          <w:rFonts w:hint="eastAsia" w:ascii="仿宋_GB2312" w:hAnsi="仿宋_GB2312" w:eastAsia="仿宋_GB2312" w:cs="仿宋_GB2312"/>
          <w:sz w:val="28"/>
          <w:szCs w:val="28"/>
        </w:rPr>
        <w:t>8:30-12:00；14:30-17:30（法定节假日除外）。</w:t>
      </w:r>
      <w:r>
        <w:rPr>
          <w:rFonts w:hint="eastAsia" w:ascii="仿宋_GB2312" w:hAnsi="仿宋_GB2312" w:eastAsia="仿宋_GB2312" w:cs="仿宋_GB2312"/>
          <w:sz w:val="28"/>
          <w:szCs w:val="28"/>
        </w:rPr>
        <w:br w:type="textWrapping"/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  <w:t>咨询投诉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电话：</w:t>
      </w:r>
      <w:r>
        <w:rPr>
          <w:rFonts w:hint="eastAsia" w:ascii="仿宋_GB2312" w:hAnsi="仿宋_GB2312" w:eastAsia="仿宋_GB2312" w:cs="仿宋_GB2312"/>
          <w:sz w:val="28"/>
          <w:szCs w:val="28"/>
        </w:rPr>
        <w:t>0731-84301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611</w:t>
      </w:r>
      <w:r>
        <w:rPr>
          <w:rFonts w:hint="eastAsia" w:ascii="仿宋_GB2312" w:hAnsi="仿宋_GB2312" w:eastAsia="仿宋_GB2312" w:cs="仿宋_GB2312"/>
          <w:sz w:val="28"/>
          <w:szCs w:val="28"/>
        </w:rPr>
        <w:t>。</w:t>
      </w:r>
      <w:r>
        <w:rPr>
          <w:rFonts w:hint="eastAsia" w:ascii="仿宋_GB2312" w:hAnsi="仿宋_GB2312" w:eastAsia="仿宋_GB2312" w:cs="仿宋_GB2312"/>
          <w:sz w:val="28"/>
          <w:szCs w:val="28"/>
        </w:rPr>
        <w:br w:type="textWrapping"/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4.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通讯地址：</w:t>
      </w:r>
      <w:r>
        <w:rPr>
          <w:rFonts w:hint="eastAsia" w:ascii="仿宋_GB2312" w:hAnsi="仿宋_GB2312" w:eastAsia="仿宋_GB2312" w:cs="仿宋_GB2312"/>
          <w:sz w:val="28"/>
          <w:szCs w:val="28"/>
        </w:rPr>
        <w:t>长沙市芙蓉区蔡锷中路2号中国人民银行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湖南省分行</w:t>
      </w:r>
      <w:r>
        <w:rPr>
          <w:rFonts w:hint="eastAsia" w:ascii="仿宋_GB2312" w:hAnsi="仿宋_GB2312" w:eastAsia="仿宋_GB2312" w:cs="仿宋_GB2312"/>
          <w:sz w:val="28"/>
          <w:szCs w:val="28"/>
        </w:rPr>
        <w:t>资本项目管理处。</w:t>
      </w:r>
      <w:r>
        <w:rPr>
          <w:rFonts w:hint="eastAsia" w:ascii="仿宋_GB2312" w:hAnsi="仿宋_GB2312" w:eastAsia="仿宋_GB2312" w:cs="仿宋_GB2312"/>
          <w:sz w:val="28"/>
          <w:szCs w:val="28"/>
        </w:rPr>
        <w:br w:type="textWrapping"/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5.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邮政编码：</w:t>
      </w:r>
      <w:r>
        <w:rPr>
          <w:rFonts w:hint="eastAsia" w:ascii="仿宋_GB2312" w:hAnsi="仿宋_GB2312" w:eastAsia="仿宋_GB2312" w:cs="仿宋_GB2312"/>
          <w:sz w:val="28"/>
          <w:szCs w:val="28"/>
        </w:rPr>
        <w:t>410005。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6.是否网办：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否</w:t>
      </w:r>
    </w:p>
    <w:p>
      <w:pPr>
        <w:spacing w:line="600" w:lineRule="exact"/>
        <w:ind w:left="559" w:leftChars="266" w:firstLine="0" w:firstLineChars="0"/>
        <w:rPr>
          <w:rFonts w:hint="eastAsia" w:ascii="仿宋_GB2312" w:hAnsi="仿宋_GB2312" w:eastAsia="仿宋_GB2312" w:cs="仿宋_GB2312"/>
          <w:sz w:val="28"/>
          <w:szCs w:val="28"/>
        </w:rPr>
      </w:pPr>
    </w:p>
    <w:bookmarkEnd w:id="0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仿宋GB2312">
    <w:altName w:val="仿宋"/>
    <w:panose1 w:val="00000000000000000000"/>
    <w:charset w:val="86"/>
    <w:family w:val="roman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530EE"/>
    <w:rsid w:val="00286CD9"/>
    <w:rsid w:val="007530EE"/>
    <w:rsid w:val="11051A7E"/>
    <w:rsid w:val="16544663"/>
    <w:rsid w:val="5B835454"/>
    <w:rsid w:val="5F431305"/>
    <w:rsid w:val="77CC5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486</Words>
  <Characters>2773</Characters>
  <Lines>23</Lines>
  <Paragraphs>6</Paragraphs>
  <TotalTime>0</TotalTime>
  <ScaleCrop>false</ScaleCrop>
  <LinksUpToDate>false</LinksUpToDate>
  <CharactersWithSpaces>3253</CharactersWithSpaces>
  <Application>WPS Office_11.8.2.11542_F1E327BC-269C-435d-A152-05C5408002CA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2024-05-16T12:20:00Z</dcterms:created>
  <dc:creator>kylin</dc:creator>
  <cp:lastModifiedBy>user</cp:lastModifiedBy>
  <dcterms:modified xsi:type="dcterms:W3CDTF">2024-08-15T09:52:35Z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2052-11.8.2.11542</vt:lpwstr>
  </property>
  <property fmtid="{D5CDD505-2E9C-101B-9397-08002B2CF9AE}" pid="3" name="ICV">
    <vt:lpwstr>9C80994E6AFA448A90E009E7C88B0BB4</vt:lpwstr>
  </property>
</Properties>
</file>