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省级分局和计划单列市分局办理的非银行债务人借用外债登记</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【000171108002】</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境内机构外债、跨境担保核准【00017110800Y】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省级分局和计划单列市分局办理的非银行债务人借用外债登记【000171108002】</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1.省级分局和计划单列市分局办理的非银行债务人借用外债签约登记(00017110800201)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2.省级分局和计划单列市分局办理的非银行债务人借用外债变更登记(00017110800202)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3.省级分局和计划单列市分局办理的非银行债务人借用外债注销登记(00017110800203)</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4.省级分局和计划单列市分局办理的非银行债务人非资金划转类提款登记(00017110800204)</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5.省级分局和计划单列市分局办理的非银行债务人非资金划转类还本付息登记(00017110800205)</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（1）《中华人民共和国外汇管理条例》第十八条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（2）《国务院对确需保留的行政审批项目设定行政许可的决定》附件第471项</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（1）《国家外汇管理局关于发布〈外债登记管理办法〉的通知》（汇发〔2013〕19号）第三、六条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（2）《中国人民银行关于全口径跨境融资宏观审慎管理有关事宜的通知》（银发〔2017〕9号）第三、十条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（3）《国家外汇管理局关于进一步促进跨境贸易投资便利化的通知》（汇发〔2019〕28号）第六条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（5）《外债登记管理操作指引》（汇发〔2013〕19号附件2）第四、五条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（6）《资本项目外汇业务指引（2024版）》（汇发[2024]12号）3.3</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（7）《融资租赁公司监督管理暂行办法》（银保监发〔2020〕22号）第二十七条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（8）《中国人民银行 国家外汇管理局关于境外机构境内发行债券资金管理有关事宜的通知》（银发〔2022〕272号）第五条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非银行债务人外债登记,非银行债务人非资金划转类提款、还本付息备案</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（1）省级分局和计划单列市分局办理的非银行债务人借用外债新签约登记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申请人为按照规定可以举借外债的财政部门、银行以外的其他境内债务人（以下简称“非银行债务人”）。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企业和金融机构开展跨境融资按风险加权计算余额(指已提用未偿余额),风险加权余额不得超过上限,即:跨境融资风险加权余额≤跨境融资风险加权余额上限。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发展改革委部门备案借用外债的，可以按经备案的金额办理外债签约登记。外债签约登记完成后，跨境融资风险加权余额尚未超过跨境融资风险加权余额上限的，仍可正常办理新签约外债登记，超过上限的，除发展改革部门另行批准外，不得再办理新的外债签约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（2）省级分局和计划单列市分局办理的非银行债务人借用外债变更登记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已办理签约登记的外债合同主要条款及内容发生变化，如期限（展期等）、金额、债权人等，非银行债务人应办理外债签约变更登记。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（3）省级分局和计划单列市分局办理的非银行债务人借用外债注销登记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不符合在银行办理外债注销登记条件（如债务人因债务减免、债转股等无需偿还外债本息）的。银行办理注销登记需符合以下条件：（1）已登记外债余额为零且不再发生提款；（2）已登记外债完成所有还本付息业务且不再发生提款，但由于扣划手续费等合理原因导致未偿余额不为零，银行能够核实并确定未偿余额不为零的合理原因。</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（4）省级分局和计划单列市分局办理的非银行债务人非资金划转类提款登记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非银行债务人外债提款额或外债本金余额发生变动，但未通过境内银行办理收款从而无法向资本项目信息系统反馈外债提款信息的。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（5）省级分局和计划单列市分局办理的非银行债务人非资金划转类还本付息登记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非银行债务人外债还款额或外债本金余额发生变动，但未通过境内银行办理付款从而无法向资本项目信息系统反馈外债还款信息的。</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（1）《国家外汇管理局关于发布〈外债登记管理办法〉的通知》（汇发〔2013〕19号）第六、九条第六条：外债借款合同发生变更时，债务人应按照规定到外汇局办理外债签约变更登记。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第九条：债务人为财政部门、银行以外的其他境内债务人（以下简称非银行债务人），应在规定时间内到所在地外汇局办理外债签约逐笔登记或备案手续。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（2）《中国人民银行关于全口径跨境融资宏观审慎管理有关事宜的通知》（银发〔2017〕9号）第一、三、九条第一条本通知适用的企业仅限非金融企业，且不包括政府融资平台和房地产企业。</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第三条企业和金融机构开展跨境融资按风险加权计算余额(指已提用未偿余额),风险加权余额不得超过上限,即:跨境融资风险加权余额≤跨境融资风险加权余额上限。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九条企业和金融机构因风险转换因子、跨境融资杠杆率和宏观审慎调节参数调整导致跨境融资风险加权余额超出上限的,原有跨境融资合约可持有到期;在跨境融资风险加权余额调整到上限内之前,不得办理包括跨境融资展期在内的新的跨境融资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外债登记管理操作指引》（汇发〔2013〕19号文印发）附件2一、非银行债务人办理外债签约登记审核原则，6.外商投资房地产企业的外债按以下原则管理（2）对2007年6月1日以前（不含）成立的外商投资房地产企业，可在原“投注差”范围内按相关规定举借外债；增资后“投注差”小于其增资前“投注差”的，以增资后“投注差”为准。（3）外商投资房地产企业注册资本未全部缴付的，或未取得《国有土地使用证》的，或开发项目资本金未达到项目投资总额的35%的，不得向境外借用外债，外汇局不予办理外债登记和外债结汇核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（4）《资本项目外汇业务指引（2024版）》（汇发[2024]12号）3.3和3.4全文</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（1）省级分局和计划单列市分局办理的非银行债务人外债登记-外债新办登记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选择宏观审慎模式的机构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①书面申请，并附《宏观审慎跨境融资风险加权余额情况表（企业版）》。</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②外债合同或主要条款复印件（境外发行债券的，需提供认购协议或全球债券证书等证明材料）。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③上年度或最近一期经审计的财务报告。</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④其他相关批准文件（发展改革部门审核登记文件，如有）。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⑤营业执照。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选择“投注差”模式的外商投资企业</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②外债合同或主要条款复印件（境外发行债券的，需提供认购协议或全球债券证书等证明材料）。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（2）省级分局和计划单列市分局办理的非银行债务人借用外债变更登记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原《境内机构外债签约情况表》。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变更事项的真实性证明材料。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（3）省级分局和计划单列市分局办理的非银行债务人借用外债注销登记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原《境内机构外债签约情况表》。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（4）省级分局和计划单列市分局办理的非银行债务人非资金划转类提款登记 </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非银行债务人非资金划转类提款业务真实性证明材料。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（5）省级分局和计划单列市分局办理的非银行债务人非资金划转类还本付息登记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非银行债务人非资金划转类还本付息业务真实性证明材料。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外债登记管理操作指引》（汇发〔2013〕19号附件2）第四、五条四、非银行债务人办理非资金划转类提款备案。审核材料：1.申请书。2.相关材料：（1）根据债务人指令由债权人在贷款项下直接办理对境内、外货物或服务提供商支付的，应提供交易合同、债权人付款确认通知等；（2）以实物形式办理提款的，应提供已办理实物提款的证明材料（外债签约登记日期应在报关日期之前）；（3）利息本金化的，应提供利息本金化协议或通知；（4）其他可能导致外债提款额或外债本金余额发生变动但无法通过境内银行向外汇局反馈相关数据的情形，应提供证明交易真实性的材料。3.针对前述材料应当提供的补充说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非银行债务人办理非资金划转类还本付息登记。审核材料：1.申请书。2.相关材料：（1）减免债务本金和利息的，应提供债权人出具的豁免通知或其他相关证明文件；（2）债权转股权等债务重组的，应提供境外债权人确认书、商务主管部门批复文件（文件中需明确企业增资的资金来源为已登记外债）；（3）境内、外担保人代债务人履行债务偿还责任的，应提供担保人已经履约的证明文件；（4）通过非银行债务人境外账户偿还债务和利息的，应提供境外支付证明材料；（5）其他可能导致外债还款额或外债本金余额发生变动但无法通过境内银行向外汇局反馈相关数据的情形，应提供证明交易真实性的材料。3.针对前述材料应当提供的补充说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发布〈外债登记管理办法〉的通知》（汇发〔2013〕19号）第六条外债登记是指债务人按规定借用外债后，应按照规定方式向所在地外汇局登记或报送外债的签约、提款、偿还和结售汇等信息。附件2“一非银行债务人办理外债签约登记”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中国人民银行关于全口径跨境融资宏观审慎管理有关事宜的通知》（银发〔2017〕9号）第二条国家外汇管理局对企业和除27家银行类金融机构以外的其他金融机构跨境融资进行管理，……企业应每年及时更新跨境融资以及权益相关的信息（包括境外债权人、借款期限、金额、利率和自身净资产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（4）《国家外汇管理局行政许可实施办法》（国家外汇管理局公告2021年第1号）第八条……申请人为机构的，应出示统一社会信用代码证或营业执照原件，或加盖公章的上述证件复印件……。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（5）《资本项目外汇业务指引（2024版）》（汇发[2024]12号）3.3和3.43.3.3.1外债签约登记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（1）选择宏观审慎模式的机构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①书面申请，并附《宏观审慎跨境融资风险加权余额情况表（企业版）》。</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②外债合同或主要条款复印件（境外发行债券的，需提供认购协议或全球债券证书等证明材料）。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③上年度或最近一期经审计的财务报告。</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④其他相关批准文件（发展改革部门审核登记文件，如有）。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⑤营业执照。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（2）选择“投注差”模式的外商投资企业</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②外债合同或主要条款复印件（境外发行债券的，需提供认购协议或全球债券证书等证明材料）。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……3.3.3.2外债变更登记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（2）原《境内机构外债签约情况表》。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（3）变更事项的真实性证明材料。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3.3.3.3外债注销登记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（2）原《境内机构外债签约情况表》。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3.4.3审核材料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2.非银行债务人非资金划转类提款或还本付息业务真实性证明材料。</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有</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经审计的财务报告</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（1）《资本项目外汇业务指引（2024版）》（汇发[2024]12号）3.33.3.3.1外债签约登记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（1）选择宏观审慎模式的机构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……③上年度或最近一期经审计的财务报告。</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会计师事务所等具有财务报告审计资格的机构</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经营服务性收费（市场调节价）</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p>
    <w:p>
      <w:pPr>
        <w:spacing w:line="600" w:lineRule="exact"/>
        <w:ind w:firstLine="560" w:firstLineChars="200"/>
        <w:rPr>
          <w:rFonts w:hint="eastAsia" w:ascii="仿宋_GB2312" w:hAnsi="仿宋_GB2312" w:eastAsia="仿宋_GB2312" w:cs="仿宋_GB2312"/>
          <w:b/>
          <w:bCs/>
          <w:color w:val="FF0000"/>
          <w:sz w:val="28"/>
          <w:szCs w:val="28"/>
        </w:rPr>
      </w:pP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《境内机构外债签约情况表》《业务登记凭证》》《外债变动反馈情况表》</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numPr>
          <w:ilvl w:val="0"/>
          <w:numId w:val="1"/>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p>
      <w:pPr>
        <w:numPr>
          <w:ilvl w:val="0"/>
          <w:numId w:val="2"/>
        </w:numPr>
        <w:spacing w:line="600" w:lineRule="exact"/>
        <w:ind w:left="559" w:leftChars="266"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办公地址：</w:t>
      </w:r>
      <w:r>
        <w:rPr>
          <w:rFonts w:hint="eastAsia" w:ascii="仿宋_GB2312" w:hAnsi="仿宋_GB2312" w:eastAsia="仿宋_GB2312" w:cs="仿宋_GB2312"/>
          <w:sz w:val="28"/>
          <w:szCs w:val="28"/>
        </w:rPr>
        <w:t>长沙市芙蓉区蔡锷中路2号B座809室。</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办公时间：</w:t>
      </w:r>
      <w:r>
        <w:rPr>
          <w:rFonts w:hint="eastAsia" w:ascii="仿宋_GB2312" w:hAnsi="仿宋_GB2312" w:eastAsia="仿宋_GB2312" w:cs="仿宋_GB2312"/>
          <w:sz w:val="28"/>
          <w:szCs w:val="28"/>
        </w:rPr>
        <w:t>8:30-12:00；14:30-17:30（法定节假日除外）。</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lang w:eastAsia="zh-CN"/>
        </w:rPr>
        <w:t>咨询投诉</w:t>
      </w:r>
      <w:r>
        <w:rPr>
          <w:rFonts w:hint="eastAsia" w:ascii="仿宋_GB2312" w:hAnsi="仿宋_GB2312" w:eastAsia="仿宋_GB2312" w:cs="仿宋_GB2312"/>
          <w:b/>
          <w:bCs/>
          <w:sz w:val="28"/>
          <w:szCs w:val="28"/>
        </w:rPr>
        <w:t>电话：</w:t>
      </w:r>
      <w:r>
        <w:rPr>
          <w:rFonts w:hint="eastAsia" w:ascii="仿宋_GB2312" w:hAnsi="仿宋_GB2312" w:eastAsia="仿宋_GB2312" w:cs="仿宋_GB2312"/>
          <w:sz w:val="28"/>
          <w:szCs w:val="28"/>
        </w:rPr>
        <w:t>0731-8430</w:t>
      </w:r>
      <w:r>
        <w:rPr>
          <w:rFonts w:hint="eastAsia" w:ascii="仿宋_GB2312" w:hAnsi="仿宋_GB2312" w:eastAsia="仿宋_GB2312" w:cs="仿宋_GB2312"/>
          <w:sz w:val="28"/>
          <w:szCs w:val="28"/>
          <w:lang w:val="en-US" w:eastAsia="zh-CN"/>
        </w:rPr>
        <w:t>1611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通讯地址：</w:t>
      </w:r>
      <w:r>
        <w:rPr>
          <w:rFonts w:hint="eastAsia" w:ascii="仿宋_GB2312" w:hAnsi="仿宋_GB2312" w:eastAsia="仿宋_GB2312" w:cs="仿宋_GB2312"/>
          <w:sz w:val="28"/>
          <w:szCs w:val="28"/>
        </w:rPr>
        <w:t>长沙市芙蓉区蔡锷中路2号中国人民银行</w:t>
      </w:r>
      <w:r>
        <w:rPr>
          <w:rFonts w:hint="eastAsia" w:ascii="仿宋_GB2312" w:hAnsi="仿宋_GB2312" w:eastAsia="仿宋_GB2312" w:cs="仿宋_GB2312"/>
          <w:sz w:val="28"/>
          <w:szCs w:val="28"/>
          <w:lang w:eastAsia="zh-CN"/>
        </w:rPr>
        <w:t>湖南省分行</w:t>
      </w:r>
      <w:r>
        <w:rPr>
          <w:rFonts w:hint="eastAsia" w:ascii="仿宋_GB2312" w:hAnsi="仿宋_GB2312" w:eastAsia="仿宋_GB2312" w:cs="仿宋_GB2312"/>
          <w:sz w:val="28"/>
          <w:szCs w:val="28"/>
        </w:rPr>
        <w:t>资本项目管理处。</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5.</w:t>
      </w:r>
      <w:r>
        <w:rPr>
          <w:rFonts w:hint="eastAsia" w:ascii="仿宋_GB2312" w:hAnsi="仿宋_GB2312" w:eastAsia="仿宋_GB2312" w:cs="仿宋_GB2312"/>
          <w:b/>
          <w:bCs/>
          <w:sz w:val="28"/>
          <w:szCs w:val="28"/>
        </w:rPr>
        <w:t>邮政编码：</w:t>
      </w:r>
      <w:r>
        <w:rPr>
          <w:rFonts w:hint="eastAsia" w:ascii="仿宋_GB2312" w:hAnsi="仿宋_GB2312" w:eastAsia="仿宋_GB2312" w:cs="仿宋_GB2312"/>
          <w:sz w:val="28"/>
          <w:szCs w:val="28"/>
        </w:rPr>
        <w:t>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6.是否网办：是</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7.网办地址：http://zwfw.safe.gov.cn/asone/</w:t>
      </w:r>
    </w:p>
    <w:p>
      <w:pPr>
        <w:numPr>
          <w:ilvl w:val="0"/>
          <w:numId w:val="0"/>
        </w:num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E4948"/>
    <w:multiLevelType w:val="singleLevel"/>
    <w:tmpl w:val="8E8E4948"/>
    <w:lvl w:ilvl="0" w:tentative="0">
      <w:start w:val="1"/>
      <w:numFmt w:val="decimal"/>
      <w:lvlText w:val="%1."/>
      <w:lvlJc w:val="left"/>
      <w:pPr>
        <w:tabs>
          <w:tab w:val="left" w:pos="312"/>
        </w:tabs>
      </w:pPr>
    </w:lvl>
  </w:abstractNum>
  <w:abstractNum w:abstractNumId="1">
    <w:nsid w:val="C7FB5EA4"/>
    <w:multiLevelType w:val="singleLevel"/>
    <w:tmpl w:val="C7FB5EA4"/>
    <w:lvl w:ilvl="0" w:tentative="0">
      <w:start w:val="1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807B8"/>
    <w:rsid w:val="001807B8"/>
    <w:rsid w:val="006A253B"/>
    <w:rsid w:val="008B6A05"/>
    <w:rsid w:val="00DC64A7"/>
    <w:rsid w:val="00E77C23"/>
    <w:rsid w:val="26372655"/>
    <w:rsid w:val="26D76E23"/>
    <w:rsid w:val="31DB18BF"/>
    <w:rsid w:val="3F6E779D"/>
    <w:rsid w:val="45137D08"/>
    <w:rsid w:val="57015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CADE9-D45C-4ACD-91C2-250E2C3FCD1F}">
  <ds:schemaRefs/>
</ds:datastoreItem>
</file>

<file path=docProps/app.xml><?xml version="1.0" encoding="utf-8"?>
<Properties xmlns="http://schemas.openxmlformats.org/officeDocument/2006/extended-properties" xmlns:vt="http://schemas.openxmlformats.org/officeDocument/2006/docPropsVTypes">
  <Template>Normal</Template>
  <Pages>1</Pages>
  <Words>1015</Words>
  <Characters>5787</Characters>
  <Lines>48</Lines>
  <Paragraphs>13</Paragraphs>
  <TotalTime>0</TotalTime>
  <ScaleCrop>false</ScaleCrop>
  <LinksUpToDate>false</LinksUpToDate>
  <CharactersWithSpaces>6789</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2024-05-16T10:59:00Z</dcterms:created>
  <dc:creator>kylin</dc:creator>
  <cp:lastModifiedBy>user</cp:lastModifiedBy>
  <dcterms:modified xsi:type="dcterms:W3CDTF">2024-08-15T09:25:35Z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5586CF70152445B7A5E124F561707E76</vt:lpwstr>
  </property>
</Properties>
</file>