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省级分局和计划单列市分局办理的境内公司境外上市或发行境外存托凭证登记</w:t>
      </w:r>
    </w:p>
    <w:p>
      <w:pPr>
        <w:jc w:val="center"/>
        <w:rPr>
          <w:rFonts w:ascii="方正小标宋_GBK" w:hAnsi="方正小标宋_GBK" w:eastAsia="方正小标宋_GBK" w:cs="方正小标宋_GBK"/>
          <w:sz w:val="40"/>
          <w:szCs w:val="40"/>
        </w:rPr>
      </w:pPr>
      <w:r>
        <w:rPr>
          <w:rFonts w:hint="eastAsia" w:ascii="方正小标宋_GBK" w:hAnsi="方正小标宋_GBK" w:eastAsia="方正小标宋_GBK" w:cs="方正小标宋_GBK"/>
          <w:sz w:val="40"/>
          <w:szCs w:val="40"/>
        </w:rPr>
        <w:t>【000171107002】</w:t>
      </w:r>
    </w:p>
    <w:p>
      <w:pPr>
        <w:adjustRightInd w:val="0"/>
        <w:snapToGrid w:val="0"/>
        <w:spacing w:line="360" w:lineRule="auto"/>
        <w:ind w:firstLine="585"/>
        <w:outlineLvl w:val="0"/>
        <w:rPr>
          <w:rFonts w:hint="eastAsia" w:ascii="Times New Roman" w:hAnsi="Times New Roman" w:eastAsia="黑体" w:cs="Times New Roman"/>
          <w:sz w:val="30"/>
          <w:szCs w:val="30"/>
          <w:lang w:eastAsia="zh-CN"/>
        </w:rPr>
      </w:pPr>
    </w:p>
    <w:p>
      <w:pPr>
        <w:spacing w:line="540" w:lineRule="exact"/>
        <w:outlineLvl w:val="1"/>
        <w:rPr>
          <w:rFonts w:hint="eastAsia" w:ascii="仿宋_GB2312" w:hAnsi="仿宋_GB2312" w:eastAsia="仿宋_GB2312" w:cs="仿宋_GB2312"/>
          <w:sz w:val="28"/>
          <w:szCs w:val="28"/>
        </w:rPr>
      </w:pPr>
      <w:bookmarkStart w:id="0" w:name="_GoBack"/>
      <w:r>
        <w:rPr>
          <w:rFonts w:hint="eastAsia" w:ascii="仿宋_GB2312" w:hAnsi="仿宋_GB2312" w:eastAsia="仿宋_GB2312" w:cs="仿宋_GB2312"/>
          <w:sz w:val="28"/>
          <w:szCs w:val="28"/>
        </w:rPr>
        <w:t>一、基本要素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1.行政许可事项名称及编码</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跨境证券、衍生产品外汇业务核准【00017110700Y】</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2.行政许可事项子项名称及编码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省级分局和计划单列市分局办理的境内公司境外上市或发行境外存托凭证登记【000171107002】</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3.行政许可事项业务办理项名称及编码</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1.省级分局和计划单列市分局办理的境内公司境外上市或发行境外存托凭证新办登记(00017110700201)</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2.省级分局和计划单列市分局办理的境内公司境外上市或发行境外存托凭证变更登记(00017110700202)</w:t>
      </w:r>
    </w:p>
    <w:p>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3.省级分局和计划单列市分局办理的境内公司境外上市或发行境外存托凭证注销登记(00017110700203)</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4.设定依据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（1）《中华人民共和国外汇管理条例》第十七条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5.实施依据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（1）《国家外汇管理局关于境外上市外汇管理有关问题的通知》（汇发〔2014〕54号）第二条、第三条、第十五条、第十八条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（2）《存托凭证跨境资金管理办法（试行）》（中国人民银行 国家外汇管理局公告〔2019〕第8号）第六条</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（3）《国家外汇管理局行政许可实施办法》（国家外汇管理局公告2021年第1号）</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6.监管依据</w:t>
      </w:r>
    </w:p>
    <w:p>
      <w:pPr>
        <w:spacing w:line="540" w:lineRule="exact"/>
        <w:ind w:firstLine="560"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（1）《中华人民共和国外汇管理条例》</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7.实施机关：</w:t>
      </w:r>
      <w:r>
        <w:rPr>
          <w:rFonts w:hint="eastAsia" w:ascii="仿宋_GB2312" w:hAnsi="仿宋_GB2312" w:eastAsia="仿宋_GB2312" w:cs="仿宋_GB2312"/>
          <w:sz w:val="28"/>
          <w:szCs w:val="28"/>
        </w:rPr>
        <w:t>国家外汇局省级分局和计划单列市分局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8.审批层级：</w:t>
      </w:r>
      <w:r>
        <w:rPr>
          <w:rFonts w:hint="eastAsia" w:ascii="仿宋_GB2312" w:hAnsi="仿宋_GB2312" w:eastAsia="仿宋_GB2312" w:cs="仿宋_GB2312"/>
          <w:sz w:val="28"/>
          <w:szCs w:val="28"/>
        </w:rPr>
        <w:t>国家级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9.行使层级：</w:t>
      </w:r>
      <w:r>
        <w:rPr>
          <w:rFonts w:hint="eastAsia" w:ascii="仿宋_GB2312" w:hAnsi="仿宋_GB2312" w:eastAsia="仿宋_GB2312" w:cs="仿宋_GB2312"/>
          <w:sz w:val="28"/>
          <w:szCs w:val="28"/>
        </w:rPr>
        <w:t>省级/直属</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10.是否由审批机关受理：</w:t>
      </w:r>
      <w:r>
        <w:rPr>
          <w:rFonts w:hint="eastAsia" w:ascii="仿宋_GB2312" w:hAnsi="仿宋_GB2312" w:eastAsia="仿宋_GB2312" w:cs="仿宋_GB2312"/>
          <w:sz w:val="28"/>
          <w:szCs w:val="28"/>
        </w:rPr>
        <w:t>是</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11.受理层级：</w:t>
      </w:r>
      <w:r>
        <w:rPr>
          <w:rFonts w:hint="eastAsia" w:ascii="仿宋_GB2312" w:hAnsi="仿宋_GB2312" w:eastAsia="仿宋_GB2312" w:cs="仿宋_GB2312"/>
          <w:sz w:val="28"/>
          <w:szCs w:val="28"/>
        </w:rPr>
        <w:t>省级</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12.是否存在初审环节：</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highlight w:val="yellow"/>
        </w:rPr>
      </w:pPr>
      <w:r>
        <w:rPr>
          <w:rFonts w:hint="eastAsia" w:ascii="仿宋_GB2312" w:hAnsi="仿宋_GB2312" w:eastAsia="仿宋_GB2312" w:cs="仿宋_GB2312"/>
          <w:b/>
          <w:bCs/>
          <w:sz w:val="28"/>
          <w:szCs w:val="28"/>
        </w:rPr>
        <w:t>13.初审层级：</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14.对应政务服务事项国家级基本目录名称：</w:t>
      </w:r>
      <w:r>
        <w:rPr>
          <w:rFonts w:hint="eastAsia" w:ascii="仿宋_GB2312" w:hAnsi="仿宋_GB2312" w:eastAsia="仿宋_GB2312" w:cs="仿宋_GB2312"/>
          <w:sz w:val="28"/>
          <w:szCs w:val="28"/>
        </w:rPr>
        <w:t>境内公司境外上市或发行境外存托凭证登记及变更、注销登记</w:t>
      </w:r>
    </w:p>
    <w:p>
      <w:pPr>
        <w:spacing w:line="600" w:lineRule="exact"/>
        <w:ind w:firstLine="562" w:firstLineChars="200"/>
        <w:jc w:val="left"/>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15.要素统一情况：</w:t>
      </w:r>
      <w:r>
        <w:rPr>
          <w:rFonts w:hint="eastAsia" w:ascii="仿宋_GB2312" w:hAnsi="仿宋_GB2312" w:eastAsia="仿宋_GB2312" w:cs="仿宋_GB2312"/>
          <w:sz w:val="28"/>
          <w:szCs w:val="28"/>
        </w:rPr>
        <w:t>全部要素全国统一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二、行政许可事项类型</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条件型</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三、行政许可条件</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1.准予行政许可的条件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1.省级分局和计划单列市分局办理的境内公司境外上市或发行境外存托凭证新办登记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（1）获得中国证监会关于境外上市的备案（按证监会要求无需事前备案的除外）。</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（2）境外发行结束并完成公告。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2.省级分局和计划单列市分局办理的境内公司境外上市或发行境外存托凭证变更登记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境外上市公司名称、注册地址、主要股东信息等发生变更。（2）完成境外股份回购，将可转换债券转为股票，资本公积、盈余公积、未分配利润转增股本等导致资本变动；（3）境内股东增持、减持、转让、受让境外股份完毕使得境外上市的境内公司股权结构发生变化；（4）境外上市前境内股东持有的内资股、境外上市后在境内增发的内资股或外资股东持有的未上市流通股份经证监会备案进行H股“全流通”；（5）增发（含超额配售、向境内特定对象发行证券购买资产等）股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3.省级分局和计划单列市分局办理的境内公司境外上市或发行境外存托凭注销登记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（1）获得主管部门批复。</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（2）从境外证券市场退市并完成退市公告。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（3）相关账户和资金已妥善处置。</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2.规定行政许可条件的依据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外上市外汇管理有关问题的通知》（汇发〔2014〕54号）第三条、第十五条、第十八条境内公司应在境外上市发行结束之日起15个工作日内，持下列材料到其注册所在地外汇局（以下简称所在地外汇局）办理境外上市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公司若发生如下变更情形，应在变更之日起15个工作日内......到所在地外汇局办理境外上市登记变更……。（一）境外上市公司名称、注册地址、主要股东信息等发生变更;（二）增发(含超额配售)股份或资本公积、盈余公积、未分配利润转增股本等资本变动;（三）回购境外股份;（四）将可转换债券转为股票（需提供外债登记变更或注销凭证）;（五）境内股东增持、减持、转让、受让境外股份计划实施完毕使得境外上市公司股权结构发生变化;（六）原登记的境外募集资金使用计划和用途发生变更;（七）其他登记有关内容的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公司从境外证券市场退市的，应在退市之日起15个工作日内持主管部门相关批复复印件、退市公告等真实性证明材料及境外上市业务登记凭证、相关账户和资金处理情况说明到所在地外汇局办理境外上市登记注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四、行政许可服务对象类型与改革举措</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1.服务对象类型：</w:t>
      </w:r>
      <w:r>
        <w:rPr>
          <w:rFonts w:hint="eastAsia" w:ascii="仿宋_GB2312" w:hAnsi="仿宋_GB2312" w:eastAsia="仿宋_GB2312" w:cs="仿宋_GB2312"/>
          <w:sz w:val="28"/>
          <w:szCs w:val="28"/>
        </w:rPr>
        <w:t>企业法人</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2.是否为涉企许可事项：</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3.涉企经营许可事项名称：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4.许可证件名称：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5.改革方式：</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6.具体改革举措：</w:t>
      </w:r>
      <w:r>
        <w:rPr>
          <w:rFonts w:hint="eastAsia" w:ascii="仿宋_GB2312" w:hAnsi="仿宋_GB2312" w:eastAsia="仿宋_GB2312" w:cs="仿宋_GB2312"/>
          <w:sz w:val="28"/>
          <w:szCs w:val="28"/>
        </w:rPr>
        <w:t>无</w:t>
      </w:r>
    </w:p>
    <w:p>
      <w:pPr>
        <w:spacing w:line="54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7.加强事中事后监管措施</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1.开展“双随机、一公开”监管，依法查处违规行为，适时公开相关案例。2.依法及时处理投诉举报。3.开展数据统计与监测，掌握外汇业务情况。</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五、申请材料</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1.申请材料名称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1.省级分局和计划单列市分局办理的境内公司境外上市或发行境外存托凭证新办登记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(2)书面申请（附《境外上市登记表》）。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(3)证监会关于境内公司境外上市的备案材料。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(4)境外发行或超额配售完成的公告文件。</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2.省级分局和计划单列市分局办理的境内公司境外上市或发行境外存托凭证变更登记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(2)书面申请（附《境外上市登记表》），涉及H股“全流通”的变更登记，书面申请需含获准H股“全流通”后，参与“全流通”的境内股东H股持股信息。</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(3)主管部门关于变更事项的相关批复或备案文件（如有）。其中，涉及H股“全流通”的变更登记，需提供证监会关于H股“全流通”业务的备案材料。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(4)变更事项相关公告等证明材料。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3.省级分局和计划单列市分局办理的境内公司境外上市或发行境外存托凭证注销登记</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(1)营业执照。</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(2)书面申请。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(3)退市公告。</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(4)主管部门关于注销事项的相关批复或备案文件（如有）。</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2.规定申请材料的依据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关于境外上市外汇管理有关问题的通知》（汇发〔2014〕54号）第三条、第十五条、第十八条境内公司应在境外上市发行结束之日起15个工作日内，持下列材料到其注册所在地外汇局（以下简称所在地外汇局）办理境外上市登记：（一）书面申请，并附《境外上市登记表》；（二）中国证监会许可境内公司境外上市的证明文件；（三）境外发行结束的公告文件；（四）前述材料内容不一致或不能说明交易真实性时，要求提供的补充材料。</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公司若发生如下变更情形，应在变更之日起15个工作日内持书面申请、最新填写的《境外上市登记表》及相关交易真实性证明材料，到所在地外汇局办理境外上市登记变更。需经主管部门审批或备案的变更事项，另需提供主管部门关于变更事项的批复或备案文件。(一)境外上市公司名称、注册地址、主要股东信息等发生变更......。</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境内公司从境外证券市场退市的，应在退市之日起15个工作日内持主管部门相关批复复印件、退市公告等真实性证明材料及境外上市业务登记凭证、相关账户和资金处理情况说明到所在地外汇局办理境外上市登记注销......。</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（2）《国家外汇管理局行政许可实施办法》（国家外汇管理局公告2021年第1号）第八条……申请人为机构的，应出示统一社会信用代码证或营业执照原件，或加盖公章的上述证件复印件……。</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六、中介服务</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1.有无法定中介服务事项：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2.中介服务事项名称：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3.设定中介服务事项的依据：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4.提供中介服务的机构：</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5.中介服务事项的收费性质：</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七、审批程序</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1.办理行政许可的程序环节</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（1）申请人申请；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（2）审批机构受理/不予受理；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（3）审批机构审查；</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（4）决定作出许可决定书/不予许可决定书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2.规定行政许可程序的依据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申请材料存在文字笔误等可当场更正的错误的，应允许申请人当场更正，并告知其在修改处签字或盖章确认；</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3.是否需要现场勘验：</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4.是否需要组织听证：</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5.是否需要招标、拍卖、挂牌交易：</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6.是否需要检验、检测、检疫：</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7.是否需要鉴定：</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8.是否需要专家评审：</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9.是否需要向社会公示：</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10.是否实行告知承诺办理：</w:t>
      </w:r>
      <w:r>
        <w:rPr>
          <w:rFonts w:hint="eastAsia" w:ascii="仿宋_GB2312" w:hAnsi="仿宋_GB2312" w:eastAsia="仿宋_GB2312" w:cs="仿宋_GB2312"/>
          <w:sz w:val="28"/>
          <w:szCs w:val="28"/>
        </w:rPr>
        <w:t>否</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11.审批机关是否委托服务机构开展技术性服务：</w:t>
      </w:r>
      <w:r>
        <w:rPr>
          <w:rFonts w:hint="eastAsia" w:ascii="仿宋_GB2312" w:hAnsi="仿宋_GB2312" w:eastAsia="仿宋_GB2312" w:cs="仿宋_GB2312"/>
          <w:sz w:val="28"/>
          <w:szCs w:val="28"/>
        </w:rPr>
        <w:t>否</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八、受理和审批时限</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1.承诺受理时限：</w:t>
      </w:r>
      <w:r>
        <w:rPr>
          <w:rFonts w:hint="eastAsia" w:ascii="仿宋_GB2312" w:hAnsi="仿宋_GB2312" w:eastAsia="仿宋_GB2312" w:cs="仿宋_GB2312"/>
          <w:sz w:val="28"/>
          <w:szCs w:val="28"/>
        </w:rPr>
        <w:t>5个工作日</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2.法定审批时限：</w:t>
      </w:r>
      <w:r>
        <w:rPr>
          <w:rFonts w:hint="eastAsia" w:ascii="仿宋_GB2312" w:hAnsi="仿宋_GB2312" w:eastAsia="仿宋_GB2312" w:cs="仿宋_GB2312"/>
          <w:sz w:val="28"/>
          <w:szCs w:val="28"/>
        </w:rPr>
        <w:t>20个工作日</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3.规定法定审批时限依据</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（一）能当场作出决定的，应当场作出行政许可决定。当场作出行政许可决定的，可不出具行政许可受理通知书；</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各级外汇局对行政许可办理时限具有对外承诺的，应按照其承诺的时限完成；对外承诺的时限应短于20个工作日。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4.承诺审批时限：</w:t>
      </w:r>
      <w:r>
        <w:rPr>
          <w:rFonts w:hint="eastAsia" w:ascii="仿宋_GB2312" w:hAnsi="仿宋_GB2312" w:eastAsia="仿宋_GB2312" w:cs="仿宋_GB2312"/>
          <w:sz w:val="28"/>
          <w:szCs w:val="28"/>
        </w:rPr>
        <w:t>20个工作日</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九、收费</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1.办理行政许可是否收费：</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2.收费项目的名称、收费项目的标准、设定收费项目的依据、规定收费标准的依据：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十、行政许可证件</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1.审批结果类型：</w:t>
      </w:r>
      <w:r>
        <w:rPr>
          <w:rFonts w:hint="eastAsia" w:ascii="仿宋_GB2312" w:hAnsi="仿宋_GB2312" w:eastAsia="仿宋_GB2312" w:cs="仿宋_GB2312"/>
          <w:sz w:val="28"/>
          <w:szCs w:val="28"/>
        </w:rPr>
        <w:t>批文</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2.审批结果名称：</w:t>
      </w:r>
      <w:r>
        <w:rPr>
          <w:rFonts w:hint="eastAsia" w:ascii="仿宋_GB2312" w:hAnsi="仿宋_GB2312" w:eastAsia="仿宋_GB2312" w:cs="仿宋_GB2312"/>
          <w:sz w:val="28"/>
          <w:szCs w:val="28"/>
        </w:rPr>
        <w:t>《业务登记凭证》</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3.审批结果的有效期限：</w:t>
      </w:r>
      <w:r>
        <w:rPr>
          <w:rFonts w:hint="eastAsia" w:ascii="仿宋_GB2312" w:hAnsi="仿宋_GB2312" w:eastAsia="仿宋_GB2312" w:cs="仿宋_GB2312"/>
          <w:sz w:val="28"/>
          <w:szCs w:val="28"/>
        </w:rPr>
        <w:t>当次</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4.规定审批结果有效期限的依据：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5.是否需要办理审批结果变更手续：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6.办理审批结果变更手续的要求：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7.是否需要办理审批结果延续手续：</w:t>
      </w:r>
      <w:r>
        <w:rPr>
          <w:rFonts w:hint="eastAsia" w:ascii="仿宋_GB2312" w:hAnsi="仿宋_GB2312" w:eastAsia="仿宋_GB2312" w:cs="仿宋_GB2312"/>
          <w:sz w:val="28"/>
          <w:szCs w:val="28"/>
        </w:rPr>
        <w:t>否</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8.办理审批结果延续手续的要求：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9.审批结果的有效地域范围：</w:t>
      </w:r>
      <w:r>
        <w:rPr>
          <w:rFonts w:hint="eastAsia" w:ascii="仿宋_GB2312" w:hAnsi="仿宋_GB2312" w:eastAsia="仿宋_GB2312" w:cs="仿宋_GB2312"/>
          <w:sz w:val="28"/>
          <w:szCs w:val="28"/>
        </w:rPr>
        <w:t>全国</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10.规定审批结果有效地域范围的依据：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十一、行政许可数量限制</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1.有无行政许可数量限制：</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2.公布数量限制的方式：</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3.公布数量限制的周期：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4.在数量限制条件下实施行政许可的方式：</w:t>
      </w:r>
      <w:r>
        <w:rPr>
          <w:rFonts w:hint="eastAsia" w:ascii="仿宋_GB2312" w:hAnsi="仿宋_GB2312" w:eastAsia="仿宋_GB2312" w:cs="仿宋_GB2312"/>
          <w:sz w:val="28"/>
          <w:szCs w:val="28"/>
        </w:rPr>
        <w:t>无</w:t>
      </w:r>
    </w:p>
    <w:p>
      <w:pPr>
        <w:spacing w:line="600" w:lineRule="exact"/>
        <w:ind w:firstLine="562" w:firstLineChars="200"/>
        <w:jc w:val="left"/>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5.规定在数量限制条件下实施行政许可方式的依据：</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十二、行政许可后年检</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1.有无年检要求：</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2.设定年检要求的依据：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3.年检周期：</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4.年检是否要求报送材料：</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5.年检报送材料名称：</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6.年检是否收费：</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7.年检收费项目的名称、年检收费项目的标准、设定年检收费项目的依据、规定年检项目收费标准的依据：</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8.通过年检的证明或者标志：</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十三、行政许可后年报</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1.有无年报要求：</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2.年报报送材料名称：</w:t>
      </w:r>
      <w:r>
        <w:rPr>
          <w:rFonts w:hint="eastAsia" w:ascii="仿宋_GB2312" w:hAnsi="仿宋_GB2312" w:eastAsia="仿宋_GB2312" w:cs="仿宋_GB2312"/>
          <w:sz w:val="28"/>
          <w:szCs w:val="28"/>
        </w:rPr>
        <w:t>无</w:t>
      </w:r>
    </w:p>
    <w:p>
      <w:pPr>
        <w:spacing w:line="540" w:lineRule="exact"/>
        <w:ind w:firstLine="562" w:firstLineChars="200"/>
        <w:outlineLvl w:val="2"/>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3.设定年报要求的依据：</w:t>
      </w:r>
      <w:r>
        <w:rPr>
          <w:rFonts w:hint="eastAsia" w:ascii="仿宋_GB2312" w:hAnsi="仿宋_GB2312" w:eastAsia="仿宋_GB2312" w:cs="仿宋_GB2312"/>
          <w:sz w:val="28"/>
          <w:szCs w:val="28"/>
        </w:rPr>
        <w:t>无</w:t>
      </w:r>
    </w:p>
    <w:p>
      <w:pPr>
        <w:spacing w:line="600" w:lineRule="exact"/>
        <w:ind w:firstLine="562" w:firstLineChars="200"/>
        <w:rPr>
          <w:rFonts w:hint="eastAsia" w:ascii="仿宋_GB2312" w:hAnsi="仿宋_GB2312" w:eastAsia="仿宋_GB2312" w:cs="仿宋_GB2312"/>
          <w:sz w:val="28"/>
          <w:szCs w:val="28"/>
        </w:rPr>
      </w:pPr>
      <w:r>
        <w:rPr>
          <w:rFonts w:hint="eastAsia" w:ascii="仿宋_GB2312" w:hAnsi="仿宋_GB2312" w:eastAsia="仿宋_GB2312" w:cs="仿宋_GB2312"/>
          <w:b/>
          <w:bCs/>
          <w:sz w:val="28"/>
          <w:szCs w:val="28"/>
        </w:rPr>
        <w:t>4.年报周期：</w:t>
      </w:r>
      <w:r>
        <w:rPr>
          <w:rFonts w:hint="eastAsia" w:ascii="仿宋_GB2312" w:hAnsi="仿宋_GB2312" w:eastAsia="仿宋_GB2312" w:cs="仿宋_GB2312"/>
          <w:sz w:val="28"/>
          <w:szCs w:val="28"/>
        </w:rPr>
        <w:t>无</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十四、监管主体</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国家外汇局及其分局</w:t>
      </w:r>
    </w:p>
    <w:p>
      <w:pPr>
        <w:spacing w:line="540" w:lineRule="exact"/>
        <w:outlineLvl w:val="1"/>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十五、备注</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办公地址：长沙市芙蓉区蔡锷中路2号</w:t>
      </w:r>
      <w:r>
        <w:rPr>
          <w:rFonts w:hint="eastAsia" w:ascii="仿宋_GB2312" w:hAnsi="仿宋_GB2312" w:eastAsia="仿宋_GB2312" w:cs="仿宋_GB2312"/>
          <w:sz w:val="28"/>
          <w:szCs w:val="28"/>
          <w:lang w:val="en-US" w:eastAsia="zh-CN"/>
        </w:rPr>
        <w:t>B座809室</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2.</w:t>
      </w:r>
      <w:r>
        <w:rPr>
          <w:rFonts w:hint="eastAsia" w:ascii="仿宋_GB2312" w:hAnsi="仿宋_GB2312" w:eastAsia="仿宋_GB2312" w:cs="仿宋_GB2312"/>
          <w:sz w:val="28"/>
          <w:szCs w:val="28"/>
        </w:rPr>
        <w:t>办公时间：8:30-12:00；14:30-17:30（法定节假日除外）。</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3.咨询投诉</w:t>
      </w:r>
      <w:r>
        <w:rPr>
          <w:rFonts w:hint="eastAsia" w:ascii="仿宋_GB2312" w:hAnsi="仿宋_GB2312" w:eastAsia="仿宋_GB2312" w:cs="仿宋_GB2312"/>
          <w:sz w:val="28"/>
          <w:szCs w:val="28"/>
        </w:rPr>
        <w:t>电话：0731-84301</w:t>
      </w:r>
      <w:r>
        <w:rPr>
          <w:rFonts w:hint="eastAsia" w:ascii="仿宋_GB2312" w:hAnsi="仿宋_GB2312" w:eastAsia="仿宋_GB2312" w:cs="仿宋_GB2312"/>
          <w:sz w:val="28"/>
          <w:szCs w:val="28"/>
          <w:lang w:val="en-US" w:eastAsia="zh-CN"/>
        </w:rPr>
        <w:t>611</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4.</w:t>
      </w:r>
      <w:r>
        <w:rPr>
          <w:rFonts w:hint="eastAsia" w:ascii="仿宋_GB2312" w:hAnsi="仿宋_GB2312" w:eastAsia="仿宋_GB2312" w:cs="仿宋_GB2312"/>
          <w:sz w:val="28"/>
          <w:szCs w:val="28"/>
        </w:rPr>
        <w:t>通讯地址：长沙市芙蓉区蔡锷中路2号中国人民银行</w:t>
      </w:r>
      <w:r>
        <w:rPr>
          <w:rFonts w:hint="eastAsia" w:ascii="仿宋_GB2312" w:hAnsi="仿宋_GB2312" w:eastAsia="仿宋_GB2312" w:cs="仿宋_GB2312"/>
          <w:sz w:val="28"/>
          <w:szCs w:val="28"/>
          <w:lang w:eastAsia="zh-CN"/>
        </w:rPr>
        <w:t>湖南省分行资本项目管理处</w:t>
      </w:r>
      <w:r>
        <w:rPr>
          <w:rFonts w:hint="eastAsia" w:ascii="仿宋_GB2312" w:hAnsi="仿宋_GB2312" w:eastAsia="仿宋_GB2312" w:cs="仿宋_GB2312"/>
          <w:sz w:val="28"/>
          <w:szCs w:val="28"/>
        </w:rPr>
        <w:t>。</w:t>
      </w:r>
    </w:p>
    <w:p>
      <w:pPr>
        <w:spacing w:line="600"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邮政编码：410005。</w:t>
      </w:r>
    </w:p>
    <w:p>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6.是否网办：</w:t>
      </w:r>
      <w:r>
        <w:rPr>
          <w:rFonts w:hint="eastAsia" w:ascii="仿宋_GB2312" w:hAnsi="仿宋_GB2312" w:eastAsia="仿宋_GB2312" w:cs="仿宋_GB2312"/>
          <w:sz w:val="28"/>
          <w:szCs w:val="28"/>
          <w:lang w:eastAsia="zh-CN"/>
        </w:rPr>
        <w:t>否</w:t>
      </w:r>
    </w:p>
    <w:p>
      <w:pPr>
        <w:rPr>
          <w:rFonts w:hint="eastAsia" w:ascii="仿宋_GB2312" w:hAnsi="仿宋_GB2312" w:eastAsia="仿宋_GB2312" w:cs="仿宋_GB2312"/>
          <w:sz w:val="28"/>
          <w:szCs w:val="28"/>
        </w:rPr>
      </w:pPr>
    </w:p>
    <w:p>
      <w:pPr>
        <w:spacing w:line="600" w:lineRule="exact"/>
        <w:ind w:firstLine="560" w:firstLineChars="200"/>
        <w:rPr>
          <w:rFonts w:hint="eastAsia" w:ascii="仿宋_GB2312" w:hAnsi="仿宋_GB2312" w:eastAsia="仿宋_GB2312" w:cs="仿宋_GB2312"/>
          <w:sz w:val="28"/>
          <w:szCs w:val="28"/>
        </w:rPr>
      </w:pPr>
    </w:p>
    <w:p>
      <w:pPr>
        <w:spacing w:line="600" w:lineRule="exact"/>
        <w:ind w:firstLine="560" w:firstLineChars="200"/>
        <w:rPr>
          <w:rFonts w:hint="eastAsia" w:ascii="仿宋_GB2312" w:hAnsi="仿宋_GB2312" w:eastAsia="仿宋_GB2312" w:cs="仿宋_GB2312"/>
          <w:sz w:val="28"/>
          <w:szCs w:val="28"/>
        </w:rPr>
      </w:pPr>
    </w:p>
    <w:bookmarkEnd w:id="0"/>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方正小标宋_GBK">
    <w:panose1 w:val="02000000000000000000"/>
    <w:charset w:val="86"/>
    <w:family w:val="script"/>
    <w:pitch w:val="default"/>
    <w:sig w:usb0="A00002BF" w:usb1="38CF7CFA" w:usb2="00082016" w:usb3="00000000" w:csb0="00040001" w:csb1="00000000"/>
  </w:font>
  <w:font w:name="仿宋GB2312">
    <w:altName w:val="仿宋"/>
    <w:panose1 w:val="00000000000000000000"/>
    <w:charset w:val="86"/>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jc w:val="center"/>
    </w:pPr>
    <w:r>
      <w:fldChar w:fldCharType="begin"/>
    </w:r>
    <w:r>
      <w:instrText xml:space="preserve"> PAGE   \* MERGEFORMAT </w:instrText>
    </w:r>
    <w:r>
      <w:fldChar w:fldCharType="separate"/>
    </w:r>
    <w:r>
      <w:rPr>
        <w:lang w:val="zh-CN"/>
      </w:rPr>
      <w:t>13</w:t>
    </w:r>
    <w:r>
      <w:rPr>
        <w:lang w:val="zh-CN"/>
      </w:rPr>
      <w:fldChar w:fldCharType="end"/>
    </w:r>
  </w:p>
  <w:p>
    <w:pPr>
      <w:pStyle w:val="8"/>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B131E"/>
    <w:rsid w:val="00003372"/>
    <w:rsid w:val="00007827"/>
    <w:rsid w:val="00022191"/>
    <w:rsid w:val="00023783"/>
    <w:rsid w:val="00041960"/>
    <w:rsid w:val="00042B58"/>
    <w:rsid w:val="00054B00"/>
    <w:rsid w:val="00055270"/>
    <w:rsid w:val="0006560A"/>
    <w:rsid w:val="00072F8A"/>
    <w:rsid w:val="000750C8"/>
    <w:rsid w:val="00080630"/>
    <w:rsid w:val="00091661"/>
    <w:rsid w:val="00092D53"/>
    <w:rsid w:val="00096CBB"/>
    <w:rsid w:val="00097F7B"/>
    <w:rsid w:val="000B6901"/>
    <w:rsid w:val="000B728B"/>
    <w:rsid w:val="000C15B3"/>
    <w:rsid w:val="000C2B33"/>
    <w:rsid w:val="000C2F26"/>
    <w:rsid w:val="000D1995"/>
    <w:rsid w:val="000D586D"/>
    <w:rsid w:val="000D7478"/>
    <w:rsid w:val="000F007A"/>
    <w:rsid w:val="001166D7"/>
    <w:rsid w:val="0012267E"/>
    <w:rsid w:val="0012271F"/>
    <w:rsid w:val="00130519"/>
    <w:rsid w:val="00135BEE"/>
    <w:rsid w:val="0014667A"/>
    <w:rsid w:val="00154B58"/>
    <w:rsid w:val="00157C64"/>
    <w:rsid w:val="00157E26"/>
    <w:rsid w:val="00157E81"/>
    <w:rsid w:val="00170126"/>
    <w:rsid w:val="00177059"/>
    <w:rsid w:val="00181D3E"/>
    <w:rsid w:val="00182ADE"/>
    <w:rsid w:val="00196FAE"/>
    <w:rsid w:val="001A3E49"/>
    <w:rsid w:val="001A72AA"/>
    <w:rsid w:val="001B1E2C"/>
    <w:rsid w:val="001C44C7"/>
    <w:rsid w:val="001D65A2"/>
    <w:rsid w:val="001E1407"/>
    <w:rsid w:val="001E6F07"/>
    <w:rsid w:val="001F4BD4"/>
    <w:rsid w:val="001F7297"/>
    <w:rsid w:val="00205D07"/>
    <w:rsid w:val="00212F39"/>
    <w:rsid w:val="00217116"/>
    <w:rsid w:val="00222C90"/>
    <w:rsid w:val="00231EED"/>
    <w:rsid w:val="00233841"/>
    <w:rsid w:val="002344B4"/>
    <w:rsid w:val="00235F24"/>
    <w:rsid w:val="002417D2"/>
    <w:rsid w:val="00241FE8"/>
    <w:rsid w:val="0024527E"/>
    <w:rsid w:val="00252C70"/>
    <w:rsid w:val="00253F7B"/>
    <w:rsid w:val="00254704"/>
    <w:rsid w:val="00256239"/>
    <w:rsid w:val="00263B1F"/>
    <w:rsid w:val="00282244"/>
    <w:rsid w:val="00291C17"/>
    <w:rsid w:val="00291DA3"/>
    <w:rsid w:val="0029313A"/>
    <w:rsid w:val="002B0B1C"/>
    <w:rsid w:val="002B0DDE"/>
    <w:rsid w:val="002B598D"/>
    <w:rsid w:val="002B61C1"/>
    <w:rsid w:val="002D75E4"/>
    <w:rsid w:val="002D7C0E"/>
    <w:rsid w:val="002E126C"/>
    <w:rsid w:val="002E1323"/>
    <w:rsid w:val="002E4F44"/>
    <w:rsid w:val="002F232E"/>
    <w:rsid w:val="002F3868"/>
    <w:rsid w:val="002F5184"/>
    <w:rsid w:val="00300907"/>
    <w:rsid w:val="00302119"/>
    <w:rsid w:val="00302E87"/>
    <w:rsid w:val="00310261"/>
    <w:rsid w:val="00343044"/>
    <w:rsid w:val="00344B01"/>
    <w:rsid w:val="00353AC4"/>
    <w:rsid w:val="003616B4"/>
    <w:rsid w:val="003A57B2"/>
    <w:rsid w:val="003C7132"/>
    <w:rsid w:val="003D77A5"/>
    <w:rsid w:val="003E627D"/>
    <w:rsid w:val="003E6317"/>
    <w:rsid w:val="003E6BF6"/>
    <w:rsid w:val="003F221D"/>
    <w:rsid w:val="003F3097"/>
    <w:rsid w:val="003F6BFA"/>
    <w:rsid w:val="00402AE8"/>
    <w:rsid w:val="00405FE6"/>
    <w:rsid w:val="004105BC"/>
    <w:rsid w:val="00421C27"/>
    <w:rsid w:val="004245D7"/>
    <w:rsid w:val="00426B97"/>
    <w:rsid w:val="00440A1F"/>
    <w:rsid w:val="00443603"/>
    <w:rsid w:val="00443604"/>
    <w:rsid w:val="004501EA"/>
    <w:rsid w:val="00452110"/>
    <w:rsid w:val="00460436"/>
    <w:rsid w:val="00460458"/>
    <w:rsid w:val="0046792D"/>
    <w:rsid w:val="004767DF"/>
    <w:rsid w:val="004913DB"/>
    <w:rsid w:val="00493CCC"/>
    <w:rsid w:val="004A0218"/>
    <w:rsid w:val="004A7840"/>
    <w:rsid w:val="004B545A"/>
    <w:rsid w:val="004B7E80"/>
    <w:rsid w:val="004C1B4C"/>
    <w:rsid w:val="004C3A53"/>
    <w:rsid w:val="004C457E"/>
    <w:rsid w:val="004C48D5"/>
    <w:rsid w:val="004C512D"/>
    <w:rsid w:val="004D03B7"/>
    <w:rsid w:val="004D1436"/>
    <w:rsid w:val="004D57AE"/>
    <w:rsid w:val="004D5EE3"/>
    <w:rsid w:val="004E4854"/>
    <w:rsid w:val="004F190F"/>
    <w:rsid w:val="005056D4"/>
    <w:rsid w:val="005062CB"/>
    <w:rsid w:val="00526B2B"/>
    <w:rsid w:val="005362B0"/>
    <w:rsid w:val="00542447"/>
    <w:rsid w:val="00557FD0"/>
    <w:rsid w:val="00564312"/>
    <w:rsid w:val="005A2981"/>
    <w:rsid w:val="005C1C2B"/>
    <w:rsid w:val="005C6937"/>
    <w:rsid w:val="005C7F02"/>
    <w:rsid w:val="005F0A86"/>
    <w:rsid w:val="005F144A"/>
    <w:rsid w:val="005F1C00"/>
    <w:rsid w:val="0060083D"/>
    <w:rsid w:val="0061621E"/>
    <w:rsid w:val="00617271"/>
    <w:rsid w:val="00630AA8"/>
    <w:rsid w:val="00630B2E"/>
    <w:rsid w:val="00643D2A"/>
    <w:rsid w:val="00664E11"/>
    <w:rsid w:val="00673B30"/>
    <w:rsid w:val="00696D87"/>
    <w:rsid w:val="00696E5D"/>
    <w:rsid w:val="006B5B86"/>
    <w:rsid w:val="006C2905"/>
    <w:rsid w:val="006C5908"/>
    <w:rsid w:val="006C633E"/>
    <w:rsid w:val="006D734F"/>
    <w:rsid w:val="006E043F"/>
    <w:rsid w:val="006E4695"/>
    <w:rsid w:val="006E4B8B"/>
    <w:rsid w:val="006E5901"/>
    <w:rsid w:val="006F449A"/>
    <w:rsid w:val="0071091C"/>
    <w:rsid w:val="00714961"/>
    <w:rsid w:val="007337C5"/>
    <w:rsid w:val="00744BD5"/>
    <w:rsid w:val="00745748"/>
    <w:rsid w:val="007501D5"/>
    <w:rsid w:val="00750E36"/>
    <w:rsid w:val="00753CB0"/>
    <w:rsid w:val="00755460"/>
    <w:rsid w:val="00757813"/>
    <w:rsid w:val="00761FB7"/>
    <w:rsid w:val="00762107"/>
    <w:rsid w:val="00764CB9"/>
    <w:rsid w:val="00765B05"/>
    <w:rsid w:val="00777E9C"/>
    <w:rsid w:val="00785F45"/>
    <w:rsid w:val="007A2780"/>
    <w:rsid w:val="007A5A50"/>
    <w:rsid w:val="007A68EA"/>
    <w:rsid w:val="007B06FC"/>
    <w:rsid w:val="007B0FEF"/>
    <w:rsid w:val="007B2DB5"/>
    <w:rsid w:val="007D102D"/>
    <w:rsid w:val="007D2C11"/>
    <w:rsid w:val="007D3E8F"/>
    <w:rsid w:val="007D6171"/>
    <w:rsid w:val="007D69EA"/>
    <w:rsid w:val="007E2C7B"/>
    <w:rsid w:val="007E411B"/>
    <w:rsid w:val="007F0863"/>
    <w:rsid w:val="007F2F3B"/>
    <w:rsid w:val="00802307"/>
    <w:rsid w:val="00803798"/>
    <w:rsid w:val="0082168E"/>
    <w:rsid w:val="00821968"/>
    <w:rsid w:val="00822C2D"/>
    <w:rsid w:val="008471B6"/>
    <w:rsid w:val="00851521"/>
    <w:rsid w:val="0085686A"/>
    <w:rsid w:val="00860878"/>
    <w:rsid w:val="008731FF"/>
    <w:rsid w:val="00873713"/>
    <w:rsid w:val="0088294A"/>
    <w:rsid w:val="00886BB8"/>
    <w:rsid w:val="0089282A"/>
    <w:rsid w:val="008A4538"/>
    <w:rsid w:val="008A6890"/>
    <w:rsid w:val="008A704B"/>
    <w:rsid w:val="008B08D2"/>
    <w:rsid w:val="008B48EC"/>
    <w:rsid w:val="008B4EE5"/>
    <w:rsid w:val="008B5807"/>
    <w:rsid w:val="008B686F"/>
    <w:rsid w:val="008D1EAE"/>
    <w:rsid w:val="008D5FA0"/>
    <w:rsid w:val="008E2D38"/>
    <w:rsid w:val="008E7D2A"/>
    <w:rsid w:val="008F5724"/>
    <w:rsid w:val="00902633"/>
    <w:rsid w:val="009027D8"/>
    <w:rsid w:val="0090372F"/>
    <w:rsid w:val="00911E27"/>
    <w:rsid w:val="0092129A"/>
    <w:rsid w:val="00925BB2"/>
    <w:rsid w:val="00930C8C"/>
    <w:rsid w:val="0093562D"/>
    <w:rsid w:val="009360EA"/>
    <w:rsid w:val="0094694C"/>
    <w:rsid w:val="00947C57"/>
    <w:rsid w:val="00951149"/>
    <w:rsid w:val="00960EDB"/>
    <w:rsid w:val="009622DB"/>
    <w:rsid w:val="00964C3F"/>
    <w:rsid w:val="009664BC"/>
    <w:rsid w:val="00980F02"/>
    <w:rsid w:val="00991B77"/>
    <w:rsid w:val="00997523"/>
    <w:rsid w:val="009A0C5D"/>
    <w:rsid w:val="009C4672"/>
    <w:rsid w:val="009C491B"/>
    <w:rsid w:val="009D0911"/>
    <w:rsid w:val="009D1AB5"/>
    <w:rsid w:val="009D24F8"/>
    <w:rsid w:val="009D688C"/>
    <w:rsid w:val="009D73D6"/>
    <w:rsid w:val="009F307A"/>
    <w:rsid w:val="009F52BB"/>
    <w:rsid w:val="009F7A36"/>
    <w:rsid w:val="00A249C2"/>
    <w:rsid w:val="00A24FAB"/>
    <w:rsid w:val="00A301E7"/>
    <w:rsid w:val="00A33676"/>
    <w:rsid w:val="00A40838"/>
    <w:rsid w:val="00A42E69"/>
    <w:rsid w:val="00A45CA7"/>
    <w:rsid w:val="00A51415"/>
    <w:rsid w:val="00A6014E"/>
    <w:rsid w:val="00A60356"/>
    <w:rsid w:val="00A71B3E"/>
    <w:rsid w:val="00A80324"/>
    <w:rsid w:val="00A81DF1"/>
    <w:rsid w:val="00A90EF3"/>
    <w:rsid w:val="00AA7717"/>
    <w:rsid w:val="00AB131E"/>
    <w:rsid w:val="00AB142C"/>
    <w:rsid w:val="00AB644F"/>
    <w:rsid w:val="00AC0141"/>
    <w:rsid w:val="00AC3F5E"/>
    <w:rsid w:val="00AD2F86"/>
    <w:rsid w:val="00AE7ACF"/>
    <w:rsid w:val="00B06409"/>
    <w:rsid w:val="00B06964"/>
    <w:rsid w:val="00B14509"/>
    <w:rsid w:val="00B1454D"/>
    <w:rsid w:val="00B17D66"/>
    <w:rsid w:val="00B35D3A"/>
    <w:rsid w:val="00B422F1"/>
    <w:rsid w:val="00B4652E"/>
    <w:rsid w:val="00B71531"/>
    <w:rsid w:val="00B7456C"/>
    <w:rsid w:val="00B84131"/>
    <w:rsid w:val="00B8630E"/>
    <w:rsid w:val="00B931F4"/>
    <w:rsid w:val="00B95573"/>
    <w:rsid w:val="00B96395"/>
    <w:rsid w:val="00BA2AF8"/>
    <w:rsid w:val="00BB2650"/>
    <w:rsid w:val="00BB5BDC"/>
    <w:rsid w:val="00BB7B76"/>
    <w:rsid w:val="00BD0A1C"/>
    <w:rsid w:val="00BD233D"/>
    <w:rsid w:val="00BF039C"/>
    <w:rsid w:val="00BF4EF0"/>
    <w:rsid w:val="00C02E44"/>
    <w:rsid w:val="00C1021F"/>
    <w:rsid w:val="00C147D2"/>
    <w:rsid w:val="00C2075F"/>
    <w:rsid w:val="00C23799"/>
    <w:rsid w:val="00C274C9"/>
    <w:rsid w:val="00C31E02"/>
    <w:rsid w:val="00C4770C"/>
    <w:rsid w:val="00C54291"/>
    <w:rsid w:val="00C57793"/>
    <w:rsid w:val="00C635AE"/>
    <w:rsid w:val="00C672C3"/>
    <w:rsid w:val="00C712B2"/>
    <w:rsid w:val="00C97FED"/>
    <w:rsid w:val="00CA1DBB"/>
    <w:rsid w:val="00CA2622"/>
    <w:rsid w:val="00CA7F2C"/>
    <w:rsid w:val="00CA7FF8"/>
    <w:rsid w:val="00CB5DE7"/>
    <w:rsid w:val="00CC068D"/>
    <w:rsid w:val="00CC4922"/>
    <w:rsid w:val="00CD1FF6"/>
    <w:rsid w:val="00CE25C7"/>
    <w:rsid w:val="00CE3335"/>
    <w:rsid w:val="00CE4849"/>
    <w:rsid w:val="00CE5C8E"/>
    <w:rsid w:val="00CE5F49"/>
    <w:rsid w:val="00D01626"/>
    <w:rsid w:val="00D23B58"/>
    <w:rsid w:val="00D33A4D"/>
    <w:rsid w:val="00D33F76"/>
    <w:rsid w:val="00D41F5E"/>
    <w:rsid w:val="00D43DC0"/>
    <w:rsid w:val="00D54E56"/>
    <w:rsid w:val="00D6407D"/>
    <w:rsid w:val="00D67B78"/>
    <w:rsid w:val="00D67CAC"/>
    <w:rsid w:val="00D76AE6"/>
    <w:rsid w:val="00D91444"/>
    <w:rsid w:val="00D93E78"/>
    <w:rsid w:val="00D9778D"/>
    <w:rsid w:val="00DA6FF9"/>
    <w:rsid w:val="00DB304F"/>
    <w:rsid w:val="00DB331E"/>
    <w:rsid w:val="00DC6E91"/>
    <w:rsid w:val="00DC700C"/>
    <w:rsid w:val="00DC7514"/>
    <w:rsid w:val="00DC7BE2"/>
    <w:rsid w:val="00DD3845"/>
    <w:rsid w:val="00E002F1"/>
    <w:rsid w:val="00E13A54"/>
    <w:rsid w:val="00E1687A"/>
    <w:rsid w:val="00E20A2E"/>
    <w:rsid w:val="00E277DE"/>
    <w:rsid w:val="00E27EE9"/>
    <w:rsid w:val="00E31969"/>
    <w:rsid w:val="00E3239D"/>
    <w:rsid w:val="00E3439B"/>
    <w:rsid w:val="00E42C5F"/>
    <w:rsid w:val="00E65A1B"/>
    <w:rsid w:val="00E70AA6"/>
    <w:rsid w:val="00E72F1F"/>
    <w:rsid w:val="00E74DB0"/>
    <w:rsid w:val="00E8718B"/>
    <w:rsid w:val="00E934AB"/>
    <w:rsid w:val="00EA06AC"/>
    <w:rsid w:val="00EA08BF"/>
    <w:rsid w:val="00EA24FB"/>
    <w:rsid w:val="00EB13BE"/>
    <w:rsid w:val="00EB3204"/>
    <w:rsid w:val="00EB50BA"/>
    <w:rsid w:val="00EC33F3"/>
    <w:rsid w:val="00EC3D33"/>
    <w:rsid w:val="00ED1D45"/>
    <w:rsid w:val="00ED302A"/>
    <w:rsid w:val="00ED3A42"/>
    <w:rsid w:val="00EE02BC"/>
    <w:rsid w:val="00EE6970"/>
    <w:rsid w:val="00EF38D0"/>
    <w:rsid w:val="00EF3DDF"/>
    <w:rsid w:val="00EF4A8C"/>
    <w:rsid w:val="00F07AFF"/>
    <w:rsid w:val="00F2678C"/>
    <w:rsid w:val="00F27B38"/>
    <w:rsid w:val="00F40278"/>
    <w:rsid w:val="00F41832"/>
    <w:rsid w:val="00F41ABD"/>
    <w:rsid w:val="00F56988"/>
    <w:rsid w:val="00F620FB"/>
    <w:rsid w:val="00F6571F"/>
    <w:rsid w:val="00F8255C"/>
    <w:rsid w:val="00F8687E"/>
    <w:rsid w:val="00F90E20"/>
    <w:rsid w:val="00F93331"/>
    <w:rsid w:val="00F95549"/>
    <w:rsid w:val="00F969A0"/>
    <w:rsid w:val="00FA1E24"/>
    <w:rsid w:val="00FA24FB"/>
    <w:rsid w:val="00FA632B"/>
    <w:rsid w:val="00FB38EA"/>
    <w:rsid w:val="00FB5E0F"/>
    <w:rsid w:val="00FB6AFF"/>
    <w:rsid w:val="00FC4D8F"/>
    <w:rsid w:val="00FD06D3"/>
    <w:rsid w:val="00FE3157"/>
    <w:rsid w:val="00FE6865"/>
    <w:rsid w:val="00FE6993"/>
    <w:rsid w:val="0CF04679"/>
    <w:rsid w:val="12650051"/>
    <w:rsid w:val="14BF52AE"/>
    <w:rsid w:val="19B95149"/>
    <w:rsid w:val="1D087D62"/>
    <w:rsid w:val="1E02062B"/>
    <w:rsid w:val="1E784015"/>
    <w:rsid w:val="2849180B"/>
    <w:rsid w:val="2986587C"/>
    <w:rsid w:val="3C3641D7"/>
    <w:rsid w:val="430C6EF0"/>
    <w:rsid w:val="43111B1E"/>
    <w:rsid w:val="44BF3467"/>
    <w:rsid w:val="4ACA4E0E"/>
    <w:rsid w:val="53316007"/>
    <w:rsid w:val="599E1210"/>
    <w:rsid w:val="659D3161"/>
    <w:rsid w:val="68A800E7"/>
    <w:rsid w:val="6A4078A5"/>
    <w:rsid w:val="6EFB416C"/>
    <w:rsid w:val="72EF7802"/>
    <w:rsid w:val="735E6E4E"/>
    <w:rsid w:val="759F0B41"/>
    <w:rsid w:val="7693043F"/>
    <w:rsid w:val="7A7B263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0" w:semiHidden="0" w:name="footnote reference"/>
    <w:lsdException w:qFormat="1"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qFormat/>
    <w:uiPriority w:val="9"/>
    <w:pPr>
      <w:ind w:firstLine="600" w:firstLineChars="200"/>
      <w:outlineLvl w:val="0"/>
    </w:pPr>
    <w:rPr>
      <w:rFonts w:ascii="黑体" w:hAnsi="黑体" w:eastAsia="黑体" w:cs="宋体"/>
      <w:color w:val="000000"/>
      <w:kern w:val="0"/>
      <w:sz w:val="30"/>
      <w:szCs w:val="30"/>
    </w:rPr>
  </w:style>
  <w:style w:type="paragraph" w:styleId="3">
    <w:name w:val="heading 2"/>
    <w:basedOn w:val="1"/>
    <w:next w:val="1"/>
    <w:link w:val="29"/>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0"/>
    <w:qFormat/>
    <w:uiPriority w:val="9"/>
    <w:pPr>
      <w:ind w:right="300"/>
      <w:outlineLvl w:val="2"/>
    </w:pPr>
    <w:rPr>
      <w:rFonts w:ascii="仿宋_GB2312" w:hAnsi="Calibri" w:eastAsia="仿宋_GB2312" w:cs="Times New Roman"/>
      <w:sz w:val="30"/>
      <w:szCs w:val="30"/>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Document Map"/>
    <w:basedOn w:val="1"/>
    <w:link w:val="34"/>
    <w:unhideWhenUsed/>
    <w:qFormat/>
    <w:uiPriority w:val="0"/>
    <w:rPr>
      <w:rFonts w:ascii="宋体"/>
      <w:sz w:val="18"/>
      <w:szCs w:val="18"/>
    </w:rPr>
  </w:style>
  <w:style w:type="paragraph" w:styleId="6">
    <w:name w:val="annotation text"/>
    <w:basedOn w:val="1"/>
    <w:link w:val="26"/>
    <w:unhideWhenUsed/>
    <w:qFormat/>
    <w:uiPriority w:val="99"/>
    <w:pPr>
      <w:jc w:val="left"/>
    </w:pPr>
    <w:rPr>
      <w:rFonts w:ascii="Calibri" w:hAnsi="Calibri" w:eastAsia="宋体" w:cs="Times New Roman"/>
    </w:rPr>
  </w:style>
  <w:style w:type="paragraph" w:styleId="7">
    <w:name w:val="Balloon Text"/>
    <w:basedOn w:val="1"/>
    <w:link w:val="22"/>
    <w:unhideWhenUsed/>
    <w:qFormat/>
    <w:uiPriority w:val="0"/>
    <w:rPr>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32"/>
    <w:semiHidden/>
    <w:qFormat/>
    <w:uiPriority w:val="0"/>
    <w:pPr>
      <w:snapToGrid w:val="0"/>
      <w:jc w:val="left"/>
    </w:pPr>
    <w:rPr>
      <w:rFonts w:ascii="Times New Roman" w:hAnsi="Times New Roman"/>
      <w:sz w:val="18"/>
      <w:szCs w:val="18"/>
    </w:rPr>
  </w:style>
  <w:style w:type="paragraph" w:styleId="11">
    <w:name w:val="HTML Preformatted"/>
    <w:basedOn w:val="1"/>
    <w:link w:val="2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14">
    <w:name w:val="Table Grid"/>
    <w:basedOn w:val="13"/>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6">
    <w:name w:val="Hyperlink"/>
    <w:basedOn w:val="15"/>
    <w:unhideWhenUsed/>
    <w:qFormat/>
    <w:uiPriority w:val="99"/>
    <w:rPr>
      <w:rFonts w:hint="default" w:ascii="ˎ̥" w:hAnsi="ˎ̥"/>
      <w:color w:val="0453CC"/>
      <w:sz w:val="20"/>
      <w:szCs w:val="20"/>
      <w:u w:val="none"/>
    </w:rPr>
  </w:style>
  <w:style w:type="character" w:styleId="17">
    <w:name w:val="annotation reference"/>
    <w:basedOn w:val="15"/>
    <w:semiHidden/>
    <w:unhideWhenUsed/>
    <w:qFormat/>
    <w:uiPriority w:val="0"/>
    <w:rPr>
      <w:sz w:val="21"/>
      <w:szCs w:val="21"/>
    </w:rPr>
  </w:style>
  <w:style w:type="character" w:styleId="18">
    <w:name w:val="footnote reference"/>
    <w:unhideWhenUsed/>
    <w:qFormat/>
    <w:uiPriority w:val="0"/>
    <w:rPr>
      <w:rFonts w:ascii="Times New Roman" w:hAnsi="Times New Roman" w:cs="Times New Roman"/>
      <w:vertAlign w:val="superscript"/>
    </w:rPr>
  </w:style>
  <w:style w:type="character" w:customStyle="1" w:styleId="19">
    <w:name w:val="页眉 Char"/>
    <w:basedOn w:val="15"/>
    <w:link w:val="9"/>
    <w:qFormat/>
    <w:uiPriority w:val="99"/>
    <w:rPr>
      <w:sz w:val="18"/>
      <w:szCs w:val="18"/>
    </w:rPr>
  </w:style>
  <w:style w:type="character" w:customStyle="1" w:styleId="20">
    <w:name w:val="页脚 Char"/>
    <w:basedOn w:val="15"/>
    <w:link w:val="8"/>
    <w:qFormat/>
    <w:uiPriority w:val="99"/>
    <w:rPr>
      <w:sz w:val="18"/>
      <w:szCs w:val="18"/>
    </w:rPr>
  </w:style>
  <w:style w:type="paragraph" w:styleId="21">
    <w:name w:val="List Paragraph"/>
    <w:basedOn w:val="1"/>
    <w:qFormat/>
    <w:uiPriority w:val="34"/>
    <w:pPr>
      <w:ind w:firstLine="420" w:firstLineChars="200"/>
    </w:pPr>
  </w:style>
  <w:style w:type="character" w:customStyle="1" w:styleId="22">
    <w:name w:val="批注框文本 Char"/>
    <w:basedOn w:val="15"/>
    <w:link w:val="7"/>
    <w:semiHidden/>
    <w:qFormat/>
    <w:uiPriority w:val="0"/>
    <w:rPr>
      <w:sz w:val="18"/>
      <w:szCs w:val="18"/>
    </w:rPr>
  </w:style>
  <w:style w:type="character" w:customStyle="1" w:styleId="23">
    <w:name w:val="HTML 预设格式 Char"/>
    <w:basedOn w:val="15"/>
    <w:link w:val="11"/>
    <w:qFormat/>
    <w:uiPriority w:val="99"/>
    <w:rPr>
      <w:rFonts w:ascii="宋体" w:hAnsi="宋体" w:eastAsia="宋体" w:cs="宋体"/>
      <w:kern w:val="0"/>
      <w:sz w:val="24"/>
      <w:szCs w:val="24"/>
    </w:rPr>
  </w:style>
  <w:style w:type="paragraph" w:customStyle="1" w:styleId="24">
    <w:name w:val="Default"/>
    <w:qFormat/>
    <w:uiPriority w:val="99"/>
    <w:pPr>
      <w:widowControl w:val="0"/>
      <w:autoSpaceDE w:val="0"/>
      <w:autoSpaceDN w:val="0"/>
      <w:adjustRightInd w:val="0"/>
    </w:pPr>
    <w:rPr>
      <w:rFonts w:ascii="仿宋_GB2312" w:hAnsi="Calibri" w:eastAsia="仿宋_GB2312" w:cs="仿宋_GB2312"/>
      <w:color w:val="000000"/>
      <w:kern w:val="0"/>
      <w:sz w:val="24"/>
      <w:szCs w:val="24"/>
      <w:lang w:val="en-US" w:eastAsia="zh-CN" w:bidi="ar-SA"/>
    </w:rPr>
  </w:style>
  <w:style w:type="paragraph" w:customStyle="1" w:styleId="25">
    <w:name w:val="juzhong"/>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26">
    <w:name w:val="批注文字 Char"/>
    <w:basedOn w:val="15"/>
    <w:link w:val="6"/>
    <w:semiHidden/>
    <w:qFormat/>
    <w:uiPriority w:val="0"/>
    <w:rPr>
      <w:rFonts w:ascii="Calibri" w:hAnsi="Calibri" w:eastAsia="宋体" w:cs="Times New Roman"/>
    </w:rPr>
  </w:style>
  <w:style w:type="paragraph" w:customStyle="1" w:styleId="27">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8">
    <w:name w:val="标题 1 Char"/>
    <w:basedOn w:val="15"/>
    <w:link w:val="2"/>
    <w:qFormat/>
    <w:uiPriority w:val="9"/>
    <w:rPr>
      <w:rFonts w:ascii="黑体" w:hAnsi="黑体" w:eastAsia="黑体" w:cs="宋体"/>
      <w:color w:val="000000"/>
      <w:kern w:val="0"/>
      <w:sz w:val="30"/>
      <w:szCs w:val="30"/>
    </w:rPr>
  </w:style>
  <w:style w:type="character" w:customStyle="1" w:styleId="29">
    <w:name w:val="标题 2 Char"/>
    <w:basedOn w:val="15"/>
    <w:link w:val="3"/>
    <w:qFormat/>
    <w:uiPriority w:val="0"/>
    <w:rPr>
      <w:rFonts w:ascii="Cambria" w:hAnsi="Cambria" w:eastAsia="宋体" w:cs="Times New Roman"/>
      <w:b/>
      <w:bCs/>
      <w:sz w:val="32"/>
      <w:szCs w:val="32"/>
    </w:rPr>
  </w:style>
  <w:style w:type="character" w:customStyle="1" w:styleId="30">
    <w:name w:val="标题 3 Char"/>
    <w:basedOn w:val="15"/>
    <w:link w:val="4"/>
    <w:qFormat/>
    <w:uiPriority w:val="9"/>
    <w:rPr>
      <w:rFonts w:ascii="仿宋_GB2312" w:hAnsi="Calibri" w:eastAsia="仿宋_GB2312" w:cs="Times New Roman"/>
      <w:sz w:val="30"/>
      <w:szCs w:val="30"/>
    </w:rPr>
  </w:style>
  <w:style w:type="character" w:customStyle="1" w:styleId="31">
    <w:name w:val="脚注文本 Char"/>
    <w:basedOn w:val="15"/>
    <w:semiHidden/>
    <w:qFormat/>
    <w:uiPriority w:val="99"/>
    <w:rPr>
      <w:kern w:val="2"/>
      <w:sz w:val="18"/>
      <w:szCs w:val="18"/>
    </w:rPr>
  </w:style>
  <w:style w:type="character" w:customStyle="1" w:styleId="32">
    <w:name w:val="脚注文本 Char1"/>
    <w:basedOn w:val="15"/>
    <w:link w:val="10"/>
    <w:semiHidden/>
    <w:qFormat/>
    <w:uiPriority w:val="0"/>
    <w:rPr>
      <w:rFonts w:ascii="Times New Roman" w:hAnsi="Times New Roman"/>
      <w:sz w:val="18"/>
      <w:szCs w:val="18"/>
    </w:rPr>
  </w:style>
  <w:style w:type="character" w:customStyle="1" w:styleId="33">
    <w:name w:val="标题 4 Char Char"/>
    <w:qFormat/>
    <w:uiPriority w:val="0"/>
    <w:rPr>
      <w:rFonts w:ascii="Calibri" w:hAnsi="Calibri"/>
      <w:b/>
      <w:bCs/>
      <w:sz w:val="28"/>
      <w:szCs w:val="28"/>
      <w:lang w:eastAsia="en-US" w:bidi="en-US"/>
    </w:rPr>
  </w:style>
  <w:style w:type="character" w:customStyle="1" w:styleId="34">
    <w:name w:val="文档结构图 Char"/>
    <w:basedOn w:val="15"/>
    <w:link w:val="5"/>
    <w:qFormat/>
    <w:uiPriority w:val="0"/>
    <w:rPr>
      <w:rFonts w:ascii="宋体"/>
      <w:sz w:val="18"/>
      <w:szCs w:val="18"/>
    </w:rPr>
  </w:style>
  <w:style w:type="character" w:customStyle="1" w:styleId="35">
    <w:name w:val="批注文字 Char1"/>
    <w:basedOn w:val="15"/>
    <w:semiHidden/>
    <w:qFormat/>
    <w:uiPriority w:val="99"/>
    <w:rPr>
      <w:kern w:val="2"/>
      <w:sz w:val="21"/>
      <w:szCs w:val="22"/>
    </w:rPr>
  </w:style>
  <w:style w:type="character" w:customStyle="1" w:styleId="36">
    <w:name w:val="Intense Emphasis"/>
    <w:basedOn w:val="15"/>
    <w:qFormat/>
    <w:uiPriority w:val="21"/>
    <w:rPr>
      <w:b/>
      <w:bCs/>
      <w:i/>
      <w:iCs/>
      <w:color w:val="4F81BD"/>
    </w:rPr>
  </w:style>
  <w:style w:type="character" w:customStyle="1" w:styleId="37">
    <w:name w:val="文档结构图 Char1"/>
    <w:basedOn w:val="15"/>
    <w:semiHidden/>
    <w:qFormat/>
    <w:uiPriority w:val="99"/>
    <w:rPr>
      <w:rFonts w:ascii="宋体" w:eastAsia="宋体"/>
      <w:sz w:val="18"/>
      <w:szCs w:val="18"/>
    </w:rPr>
  </w:style>
  <w:style w:type="character" w:customStyle="1" w:styleId="38">
    <w:name w:val="脚注文本 Char2"/>
    <w:basedOn w:val="15"/>
    <w:semiHidden/>
    <w:qFormat/>
    <w:uiPriority w:val="99"/>
    <w:rPr>
      <w:sz w:val="18"/>
      <w:szCs w:val="18"/>
    </w:rPr>
  </w:style>
  <w:style w:type="paragraph" w:customStyle="1" w:styleId="39">
    <w:name w:val="列出段落1"/>
    <w:basedOn w:val="1"/>
    <w:qFormat/>
    <w:uiPriority w:val="34"/>
    <w:pPr>
      <w:ind w:firstLine="420" w:firstLineChars="200"/>
    </w:pPr>
    <w:rPr>
      <w:rFonts w:ascii="Calibri" w:hAnsi="Calibri" w:eastAsia="宋体" w:cs="Times New Roman"/>
    </w:rPr>
  </w:style>
  <w:style w:type="paragraph" w:customStyle="1" w:styleId="40">
    <w:name w:val="列出段落4"/>
    <w:basedOn w:val="1"/>
    <w:qFormat/>
    <w:uiPriority w:val="0"/>
    <w:pPr>
      <w:ind w:firstLine="200" w:firstLineChars="200"/>
    </w:pPr>
    <w:rPr>
      <w:rFonts w:ascii="Calibri" w:hAnsi="Calibri" w:eastAsia="宋体" w:cs="Times New Roman"/>
    </w:rPr>
  </w:style>
  <w:style w:type="paragraph" w:customStyle="1" w:styleId="41">
    <w:name w:val="列出段落3"/>
    <w:basedOn w:val="1"/>
    <w:qFormat/>
    <w:uiPriority w:val="0"/>
    <w:pPr>
      <w:ind w:firstLine="420" w:firstLineChars="200"/>
    </w:pPr>
    <w:rPr>
      <w:rFonts w:ascii="Times New Roman" w:hAnsi="Times New Roman" w:eastAsia="宋体" w:cs="Times New Roman"/>
      <w:szCs w:val="24"/>
    </w:rPr>
  </w:style>
  <w:style w:type="paragraph" w:customStyle="1" w:styleId="42">
    <w:name w:val="p0"/>
    <w:basedOn w:val="1"/>
    <w:qFormat/>
    <w:uiPriority w:val="0"/>
    <w:pPr>
      <w:widowControl/>
    </w:pPr>
    <w:rPr>
      <w:rFonts w:ascii="Calibri" w:hAnsi="Calibri" w:eastAsia="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A08C8B-A4B1-4533-B28F-12D951904F37}">
  <ds:schemaRefs/>
</ds:datastoreItem>
</file>

<file path=docProps/app.xml><?xml version="1.0" encoding="utf-8"?>
<Properties xmlns="http://schemas.openxmlformats.org/officeDocument/2006/extended-properties" xmlns:vt="http://schemas.openxmlformats.org/officeDocument/2006/docPropsVTypes">
  <Template>Normal</Template>
  <Pages>14</Pages>
  <Words>855</Words>
  <Characters>4876</Characters>
  <Lines>40</Lines>
  <Paragraphs>11</Paragraphs>
  <TotalTime>0</TotalTime>
  <ScaleCrop>false</ScaleCrop>
  <LinksUpToDate>false</LinksUpToDate>
  <CharactersWithSpaces>5720</CharactersWithSpaces>
  <Application>WPS Office_11.8.2.11542_F1E327BC-269C-435d-A152-05C5408002CA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2020-02-26T06:12:00Z</dcterms:created>
  <dc:creator>裴建君2</dc:creator>
  <cp:lastModifiedBy>user</cp:lastModifiedBy>
  <cp:lastPrinted>2017-11-24T00:22:00Z</cp:lastPrinted>
  <dcterms:modified xsi:type="dcterms:W3CDTF">2024-08-15T09:21:56Z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2052-11.8.2.11542</vt:lpwstr>
  </property>
  <property fmtid="{D5CDD505-2E9C-101B-9397-08002B2CF9AE}" pid="3" name="ICV">
    <vt:lpwstr>0A01CD0F96E04D6AB1619A79412BABE6</vt:lpwstr>
  </property>
</Properties>
</file>