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center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编号：5700</w:t>
      </w:r>
      <w:r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  <w:t>2</w:t>
      </w:r>
      <w:r>
        <w:rPr>
          <w:rFonts w:ascii="Times New Roman" w:hAnsi="Times New Roman" w:eastAsia="黑体" w:cs="Times New Roman"/>
          <w:sz w:val="48"/>
          <w:szCs w:val="48"/>
        </w:rPr>
        <w:t>-</w:t>
      </w:r>
      <w:r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  <w:t>2</w:t>
      </w:r>
      <w:r>
        <w:rPr>
          <w:rFonts w:ascii="Times New Roman" w:hAnsi="Times New Roman" w:eastAsia="黑体" w:cs="Times New Roman"/>
          <w:sz w:val="48"/>
          <w:szCs w:val="48"/>
        </w:rPr>
        <w:t xml:space="preserve">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_x0000_i1025" o:spt="75" type="#_x0000_t75" style="height:69.6pt;width:86.9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 xml:space="preserve">“出口收汇事前审核”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bookmarkStart w:id="0" w:name="_GoBack"/>
      <w:bookmarkEnd w:id="0"/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出口收汇事前审核</w:t>
      </w:r>
    </w:p>
    <w:p>
      <w:pPr>
        <w:rPr>
          <w:rFonts w:ascii="Times New Roman" w:hAnsi="Times New Roman" w:eastAsia="黑体" w:cs="Times New Roman"/>
          <w:sz w:val="30"/>
          <w:szCs w:val="30"/>
        </w:rPr>
      </w:pPr>
    </w:p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一、办理依据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（二）《国家外汇管理局关于印发货物贸易外汇管理法规有关问题的通知》（汇发〔2012〕38号）；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三</w:t>
      </w:r>
      <w:r>
        <w:rPr>
          <w:rFonts w:ascii="Times New Roman" w:hAnsi="Times New Roman" w:eastAsia="仿宋_GB2312" w:cs="Times New Roman"/>
          <w:sz w:val="30"/>
          <w:szCs w:val="30"/>
        </w:rPr>
        <w:t>）《国家外汇管理局关于进一步促进跨境贸易投资便利化的通知》（汇发〔2019〕28号）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（四）《国家外汇管理局关于优化外汇管理 支持涉外业务发展的通知》（汇发〔2020〕8号）；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（五）《国家外汇管理局关于印发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〈</w:t>
      </w:r>
      <w:r>
        <w:rPr>
          <w:rFonts w:ascii="Times New Roman" w:hAnsi="Times New Roman" w:eastAsia="仿宋_GB2312" w:cs="Times New Roman"/>
          <w:sz w:val="30"/>
          <w:szCs w:val="30"/>
        </w:rPr>
        <w:t>经常项目外汇业务指引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2020年版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）〉</w:t>
      </w:r>
      <w:r>
        <w:rPr>
          <w:rFonts w:ascii="Times New Roman" w:hAnsi="Times New Roman" w:eastAsia="仿宋_GB2312" w:cs="Times New Roman"/>
          <w:sz w:val="30"/>
          <w:szCs w:val="30"/>
        </w:rPr>
        <w:t>的通知》（汇发〔2020〕14号）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</w:t>
      </w:r>
      <w:r>
        <w:rPr>
          <w:rFonts w:ascii="Times New Roman" w:hAnsi="Times New Roman" w:eastAsia="黑体" w:cs="Times New Roman"/>
          <w:sz w:val="30"/>
          <w:szCs w:val="30"/>
        </w:rPr>
        <w:t>、受理机构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和</w:t>
      </w:r>
      <w:r>
        <w:rPr>
          <w:rFonts w:ascii="Times New Roman" w:hAnsi="Times New Roman" w:eastAsia="黑体" w:cs="Times New Roman"/>
          <w:sz w:val="30"/>
          <w:szCs w:val="30"/>
        </w:rPr>
        <w:t>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湖南省分局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服务对象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辖内进出口企业。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四</w:t>
      </w:r>
      <w:r>
        <w:rPr>
          <w:rFonts w:ascii="Times New Roman" w:hAnsi="Times New Roman" w:eastAsia="黑体" w:cs="Times New Roman"/>
          <w:sz w:val="30"/>
          <w:szCs w:val="30"/>
        </w:rPr>
        <w:t>、审批数量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五</w:t>
      </w:r>
      <w:r>
        <w:rPr>
          <w:rFonts w:ascii="Times New Roman" w:hAnsi="Times New Roman" w:eastAsia="黑体" w:cs="Times New Roman"/>
          <w:sz w:val="30"/>
          <w:szCs w:val="30"/>
        </w:rPr>
        <w:t>、办事条件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1.C类企业；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2.超过收汇额度的B类企业；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3.发生90天以上（不含）延期收款的B类企业；</w:t>
      </w:r>
    </w:p>
    <w:p>
      <w:pPr>
        <w:ind w:firstLine="600" w:firstLineChars="200"/>
        <w:rPr>
          <w:rFonts w:hint="eastAsia" w:ascii="仿宋_GB2312" w:hAnsi="Times New Roman" w:eastAsia="仿宋_GB2312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办理</w:t>
      </w:r>
      <w:r>
        <w:rPr>
          <w:rFonts w:ascii="Times New Roman" w:hAnsi="Times New Roman" w:eastAsia="仿宋_GB2312" w:cs="Times New Roman"/>
          <w:sz w:val="30"/>
          <w:szCs w:val="30"/>
        </w:rPr>
        <w:t>退汇日期与原收、付款日期间隔在180天以上（不含）或由于特殊情况无法原路退回的退汇业务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时，</w:t>
      </w:r>
      <w:r>
        <w:rPr>
          <w:rFonts w:ascii="Times New Roman" w:hAnsi="Times New Roman" w:eastAsia="仿宋_GB2312" w:cs="Times New Roman"/>
          <w:sz w:val="30"/>
          <w:szCs w:val="30"/>
        </w:rPr>
        <w:t>A类企业单笔等值5万美元以上（不含）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或</w:t>
      </w:r>
      <w:r>
        <w:rPr>
          <w:rFonts w:ascii="Times New Roman" w:hAnsi="Times New Roman" w:eastAsia="仿宋_GB2312" w:cs="Times New Roman"/>
          <w:sz w:val="30"/>
          <w:szCs w:val="30"/>
        </w:rPr>
        <w:t>B、C类企业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；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贸易外汇收支便利化试点企业免于事前登记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;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0"/>
          <w:szCs w:val="30"/>
        </w:rPr>
        <w:t>5.需要将待核查账户内误入的资本项目资金结汇或划出的企业；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办理新出现的贸易新业态外汇收入业务的企业。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（二）具备或符合如下条件的，准予批准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1.对于C类企业：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交易合规：C类企业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不得签订包含90天以上（不含）收汇条款的出口合同；不得办理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  <w:r>
        <w:rPr>
          <w:rFonts w:ascii="Times New Roman" w:hAnsi="Times New Roman" w:eastAsia="仿宋_GB2312" w:cs="Times New Roman"/>
          <w:sz w:val="30"/>
          <w:szCs w:val="30"/>
        </w:rPr>
        <w:br w:type="textWrapping"/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 2.对于超过收汇额度的B类企业：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交易合规：B类企业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不得办理离岸转手买卖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3.对于90天（不含）以上延期收款的B类企业：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交易合规：</w:t>
      </w:r>
      <w:r>
        <w:rPr>
          <w:rFonts w:ascii="Times New Roman" w:hAnsi="Times New Roman" w:eastAsia="仿宋_GB2312" w:cs="Times New Roman"/>
          <w:sz w:val="30"/>
          <w:szCs w:val="30"/>
        </w:rPr>
        <w:t>在分类监管有效期内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，此前导致降级的情况已改善或纠正，</w:t>
      </w:r>
      <w:r>
        <w:rPr>
          <w:rFonts w:ascii="Times New Roman" w:hAnsi="Times New Roman" w:eastAsia="仿宋_GB2312" w:cs="Times New Roman"/>
          <w:sz w:val="30"/>
          <w:szCs w:val="30"/>
        </w:rPr>
        <w:t>且没有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发生法规规定情形</w:t>
      </w:r>
      <w:r>
        <w:rPr>
          <w:rFonts w:ascii="Times New Roman" w:hAnsi="Times New Roman" w:eastAsia="仿宋_GB2312" w:cs="Times New Roman"/>
          <w:sz w:val="30"/>
          <w:szCs w:val="30"/>
        </w:rPr>
        <w:t>的，自列入B类之日起6个月后，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</w:t>
      </w:r>
      <w:r>
        <w:rPr>
          <w:rFonts w:ascii="Times New Roman" w:hAnsi="Times New Roman" w:eastAsia="仿宋_GB2312" w:cs="Times New Roman"/>
          <w:sz w:val="30"/>
          <w:szCs w:val="30"/>
        </w:rPr>
        <w:t>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外汇局</w:t>
      </w:r>
      <w:r>
        <w:rPr>
          <w:rFonts w:ascii="Times New Roman" w:hAnsi="Times New Roman" w:eastAsia="仿宋_GB2312" w:cs="Times New Roman"/>
          <w:sz w:val="30"/>
          <w:szCs w:val="30"/>
        </w:rPr>
        <w:t>登记办理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该</w:t>
      </w:r>
      <w:r>
        <w:rPr>
          <w:rFonts w:ascii="Times New Roman" w:hAnsi="Times New Roman" w:eastAsia="仿宋_GB2312" w:cs="Times New Roman"/>
          <w:sz w:val="30"/>
          <w:szCs w:val="30"/>
        </w:rPr>
        <w:t>业务。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4.对于超期限或无法原路退汇的企业：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5.对于需要将待核查账户内误入的资本项目资金结汇或划出的企业：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禁止性要求：1.申请材料不齐全，不符合法规规定。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2.申请业务不具有真实、合法的交易背景。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六</w:t>
      </w:r>
      <w:r>
        <w:rPr>
          <w:rFonts w:ascii="Times New Roman" w:hAnsi="Times New Roman" w:eastAsia="黑体" w:cs="Times New Roman"/>
          <w:sz w:val="30"/>
          <w:szCs w:val="30"/>
        </w:rPr>
        <w:t>、申请材料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（一）C类企业出口收汇登记申请材料清单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94"/>
        <w:gridCol w:w="1276"/>
        <w:gridCol w:w="457"/>
        <w:gridCol w:w="819"/>
        <w:gridCol w:w="2934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加盖企业公章的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说明需登记的事项和具体内容。对于贸易付汇的退汇收入，应在书面申请中具体说明退汇原因以及退汇同时是否发生货物退运。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对于代理出口业务，代理方为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类企业的，应当按规定办理贸易外汇收入登记。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收汇凭证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，应提交出口合同；2.对于贸易付汇的退汇收入，因错误汇出以外的其他原因产生的，提交原进口合同。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；2.因汇路不畅需要使用外币现钞结算的，办理外币现钞结汇业务登记时应提交；3.发生货物退运而产生贸易付汇的退汇收入时应提供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（二）超过收汇额度的B类企业出口收汇登记申请材料清单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717"/>
        <w:gridCol w:w="962"/>
        <w:gridCol w:w="457"/>
        <w:gridCol w:w="931"/>
        <w:gridCol w:w="2447"/>
        <w:gridCol w:w="1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加盖企业公章的原件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说明为B类企业及具有超过可收汇额度收汇需要。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对于代理业务，代理方为B类企业且可收汇额度不足的，应当按规定办理贸易外汇收入登记。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可收汇额度不足的证明材料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47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汇凭证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，应提交出口合同；2.对于贸易付汇的退汇收入，因错误汇出以外的其他原因产生的，提交原进口合同。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；2.因汇路不畅需要使用外币现钞结算的，办理外币现钞结汇业务登记时应提交；3.发生货物退运而产生贸易付汇的退汇收入时应提供。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（三）90天以上延期收款的B类企业出口收汇登记申请材料清单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1985"/>
        <w:gridCol w:w="567"/>
        <w:gridCol w:w="850"/>
        <w:gridCol w:w="184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加盖企业公章的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出口合同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出口货物报关单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货物不报关的，可提供运输单据等其他材料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需90天以上延期收款的证明材料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（四）超期限或无法原路退汇的企业收汇登记申请材料清单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1368"/>
        <w:gridCol w:w="475"/>
        <w:gridCol w:w="992"/>
        <w:gridCol w:w="1560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加盖企业公章的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说明需要登记的具体内容，超期限或无法原路退汇的原因，退汇同时是否发生货物退运。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超期限或无法原路退汇的证明材料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收入未进待核查账户的，提交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电文等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发生货物退运时提供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原进口合同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因错误汇出以外其他原因产生的贸易付汇退汇，提供原进口合同。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错汇入</w:t>
      </w:r>
      <w:r>
        <w:rPr>
          <w:rFonts w:ascii="Times New Roman" w:hAnsi="Times New Roman" w:eastAsia="仿宋_GB2312" w:cs="Times New Roman"/>
          <w:sz w:val="30"/>
          <w:szCs w:val="30"/>
        </w:rPr>
        <w:t>待核查账户的资本项目资金结汇或划出登记申请材料清单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567"/>
        <w:gridCol w:w="851"/>
        <w:gridCol w:w="240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加盖企业公章的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说明需登记的事项和具体内容以及资本项目外汇账户账号。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收汇凭证和资金来源证明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新出现的贸易新业态出口收汇登记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709"/>
        <w:gridCol w:w="1134"/>
        <w:gridCol w:w="1701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加盖企业公章的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明登记业务真实性和合理性的材料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七</w:t>
      </w:r>
      <w:r>
        <w:rPr>
          <w:rFonts w:ascii="Times New Roman" w:hAnsi="Times New Roman" w:eastAsia="黑体" w:cs="Times New Roman"/>
          <w:sz w:val="30"/>
          <w:szCs w:val="30"/>
        </w:rPr>
        <w:t>、申请接受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申请人可通过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国家外汇管理局湖南省分局经常项目管理处业务窗口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提交材料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八</w:t>
      </w:r>
      <w:r>
        <w:rPr>
          <w:rFonts w:ascii="Times New Roman" w:hAnsi="Times New Roman" w:eastAsia="黑体" w:cs="Times New Roman"/>
          <w:sz w:val="30"/>
          <w:szCs w:val="30"/>
        </w:rPr>
        <w:t>、基本办理流程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（一）申请人提交申请；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（二）决定是否予以受理；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（三）不属于本机构受理范围的，出具不予受理行政许可通知书； 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（四）属于本机构受理范围的，审核申请材料是否齐全或符合法定形式；材料不全或不符合法定形式的，一次性告知补正材料，并出具行政许可补正通知书；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（五）材料齐全的，依法予以受理，并出具行政许可受理通知书；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（六）不予许可的，做出不予许可的行政许可书面决定并说明理由；予以许可的，出具贸易外汇业务登记表。</w:t>
      </w:r>
    </w:p>
    <w:p>
      <w:pPr>
        <w:tabs>
          <w:tab w:val="left" w:pos="615"/>
        </w:tabs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九</w:t>
      </w:r>
      <w:r>
        <w:rPr>
          <w:rFonts w:ascii="Times New Roman" w:hAnsi="Times New Roman" w:eastAsia="黑体" w:cs="Times New Roman"/>
          <w:sz w:val="30"/>
          <w:szCs w:val="30"/>
        </w:rPr>
        <w:t>、办理方式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一般程序：申请、受理、审查、决定。</w:t>
      </w:r>
    </w:p>
    <w:p>
      <w:pPr>
        <w:tabs>
          <w:tab w:val="left" w:pos="615"/>
        </w:tabs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十、审批时限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一</w:t>
      </w:r>
      <w:r>
        <w:rPr>
          <w:rFonts w:ascii="Times New Roman" w:hAnsi="Times New Roman" w:eastAsia="黑体" w:cs="Times New Roman"/>
          <w:sz w:val="30"/>
          <w:szCs w:val="30"/>
        </w:rPr>
        <w:t>、审批收费依据及标准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</w:t>
      </w:r>
      <w:r>
        <w:rPr>
          <w:rFonts w:ascii="Times New Roman" w:hAnsi="Times New Roman" w:eastAsia="黑体" w:cs="Times New Roman"/>
          <w:sz w:val="30"/>
          <w:szCs w:val="30"/>
        </w:rPr>
        <w:t>、审批结果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外汇局向申请企业出具贸易外汇业务登记表。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三</w:t>
      </w:r>
      <w:r>
        <w:rPr>
          <w:rFonts w:ascii="Times New Roman" w:hAnsi="Times New Roman" w:eastAsia="黑体" w:cs="Times New Roman"/>
          <w:sz w:val="30"/>
          <w:szCs w:val="30"/>
        </w:rPr>
        <w:t>、结果送达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通过电话等方式通知申请企业，并通过现场领取或邮寄等方式将结果送达。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四</w:t>
      </w:r>
      <w:r>
        <w:rPr>
          <w:rFonts w:ascii="Times New Roman" w:hAnsi="Times New Roman" w:eastAsia="黑体" w:cs="Times New Roman"/>
          <w:sz w:val="30"/>
          <w:szCs w:val="30"/>
        </w:rPr>
        <w:t>、申请人权利和义务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widowControl/>
        <w:kinsoku w:val="0"/>
        <w:wordWrap/>
        <w:autoSpaceDE w:val="0"/>
        <w:autoSpaceDN w:val="0"/>
        <w:adjustRightInd/>
        <w:snapToGrid/>
        <w:spacing w:afterLines="50" w:line="560" w:lineRule="exact"/>
        <w:ind w:firstLine="600" w:firstLineChars="20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十五、</w:t>
      </w:r>
      <w:r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  <w:t>办理地点、时间及联系方式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办公地址：长沙市芙蓉区蔡锷中路2号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B座一楼政务大厅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办公时间：5月1日-9月30日：8:30-12:00；14:00-17:00;其他日期：8:30-12:00；14:30-17:30（法定节假日除外）。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联系电话：0731-84301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622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通讯地址：长沙市芙蓉区蔡锷中路2号中国人民银行长沙中心支行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B座一楼政务大厅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邮政编码：410005。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26" o:spid="_x0000_s1026" o:spt="116" type="#_x0000_t116" style="position:absolute;left:0pt;margin-left:-12.9pt;margin-top:26.45pt;height:73.8pt;width:101.35pt;z-index:251659264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申请人提出申请，并提交材料</w:t>
                  </w:r>
                </w:p>
              </w:txbxContent>
            </v:textbox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27" o:spid="_x0000_s1027" o:spt="32" type="#_x0000_t32" style="position:absolute;left:0pt;margin-left:39.75pt;margin-top:6.65pt;height:54.9pt;width:0.85pt;z-index:251668480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28" o:spid="_x0000_s1028" o:spt="32" type="#_x0000_t32" style="position:absolute;left:0pt;flip:x;margin-left:41.45pt;margin-top:21.05pt;height:0.05pt;width:232.15pt;z-index:251672576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_x0000_s1029" o:spid="_x0000_s1029" o:spt="1" style="position:absolute;left:0pt;margin-left:273.6pt;margin-top:1.6pt;height:33.7pt;width:146.45pt;z-index:251661312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0" o:spid="_x0000_s1030" o:spt="116" type="#_x0000_t116" style="position:absolute;left:0pt;margin-left:216.4pt;margin-top:371.2pt;height:53.15pt;width:180.85pt;z-index:251666432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1" o:spid="_x0000_s1031" o:spt="116" type="#_x0000_t116" style="position:absolute;left:0pt;margin-left:-3.1pt;margin-top:371.2pt;height:52.7pt;width:205.8pt;z-index:251667456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2" o:spid="_x0000_s1032" o:spt="32" type="#_x0000_t32" style="position:absolute;left:0pt;margin-left:122.1pt;margin-top:318.35pt;height:52.85pt;width:0.05pt;z-index:251675648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3" o:spid="_x0000_s1033" o:spt="32" type="#_x0000_t32" style="position:absolute;left:0pt;margin-left:179.6pt;margin-top:233pt;height:30.55pt;width:0.05pt;z-index:251673600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_x0000_s1034" o:spid="_x0000_s1034" o:spt="1" style="position:absolute;left:0pt;margin-left:81.7pt;margin-top:163.15pt;height:69.85pt;width:210.9pt;z-index:251664384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材料齐全的，依法予以受理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5" o:spid="_x0000_s1035" o:spt="32" type="#_x0000_t32" style="position:absolute;left:0pt;margin-left:81.7pt;margin-top:109.6pt;height:0.05pt;width:70.25pt;z-index:251670528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6" o:spid="_x0000_s1036" o:spt="32" type="#_x0000_t32" style="position:absolute;left:0pt;margin-left:88.45pt;margin-top:61.45pt;height:0.05pt;width:63.5pt;z-index:251669504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7" o:spid="_x0000_s1037" o:spt="4" type="#_x0000_t4" style="position:absolute;left:0pt;margin-left:-41.75pt;margin-top:30.35pt;height:106.45pt;width:163.9pt;z-index:251660288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接件并于5个工作日内作出是否受理决定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8" o:spid="_x0000_s1038" o:spt="32" type="#_x0000_t32" style="position:absolute;left:0pt;margin-left:247.8pt;margin-top:318.35pt;height:52.85pt;width:0.85pt;z-index:251674624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9" o:spid="_x0000_s1039" o:spt="4" type="#_x0000_t4" style="position:absolute;left:0pt;margin-left:93.35pt;margin-top:263.55pt;height:85.4pt;width:176.8pt;z-index:251665408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40" o:spid="_x0000_s1040" o:spt="32" type="#_x0000_t32" style="position:absolute;left:0pt;margin-left:40.6pt;margin-top:132.2pt;height:50.65pt;width:0.05pt;z-index:251676672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41" o:spid="_x0000_s1041" o:spt="32" type="#_x0000_t32" style="position:absolute;left:0pt;margin-left:40.6pt;margin-top:182.85pt;height:0.05pt;width:41.1pt;z-index:251677696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_x0000_s1042" o:spid="_x0000_s1042" o:spt="1" style="position:absolute;left:0pt;margin-left:151.95pt;margin-top:91.5pt;height:45.3pt;width:268.1pt;z-index:251663360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43" o:spid="_x0000_s1043" o:spt="32" type="#_x0000_t32" style="position:absolute;left:0pt;flip:y;margin-left:345.35pt;margin-top:4.1pt;height:44.75pt;width:0.05pt;z-index:251671552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_x0000_s1044" o:spid="_x0000_s1044" o:spt="1" style="position:absolute;left:0pt;margin-left:151.95pt;margin-top:48.85pt;height:25pt;width:268.1pt;z-index:251662336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rect>
        </w:pic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附录二（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材料示范文本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申请书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国家外汇管理局XX分（支）局：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br w:type="textWrapping"/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　　一、本次申请业务的基本情况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企业统一社会信用代码、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业务基本情况介绍、业务类别、结算方式、经办金融机构名称、币种和金额等。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二、申请事项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包括但不限于：需登记的事项，原因（如按法规规定需说明原因的）等其他内容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；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三、其他需说明的情况（如无，可不填写）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；</w: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ind w:firstLine="585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br w:type="textWrapping"/>
      </w:r>
    </w:p>
    <w:p>
      <w:pPr>
        <w:widowControl/>
        <w:spacing w:line="384" w:lineRule="auto"/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单位（盖章）：</w:t>
      </w:r>
    </w:p>
    <w:p>
      <w:pPr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      年  月  日</w:t>
      </w:r>
    </w:p>
    <w:p>
      <w:pPr>
        <w:widowControl/>
        <w:spacing w:line="384" w:lineRule="auto"/>
        <w:jc w:val="right"/>
        <w:rPr>
          <w:rFonts w:ascii="Times New Roman" w:hAnsi="Times New Roman" w:eastAsia="仿宋_GB2312" w:cs="Times New Roman"/>
          <w:kern w:val="0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  <w:highlight w:val="none"/>
          <w:lang w:eastAsia="zh-CN"/>
        </w:rPr>
        <w:t>企业联系人及联系电话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28C7DE"/>
    <w:multiLevelType w:val="singleLevel"/>
    <w:tmpl w:val="6628C7DE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8421CC7"/>
    <w:rsid w:val="43C17A3F"/>
    <w:rsid w:val="6F8364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2"/>
        <o:r id="V:Rule4" type="connector" idref="#_x0000_s1033"/>
        <o:r id="V:Rule5" type="connector" idref="#_x0000_s1035"/>
        <o:r id="V:Rule6" type="connector" idref="#_x0000_s1036"/>
        <o:r id="V:Rule7" type="connector" idref="#_x0000_s1038"/>
        <o:r id="V:Rule8" type="connector" idref="#_x0000_s1040"/>
        <o:r id="V:Rule9" type="connector" idref="#_x0000_s1041"/>
        <o:r id="V:Rule10" type="connector" idref="#_x0000_s104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735</Words>
  <Characters>4190</Characters>
  <Lines>34</Lines>
  <Paragraphs>9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2020-04-22T08:12:00Z</dcterms:created>
  <dc:creator>吴</dc:creator>
  <cp:lastModifiedBy>0</cp:lastModifiedBy>
  <cp:lastPrinted>2020-05-07T10:41:00Z</cp:lastPrinted>
  <dcterms:modified xsi:type="dcterms:W3CDTF">2022-05-23T08:19:06Z</dcterms:modified>
  <dc:title>出口收汇事前审核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943E771728B84DC397DE04F2EA76E39F</vt:lpwstr>
  </property>
</Properties>
</file>