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省级分局和计划单列市分局办理的继承财产转移购付汇核准</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【000171111005】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资本项目外汇资金购付汇核准【00017111100Y】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省级分局和计划单列市分局办理的继承财产转移购付汇核准【000171111005】</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1.省级分局和计划单列市分局办理的继承财产转移购付汇核准(00017111100501)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（1）《个人财产对外转移售付汇管理暂行办法》（中国人民银行公告〔2004〕第16号）第四条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（2）《个人财产对外转移售付汇管理暂行办法操作指引（试行）》（汇发〔2004〕118号文印发）</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（3）《国家税务总局 国家外汇管理局关于个人财产对外转移提交税收证明或者完税凭证有关问题的通知》（国税发〔2005〕13号）第二条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 外交部 公安部 监察部 司法部关于实施〈个人财产对外转移售付汇管理暂行办法〉有关问题的通知》（汇发〔2005〕9号）第一条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（6）《国家外汇管理局关于进一步改进和调整资本项目外汇管理政策的通知》（汇发〔2014〕2号）第六条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（7）《资本项目外汇业务指引（2024年版）》（汇发〔2024〕12号文印发）</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继承财产转移核准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申请人取得外国永久居留权、外国公民身份或港澳台地区居民身份。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申请汇出资金为申请人在取得外国永久居留权、外国公民身份或港澳台地区居民身份之前在境内拥有的合法财产变现。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申请汇出资金不属于司法、监察等部门依法限制对外转移的财产变现。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涉及国家公职人员（根据《中华人民共和国监察法》，国家公职人员包括公务员，以及参照《中华人民共和国公务员法》管理的人员；法律、法规授权或者受国家机关依法委托管理公共事务的组织中从事公务的人员；国有企业管理人员；公办的教育、科研、文化、医疗卫生、体育等单位中从事管理的人员；基层群众性自治组织中从事管理的人员以及其他依法履行公职的人员）及其近亲属，申请金额超过100万元人民币的申请，在审核过程中可向相应级别的监察部门进行询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对大额可疑或涉嫌非法转移财产的申请，在审核过程中要询证相应级别的公安、司法部门。</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财产对外转移售付汇管理暂行办法》（中国人民银行公告〔2004〕第16号）第二条、第五条、第十二条继承转移是指外国公民或香港特别行政区、澳门特别行政区及台湾地区居民（以下简称继承人）将依法继承的境内遗产变现，通过外汇指定银行购汇和汇出境外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申请人办理继承转移需向被继承人生前户籍所在地外汇局申请。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司法、纪检监察等部门依法限制对外转移的财产对外转移申请，外汇局不予受理。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个人财产对外转移售付汇管理暂行办法操作指引（试行）》（汇发〔2004〕118号文印发）五、内控制度及部门合作（二）2.“建立询证制度。对涉及国家公职人员（包括国有企业领导人）及其近亲属，申请金额超过100万元人民币的申请，外汇局在审核过程中可向相应级别的监察部门（省级（含）以上）进行询证；对大额可疑或涉嫌非法转移财产的申请，外汇局在审核过程中要询证相应级别的公安、司法部门。以上部门在收到外汇局询证函后10个工作日内给予书面答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（3）《资本项目外汇业务指引（2024年版）》（汇发〔2024〕12号文印发）六、资本项下个人外汇业务管理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6.4对外财产转移购付汇核准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6.4.4审核原则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1.司法、监察等部门依法限制对外转移的财产对外转移申请，不予受理。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对涉及国家公职人员（根据《中华人民共和国监察法》，国家公职人员包括公务员，以及参照《中华人民共和国公务员法》管理的人员；法律、法规授权或者受国家机关依法委托管理公共事务的组织中从事公务的人员；国有企业管理人员；公办的教育、科研、文化、医疗卫生、体育等单位中从事管理的人员；基层群众性自治组织中从事管理的人员以及其他依法履行公职的人员）及其近亲属，申请金额超过100万元人民币的申请，在审核过程中可向相应级别的监察部门进行询证。对大额可疑或涉嫌非法转移财产的申请，在审核过程中要询证相应级别的公安、司法部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3.房屋《不动产权证书》已收缴的，可提供房产部门的查档等证明文件。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（1）书面申请原件1份，并附《个人财产转移业务申请表》。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（2）申请人身份证明文件加盖签章的复印件1份。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①申请人为外国公民的，应提供：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申请人持有的外国护照或其他证明其国籍的证明文件。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申请人居住国居民身份证或其他有效身份证明。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中国驻外使领馆出具（或认证）的申请人在该国定居证明（根据有关公约规定豁免的除外）。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②申请人为香港特别行政区、澳门特别行政区居民的，应提供：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香港特别行政区、澳门特别行政区（永久）居民身份证或其他有效身份证明。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港澳居民来往内地通行证或者特区护照。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③申请人为台湾地区居民的，应提供：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台湾地区居民身份证或其他在台湾地区居住的有效身份证明。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台湾居民往来大陆通行证或其他出入境证件。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（3）申请人获得继承财产的证明文件（包括但不限于继承公证、遗嘱公证等）。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（4）被继承人财产权利证明文件，包括但不限于不动产权证书、房地产买卖契约或拆迁补偿安置协议、承包或租赁合同或协议、财产转让合同或协议、特许权使用协议或合同。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主管税务部门出具的税务证明原件（按规定无需提交的除外），如个人确有需求，可在原件上加注业务办理情况，原件返还个人后，留存加注后的复印件。税务备案采用电子化方式的，可在网上核验相关电子化税务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6）委托他人办理的应提供委托代理协议和代理人身份证明。委托代理协议内容应包含但不限于委托人同意代理人受托办理继承财产转移及相关购付汇业务、委托人及代理人身份证件号码以及委托代理日期等关键信息，委托代理协议需委托人和代理人双方签字（经公证生效的除外）。</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（1）《个人财产对外转移售付汇管理暂行办法操作指引（试行）》（汇发〔2004〕118号文印发）四、有关申请材料（二）继承转移申请材料（《个人财产对外转移售付汇管理暂行办法》第九条）</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1.书面申请。包括：申请人基本情况介绍，申请人与被继承人之间的关系，申请继承转移的原因，被继承人财产来源和变现的详细说明等；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2.申请人或代理人签名的《个人财产对外转移外汇业务申请表》；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3.申请人身份证明文件。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（1）申请人为外国公民的，应提供：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①申请人持有的外国护照或其他证明其国籍的证明文件。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②申请人居住国居民身份证或其他有效身份证明。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③中国驻外使领馆出具（或认证）的申请人在该国定居证明。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（2）申请人为香港特别行政区、澳门特别行政区居民的，应提供：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①香港特别行政区、澳门特别行政区（永久）居民身份证或其他有效身份证明。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②港澳居民来往内地通行证或者特区护照。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（3）申请人为台湾地区居民的，应提供：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①台湾地区居民身份证或其他在台湾地区居住的有效身份证明。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②台湾居民往来大陆通行证或其他出入境证件。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4.申请人获得继承财产的证明文件；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5.被继承财产的权利证明文件；本款所指的财产权利是指申请人最初继承的财产形态，相关财产权利证明文件包括：</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（1）对不动产（如房屋），应提交房屋产权证、房地产买卖契约或拆迁补偿安置协议书等；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（2）对动产（如汽车等），应提交汽车行驶证等财产所有权属证明；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（3）对金融资产（存款、股票、债券等），应提交存款证明、股票、债券开户、交易记录及股权证明等；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（4）对其他资产，应提交被继承拥有该财产所有权属证明。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6.有关税收证明或完税凭证按照税务总局有关规定提交；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7.委托他人办理的还需提供委托代理协议和代理人身份证明。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（2）《资本项目外汇业务指引（2024年版）》（汇发〔2024〕12号文印发）六、资本项下个人外汇业务管理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6.4对外财产转移购付汇核准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6.4.3审核材料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6.4.3.2继承财产转移</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（1）书面申请，并附《个人财产转移业务申请表》。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（2）申请人身份证明文件。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①申请人为外国公民的，应提供：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申请人持有的外国护照或其他证明其国籍的证明文件。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申请人居住国居民身份证或其他有效身份证明。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中国驻外使领馆出具（或认证）的申请人在该国定居证明（根据有关公约已取消认证程序的，提供依据有关公约加贴“附加证明书”的国外定居相关证明材料）。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②申请人为香港特别行政区、澳门特别行政区居民的，应提供：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香港特别行政区、澳门特别行政区（永久）居民身份证或其他有效身份证明。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港澳居民来往内地通行证或者特区护照。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③申请人为台湾地区居民的，应提供：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台湾地区居民身份证或其他在台湾地区居住的有效身份证明。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台湾居民往来大陆通行证或其他出入境证件。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（3）申请人获得继承财产的证明文件（包括但不限于继承公证、遗嘱公证等）。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（4）被继承人财产权利证明文件，包括但不限于不动产权证书、房地产买卖契约或拆迁补偿安置协议、承包或租赁合同或协议、财产转让合同或协议、特许权使用协议或合同。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主管税务部门出具的税务证明原件（按规定无需提交的除外），如个人确有需求，可在原件上加注业务办理情况，原件返还个人后，留存加注后的复印件。税务备案采用电子化方式的，可在网上核验相关电子化税务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委托他人办理的应提供委托代理协议和代理人身份证明。委托代理协议内容应包含但不限于委托人同意代理人受托办理继承财产转移及相关购付汇业务、委托人及代理人身份证件号码以及委托代理日期等关键信息，委托代理协议需委托人和代理人双方签字（经公证生效的除外）。</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（1）《国家外汇管理局行政许可实施办法》第十条；第十四条第十条</w:t>
      </w:r>
      <w:r>
        <w:rPr>
          <w:rFonts w:ascii="方正仿宋_GBK" w:hAnsi="方正仿宋_GBK" w:eastAsia="方正仿宋_GBK" w:cs="方正仿宋_GBK"/>
          <w:sz w:val="28"/>
          <w:szCs w:val="28"/>
        </w:rPr>
        <w:tab/>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 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《资本项目外汇业务核准件》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bookmarkStart w:id="0" w:name="_GoBack"/>
      <w:r>
        <w:rPr>
          <w:rFonts w:hint="eastAsia" w:ascii="方正仿宋_GBK" w:hAnsi="方正仿宋_GBK" w:eastAsia="方正仿宋_GBK" w:cs="方正仿宋_GBK"/>
          <w:sz w:val="28"/>
          <w:szCs w:val="28"/>
        </w:rPr>
        <w:t>（1）《国家外汇管理局行政许可实施办法》第十五条外汇局应根据以下要求确保行政许可依法按时完成：</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各级外汇局对行政许可办理时限具有对外承诺的，应按照其承诺的时限完成；对外承诺的时限应短于20个工作日</w:t>
      </w:r>
      <w:bookmarkEnd w:id="0"/>
      <w:r>
        <w:rPr>
          <w:rFonts w:hint="eastAsia" w:ascii="方正仿宋_GBK" w:hAnsi="方正仿宋_GBK" w:eastAsia="方正仿宋_GBK" w:cs="方正仿宋_GBK"/>
          <w:sz w:val="28"/>
          <w:szCs w:val="28"/>
        </w:rPr>
        <w:t>。</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5354"/>
    <w:rsid w:val="003747FD"/>
    <w:rsid w:val="003B5354"/>
    <w:rsid w:val="00956CC7"/>
    <w:rsid w:val="62456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1004</Words>
  <Characters>5727</Characters>
  <Lines>47</Lines>
  <Paragraphs>13</Paragraphs>
  <TotalTime>4</TotalTime>
  <ScaleCrop>false</ScaleCrop>
  <LinksUpToDate>false</LinksUpToDate>
  <CharactersWithSpaces>6718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2024-05-16T12:15:00Z</dcterms:created>
  <dc:creator>kylin</dc:creator>
  <cp:lastModifiedBy>lenovo</cp:lastModifiedBy>
  <dcterms:modified xsi:type="dcterms:W3CDTF">2024-05-18T06:40:26Z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9EF631D02D8E465EB7E4026FE8B06768</vt:lpwstr>
  </property>
</Properties>
</file>