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right="300"/>
        <w:rPr>
          <w:rFonts w:hint="eastAsia" w:ascii="Times New Roman" w:hAnsi="Times New Roman" w:eastAsia="黑体" w:cs="Times New Roman"/>
          <w:color w:val="auto"/>
          <w:sz w:val="30"/>
          <w:szCs w:val="30"/>
        </w:rPr>
      </w:pPr>
      <w:bookmarkStart w:id="6" w:name="_GoBack"/>
      <w:bookmarkEnd w:id="6"/>
      <w:r>
        <w:rPr>
          <w:rFonts w:ascii="Times New Roman" w:hAnsi="Times New Roman" w:eastAsia="黑体" w:cs="Times New Roman"/>
          <w:color w:val="auto"/>
          <w:sz w:val="30"/>
          <w:szCs w:val="30"/>
        </w:rPr>
        <w:t>编号：</w:t>
      </w:r>
      <w:r>
        <w:rPr>
          <w:rFonts w:hint="eastAsia" w:ascii="Times New Roman" w:hAnsi="Times New Roman" w:eastAsia="黑体" w:cs="Times New Roman"/>
          <w:color w:val="auto"/>
          <w:sz w:val="30"/>
          <w:szCs w:val="30"/>
        </w:rPr>
        <w:t xml:space="preserve">000171112002               </w:t>
      </w:r>
    </w:p>
    <w:p>
      <w:pPr>
        <w:ind w:right="300"/>
        <w:rPr>
          <w:rFonts w:hint="eastAsia" w:ascii="Times New Roman" w:hAnsi="Times New Roman" w:eastAsia="黑体" w:cs="Times New Roman"/>
          <w:color w:val="auto"/>
          <w:sz w:val="30"/>
          <w:szCs w:val="30"/>
        </w:rPr>
      </w:pPr>
    </w:p>
    <w:p>
      <w:pPr>
        <w:ind w:right="300"/>
        <w:rPr>
          <w:rFonts w:hint="eastAsia" w:ascii="Times New Roman" w:hAnsi="Times New Roman" w:eastAsia="黑体" w:cs="Times New Roman"/>
          <w:color w:val="auto"/>
          <w:sz w:val="30"/>
          <w:szCs w:val="30"/>
        </w:rPr>
      </w:pPr>
    </w:p>
    <w:p>
      <w:pPr>
        <w:ind w:right="300"/>
        <w:rPr>
          <w:rFonts w:hint="eastAsia"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w:t>
      </w:r>
      <w:r>
        <w:rPr>
          <w:rFonts w:hint="eastAsia" w:ascii="Times New Roman" w:hAnsi="Times New Roman" w:eastAsia="黑体" w:cs="Times New Roman"/>
          <w:color w:val="auto"/>
          <w:sz w:val="52"/>
          <w:szCs w:val="52"/>
        </w:rPr>
        <w:t>保险机构经营或终止结售汇业务审批</w:t>
      </w:r>
      <w:r>
        <w:rPr>
          <w:rFonts w:ascii="Times New Roman" w:hAnsi="Times New Roman" w:eastAsia="黑体" w:cs="Times New Roman"/>
          <w:color w:val="auto"/>
          <w:sz w:val="52"/>
          <w:szCs w:val="52"/>
        </w:rPr>
        <w:t>”</w:t>
      </w: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行政审批服务指南</w:t>
      </w: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p>
    <w:p>
      <w:pPr>
        <w:ind w:right="300"/>
        <w:rPr>
          <w:rFonts w:ascii="Times New Roman" w:hAnsi="Times New Roman" w:eastAsia="仿宋_GB2312" w:cs="Times New Roman"/>
          <w:color w:val="auto"/>
          <w:sz w:val="30"/>
          <w:szCs w:val="30"/>
        </w:rPr>
      </w:pPr>
    </w:p>
    <w:p>
      <w:pPr>
        <w:ind w:right="300"/>
        <w:rPr>
          <w:rFonts w:ascii="Times New Roman" w:hAnsi="Times New Roman" w:eastAsia="仿宋_GB2312" w:cs="Times New Roman"/>
          <w:color w:val="auto"/>
          <w:sz w:val="30"/>
          <w:szCs w:val="30"/>
        </w:rPr>
      </w:pPr>
    </w:p>
    <w:p>
      <w:pPr>
        <w:ind w:right="300"/>
        <w:rPr>
          <w:rFonts w:ascii="Times New Roman" w:hAnsi="Times New Roman" w:eastAsia="仿宋_GB2312" w:cs="Times New Roman"/>
          <w:color w:val="auto"/>
          <w:sz w:val="30"/>
          <w:szCs w:val="30"/>
        </w:rPr>
      </w:pPr>
    </w:p>
    <w:p>
      <w:pPr>
        <w:ind w:right="300"/>
        <w:rPr>
          <w:rFonts w:ascii="Times New Roman" w:hAnsi="Times New Roman" w:eastAsia="仿宋_GB2312" w:cs="Times New Roman"/>
          <w:color w:val="auto"/>
          <w:sz w:val="30"/>
          <w:szCs w:val="30"/>
        </w:rPr>
      </w:pPr>
    </w:p>
    <w:p>
      <w:pPr>
        <w:ind w:right="300"/>
        <w:rPr>
          <w:rFonts w:ascii="Times New Roman" w:hAnsi="Times New Roman" w:eastAsia="仿宋_GB2312" w:cs="Times New Roman"/>
          <w:color w:val="auto"/>
          <w:sz w:val="30"/>
          <w:szCs w:val="30"/>
        </w:rPr>
      </w:pPr>
    </w:p>
    <w:p>
      <w:pPr>
        <w:pStyle w:val="21"/>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r>
        <w:rPr>
          <w:rFonts w:hint="eastAsia" w:ascii="宋体" w:hAnsi="宋体" w:eastAsia="宋体" w:cs="宋体"/>
          <w:b w:val="0"/>
          <w:bCs w:val="0"/>
          <w:color w:val="auto"/>
          <w:sz w:val="40"/>
          <w:szCs w:val="40"/>
          <w:lang w:val="en-US" w:eastAsia="zh-CN"/>
        </w:rPr>
        <w:t>国家外汇管理局广西壮族自治区分局</w:t>
      </w:r>
    </w:p>
    <w:p>
      <w:pPr>
        <w:pStyle w:val="21"/>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1"/>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保险机构经营或终止结售汇业务审批</w:t>
      </w:r>
    </w:p>
    <w:p>
      <w:pPr>
        <w:spacing w:line="540" w:lineRule="exact"/>
        <w:jc w:val="center"/>
        <w:outlineLvl w:val="1"/>
        <w:rPr>
          <w:rFonts w:hint="eastAsia" w:ascii="Times New Roman" w:hAnsi="Times New Roman" w:eastAsia="黑体" w:cs="Times New Roman"/>
          <w:color w:val="auto"/>
          <w:sz w:val="30"/>
          <w:szCs w:val="30"/>
          <w:lang w:val="en-US" w:eastAsia="zh-CN"/>
        </w:rPr>
      </w:pPr>
      <w:r>
        <w:rPr>
          <w:rFonts w:hint="eastAsia" w:ascii="方正小标宋_GBK" w:hAnsi="方正小标宋_GBK" w:eastAsia="方正小标宋_GBK" w:cs="方正小标宋_GBK"/>
          <w:sz w:val="40"/>
          <w:szCs w:val="40"/>
        </w:rPr>
        <w:t>【000171112002】</w:t>
      </w:r>
    </w:p>
    <w:p>
      <w:pPr>
        <w:spacing w:line="540" w:lineRule="exact"/>
        <w:outlineLvl w:val="1"/>
        <w:rPr>
          <w:rFonts w:ascii="Times New Roman" w:hAnsi="Times New Roman" w:eastAsia="黑体"/>
          <w:sz w:val="28"/>
          <w:szCs w:val="28"/>
        </w:rPr>
      </w:pPr>
      <w:r>
        <w:rPr>
          <w:rFonts w:hint="eastAsia" w:ascii="Times New Roman" w:hAnsi="Times New Roman" w:eastAsia="黑体" w:cs="Times New Roman"/>
          <w:color w:val="auto"/>
          <w:sz w:val="30"/>
          <w:szCs w:val="30"/>
          <w:lang w:val="en-US" w:eastAsia="zh-CN"/>
        </w:rPr>
        <w:t xml:space="preserve"> </w:t>
      </w: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经营或者终止结售汇业务审批【00017111200Y】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保险机构经营或终止结售汇业务审批【000171112002】</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保险机构经营或终止结售汇业务审批(00017111200201)</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《中华人民共和国外汇管理条例》第二十四条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（1）《国家外汇管理局行政许可实施办法》（国家外汇管理局公告2021年第1号）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银行办理结售汇业务管理办法》（中国人民银行令〔2014〕第2号）第六条、第七条、第三十一条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（3）《银行办理结售汇业务管理办法实施细则》（汇发〔2014〕53号文印发）第九条、第十条、第五十四条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保险机构外汇业务市场准入审批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保险机构申请办理即期结售汇业务，应当具备下列条件：具有保险业务资格；具备完善的业务管理制度；具备办理业务所必需的软硬件设备；拥有具备相应业务工作经验的高级管理人员和业务人员。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保险机构申请办理人民币与外汇衍生产品业务，应当具备下列条件：具有即期结售汇业务资格；有健全的衍生产品交易风险管理制度和内部控制制度及适当的风险识别、计量、管理和交易系统，配备开展衍生产品业务所需要的专业人员；符合银行保险监督管理机构有关金融衍生产品交易业务资格的规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银行办理结售汇业务管理办法》（中国人民银行令〔2014〕2号文印发）第六条银行申请办理即期结售汇业务，应当具备下列条件：一具有金融业务资格；二具备完善的业务管理制度；三具备办理业务所必需的软硬件设备；四拥有具备相应业务工作经验的高级管理人员和业务人员。银行需要银行业监督管理部门批准外汇业务经营资格的，还应具备相应的外汇业务经营资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（2）《银行办理结售汇业务管理办法》（中国人民银行令〔2014〕2号文印发）第七条保险机构申请办理人民币与外汇衍生产品业务，应当具备下列条件：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（一）具有即期结售汇业务资格；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（二）有健全的衍生产品交易风险管理制度和内部控制制度及适当的风险识别、计量、管理和交易系统，配备开展衍生产品业务所需要的专业人员；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（三）符合银行业监督管理机构有关金融衍生产品交易业务资格的规定。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（3）《银行办理结售汇业务管理办法》（中国人民银行令〔2014〕2号文印发）第三十一条非银行金融机构办理结售汇业务，参照本办法执行，国家外汇管理局另有规定的除外。</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保险机构申请即期结售汇业务，应提交下列文件和资料：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办理结售汇业务的申请报告原件1份。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银行保险监督管理部门颁发的经营保险业务资格证明复印件1份。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办理结售汇业务的内部管理规章制度1份。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具备办理业务所必需的软硬件设备的说明材料1份。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拥有具备相应业务工作经验的高级管理人员和业务人员的说明材料1份。</w:t>
      </w:r>
    </w:p>
    <w:p>
      <w:pPr>
        <w:spacing w:line="600" w:lineRule="exact"/>
        <w:ind w:firstLine="560" w:firstLineChars="200"/>
        <w:rPr>
          <w:rFonts w:ascii="方正仿宋_GBK" w:hAnsi="方正仿宋_GBK" w:eastAsia="方正仿宋_GBK" w:cs="方正仿宋_GBK"/>
          <w:sz w:val="28"/>
          <w:szCs w:val="28"/>
        </w:rPr>
      </w:pP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保险机构申请衍生产品业务，应提交下列文件和资料：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加盖公章的申请报告、可行性报告及业务计划书1份。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加盖公章的衍生产品业务内部管理规章制度1份。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加盖公章的主管人员和主要交易人员名单、履历1份。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加盖公章的符合银行保险监督管理部门有关金融衍生产品交易业务资格规定的证明文件的复印件。</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保险机构应当根据拟开办各类衍生产品业务的实际特征，提交具有针对性与适用性的文件和资料。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银行办理结售汇业务管理办法实施细则》（汇发〔2014〕53号文印发）第九条银行总行申请即期结售汇业务，应提交下列文件和资料：（一）办理结售汇业务的申请报告。（二）《金融许可证》复印件。（三）办理结售汇业务的内部管理规章制度，应至少包括以下内容：结售汇业务操作规程、结售汇业务单证管理制度、结售汇业务统计报告制度、结售汇综合头寸管理制度、结售汇业务会计科目和核算办法、结售汇业务内部审计制度和从业人员岗位责任制度、结售汇业务授权管理制度。（四）具备办理业务所必需的软硬件设备的说明材料。（五）拥有具备相应业务工作经验的高级管理人员和业务人员的说明材料。（六）需要经银行业监督管理部门批准外汇业务经营资格的，还应提交外汇业务许可文件的复印件。</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（2）《银行办理结售汇业务管理办法实施细则》（汇发〔2014〕53号文印发）第十条银行总行申请衍生产品业务，应提交下列文件和资料：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（一）申请报告、可行性报告及业务计划书。</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衍生产品业务内部管理规章制度，应当至少包括以下内容：1.业务操作规程，包括交易受理、客户评估、单证审核等业务流程和操作标准；2.产品定价模型，包括定价方法和各项参数的选取标准及来源；3.风险管理制度，包括风险管理架构、风险模型指标及量化管理指标、风险缓释措施、头寸平盘机制；4.会计核算制度，包括科目设置和会计核算方法；5.统计报告制度，包括数据采集渠道和操作程序。</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（三）主管人员和主要交易人员名单、履历。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（四）符合银行业监督管理部门有关金融衍生产品交易业务资格规定的证明文件。</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银行应当根据拟开办各类衍生产品业务的实际特征，提交具有针对性与适用性的文件和资料。</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（2）《国家外汇管理局行政许可实施办法》（国家外汇管理局公告2021年第1号）第十四条外汇局对行政许可申请审查后，应区分下列情况分别作出处理：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《国家外汇管理局行政许可实施办法》（国家外汇管理局公告2021年第1号）第十五条外汇局应根据以下要求确保行政许可依法按时完成：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《国家外汇管理局XX分局关于XXXX的批复》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1.办理</w:t>
      </w:r>
      <w:r>
        <w:rPr>
          <w:rFonts w:hint="eastAsia" w:ascii="Times New Roman" w:hAnsi="Times New Roman" w:eastAsia="仿宋GB2312"/>
          <w:b/>
          <w:bCs/>
          <w:sz w:val="28"/>
          <w:szCs w:val="28"/>
        </w:rPr>
        <w:t>地址</w:t>
      </w:r>
      <w:r>
        <w:rPr>
          <w:rFonts w:hint="eastAsia" w:eastAsia="仿宋GB2312"/>
          <w:b/>
          <w:bCs/>
          <w:sz w:val="28"/>
          <w:szCs w:val="28"/>
        </w:rPr>
        <w:t>：</w:t>
      </w:r>
      <w:r>
        <w:rPr>
          <w:rFonts w:hint="eastAsia" w:ascii="方正仿宋_GBK" w:hAnsi="方正仿宋_GBK" w:eastAsia="方正仿宋_GBK" w:cs="方正仿宋_GBK"/>
          <w:sz w:val="28"/>
          <w:szCs w:val="28"/>
        </w:rPr>
        <w:t>广西南宁市青秀区滨湖路58号</w:t>
      </w:r>
      <w:r>
        <w:rPr>
          <w:rFonts w:hint="eastAsia" w:ascii="方正仿宋_GBK" w:hAnsi="方正仿宋_GBK" w:eastAsia="方正仿宋_GBK" w:cs="方正仿宋_GBK"/>
          <w:sz w:val="28"/>
          <w:szCs w:val="28"/>
          <w:lang w:eastAsia="zh-CN"/>
        </w:rPr>
        <w:t>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2.办理时间：</w:t>
      </w:r>
      <w:r>
        <w:rPr>
          <w:rFonts w:hint="eastAsia" w:ascii="方正仿宋_GBK" w:hAnsi="方正仿宋_GBK" w:eastAsia="方正仿宋_GBK" w:cs="方正仿宋_GBK"/>
          <w:sz w:val="28"/>
          <w:szCs w:val="28"/>
        </w:rPr>
        <w:t>工作日，上午：08:30-12:00，下午：</w:t>
      </w:r>
      <w:r>
        <w:rPr>
          <w:rFonts w:hint="eastAsia" w:ascii="方正仿宋_GBK" w:hAnsi="方正仿宋_GBK" w:eastAsia="方正仿宋_GBK" w:cs="方正仿宋_GBK"/>
          <w:sz w:val="28"/>
          <w:szCs w:val="28"/>
          <w:lang w:val="en-US" w:eastAsia="zh-CN"/>
        </w:rPr>
        <w:t>14</w:t>
      </w:r>
      <w:r>
        <w:rPr>
          <w:rFonts w:hint="eastAsia" w:ascii="方正仿宋_GBK" w:hAnsi="方正仿宋_GBK" w:eastAsia="方正仿宋_GBK" w:cs="方正仿宋_GBK"/>
          <w:sz w:val="28"/>
          <w:szCs w:val="28"/>
        </w:rPr>
        <w:t>:30-</w:t>
      </w:r>
      <w:r>
        <w:rPr>
          <w:rFonts w:hint="eastAsia" w:ascii="方正仿宋_GBK" w:hAnsi="方正仿宋_GBK" w:eastAsia="方正仿宋_GBK" w:cs="方正仿宋_GBK"/>
          <w:sz w:val="28"/>
          <w:szCs w:val="28"/>
          <w:lang w:val="en-US" w:eastAsia="zh-CN"/>
        </w:rPr>
        <w:t>17</w:t>
      </w:r>
      <w:r>
        <w:rPr>
          <w:rFonts w:hint="eastAsia" w:ascii="方正仿宋_GBK" w:hAnsi="方正仿宋_GBK" w:eastAsia="方正仿宋_GBK" w:cs="方正仿宋_GBK"/>
          <w:sz w:val="28"/>
          <w:szCs w:val="28"/>
        </w:rPr>
        <w:t>:30</w:t>
      </w:r>
    </w:p>
    <w:p>
      <w:pPr>
        <w:rPr>
          <w:rFonts w:eastAsia="黑体"/>
          <w:sz w:val="28"/>
          <w:szCs w:val="28"/>
        </w:rPr>
      </w:pPr>
      <w:bookmarkStart w:id="0" w:name="_Toc32164"/>
      <w:bookmarkStart w:id="1" w:name="_Toc27624"/>
      <w:bookmarkStart w:id="2" w:name="_Toc22902"/>
      <w:bookmarkStart w:id="3" w:name="_Toc12947"/>
      <w:bookmarkStart w:id="4" w:name="_Toc26066"/>
      <w:bookmarkStart w:id="5" w:name="_Toc29697"/>
      <w:r>
        <w:rPr>
          <w:rFonts w:hint="eastAsia" w:eastAsia="黑体"/>
          <w:sz w:val="28"/>
          <w:szCs w:val="28"/>
        </w:rPr>
        <w:t>十六、</w:t>
      </w:r>
      <w:r>
        <w:rPr>
          <w:rFonts w:eastAsia="黑体"/>
          <w:sz w:val="28"/>
          <w:szCs w:val="28"/>
        </w:rPr>
        <w:t>咨询途径</w:t>
      </w:r>
      <w:bookmarkEnd w:id="0"/>
      <w:bookmarkEnd w:id="1"/>
      <w:bookmarkEnd w:id="2"/>
      <w:bookmarkEnd w:id="3"/>
      <w:bookmarkEnd w:id="4"/>
      <w:bookmarkEnd w:id="5"/>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1.窗口咨询地址：</w:t>
      </w:r>
      <w:r>
        <w:rPr>
          <w:rFonts w:hint="eastAsia" w:ascii="方正仿宋_GBK" w:hAnsi="方正仿宋_GBK" w:eastAsia="方正仿宋_GBK" w:cs="方正仿宋_GBK"/>
          <w:sz w:val="28"/>
          <w:szCs w:val="28"/>
          <w:lang w:val="en-US" w:eastAsia="zh-CN"/>
        </w:rPr>
        <w:t>广西南宁市青秀区滨湖路58号中国人民银行广西壮族自治区分行8楼811号办公室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0771-6111352</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p>
      <w:pPr>
        <w:spacing w:line="560" w:lineRule="exact"/>
        <w:rPr>
          <w:rFonts w:ascii="Times New Roman" w:hAnsi="Times New Roman" w:cs="Tahoma"/>
          <w:szCs w:val="30"/>
        </w:rPr>
      </w:pPr>
      <w:r>
        <w:rPr>
          <w:color w:val="auto"/>
        </w:rPr>
        <w:br w:type="page"/>
      </w:r>
      <w:r>
        <w:rPr>
          <w:rFonts w:hint="eastAsia" w:ascii="Times New Roman" w:hAnsi="Times New Roman" w:eastAsia="仿宋_GB2312" w:cs="Times New Roman"/>
          <w:color w:val="auto"/>
          <w:kern w:val="0"/>
          <w:sz w:val="30"/>
          <w:szCs w:val="30"/>
        </w:rPr>
        <w:t>材料示范文本</w:t>
      </w:r>
      <w:r>
        <w:rPr>
          <w:rFonts w:hint="eastAsia" w:ascii="Times New Roman" w:hAnsi="Times New Roman" w:eastAsia="仿宋_GB2312" w:cs="Times New Roman"/>
          <w:color w:val="auto"/>
          <w:kern w:val="0"/>
          <w:sz w:val="30"/>
          <w:szCs w:val="30"/>
          <w:lang w:eastAsia="zh-CN"/>
        </w:rPr>
        <w:t>：</w:t>
      </w:r>
    </w:p>
    <w:tbl>
      <w:tblPr>
        <w:tblStyle w:val="18"/>
        <w:tblW w:w="10286" w:type="dxa"/>
        <w:tblInd w:w="-10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694"/>
        <w:gridCol w:w="132"/>
        <w:gridCol w:w="1540"/>
        <w:gridCol w:w="1300"/>
        <w:gridCol w:w="146"/>
        <w:gridCol w:w="1418"/>
        <w:gridCol w:w="216"/>
        <w:gridCol w:w="1059"/>
        <w:gridCol w:w="301"/>
        <w:gridCol w:w="14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trPr>
        <w:tc>
          <w:tcPr>
            <w:tcW w:w="10286" w:type="dxa"/>
            <w:gridSpan w:val="10"/>
            <w:tcBorders>
              <w:top w:val="nil"/>
              <w:left w:val="nil"/>
              <w:bottom w:val="nil"/>
              <w:right w:val="nil"/>
            </w:tcBorders>
            <w:vAlign w:val="center"/>
          </w:tcPr>
          <w:p>
            <w:pPr>
              <w:spacing w:line="560" w:lineRule="exact"/>
              <w:jc w:val="center"/>
              <w:rPr>
                <w:rFonts w:ascii="Times New Roman" w:hAnsi="Times New Roman" w:cs="宋体"/>
                <w:b/>
                <w:bCs/>
                <w:kern w:val="0"/>
                <w:sz w:val="36"/>
                <w:szCs w:val="36"/>
              </w:rPr>
            </w:pPr>
            <w:r>
              <w:rPr>
                <w:rFonts w:hint="eastAsia" w:ascii="Times New Roman" w:hAnsi="Times New Roman"/>
                <w:b/>
                <w:sz w:val="32"/>
                <w:szCs w:val="32"/>
              </w:rPr>
              <w:t>保险机构终止外汇业务备案申请表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10286" w:type="dxa"/>
            <w:gridSpan w:val="10"/>
            <w:tcBorders>
              <w:top w:val="nil"/>
              <w:left w:val="nil"/>
              <w:bottom w:val="single" w:color="auto" w:sz="4" w:space="0"/>
              <w:right w:val="nil"/>
            </w:tcBorders>
            <w:vAlign w:val="center"/>
          </w:tcPr>
          <w:p>
            <w:pPr>
              <w:widowControl/>
              <w:jc w:val="left"/>
              <w:rPr>
                <w:rFonts w:ascii="Times New Roman" w:hAnsi="Times New Roman" w:eastAsia="华文仿宋" w:cs="宋体"/>
                <w:b/>
                <w:bCs/>
                <w:kern w:val="0"/>
                <w:sz w:val="24"/>
                <w:szCs w:val="24"/>
              </w:rPr>
            </w:pPr>
            <w:r>
              <w:rPr>
                <w:rFonts w:hint="eastAsia" w:ascii="Times New Roman" w:hAnsi="Times New Roman" w:eastAsia="华文仿宋" w:cs="宋体"/>
                <w:b/>
                <w:bCs/>
                <w:kern w:val="0"/>
                <w:sz w:val="24"/>
                <w:szCs w:val="24"/>
              </w:rPr>
              <w:t>备案日期：年月日备案编号：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备案机构名称</w:t>
            </w:r>
          </w:p>
        </w:tc>
        <w:tc>
          <w:tcPr>
            <w:tcW w:w="7592" w:type="dxa"/>
            <w:gridSpan w:val="9"/>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cs="宋体"/>
                <w:kern w:val="0"/>
                <w:sz w:val="24"/>
                <w:szCs w:val="24"/>
              </w:rPr>
            </w:pPr>
            <w:r>
              <w:rPr>
                <w:rFonts w:hint="eastAsia" w:ascii="Times New Roman" w:hAnsi="Times New Roman" w:cs="宋体"/>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机构住所</w:t>
            </w:r>
          </w:p>
        </w:tc>
        <w:tc>
          <w:tcPr>
            <w:tcW w:w="7592" w:type="dxa"/>
            <w:gridSpan w:val="9"/>
            <w:tcBorders>
              <w:top w:val="single" w:color="auto" w:sz="4" w:space="0"/>
              <w:left w:val="nil"/>
              <w:bottom w:val="single" w:color="auto" w:sz="4" w:space="0"/>
              <w:right w:val="single" w:color="000000"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统一社会信用代码</w:t>
            </w:r>
          </w:p>
        </w:tc>
        <w:tc>
          <w:tcPr>
            <w:tcW w:w="4536" w:type="dxa"/>
            <w:gridSpan w:val="5"/>
            <w:tcBorders>
              <w:top w:val="single" w:color="auto" w:sz="4" w:space="0"/>
              <w:left w:val="nil"/>
              <w:bottom w:val="single" w:color="auto" w:sz="4" w:space="0"/>
              <w:right w:val="single" w:color="000000"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　</w:t>
            </w:r>
          </w:p>
        </w:tc>
        <w:tc>
          <w:tcPr>
            <w:tcW w:w="1275" w:type="dxa"/>
            <w:gridSpan w:val="2"/>
            <w:tcBorders>
              <w:top w:val="nil"/>
              <w:left w:val="nil"/>
              <w:bottom w:val="single" w:color="auto" w:sz="4" w:space="0"/>
              <w:right w:val="single" w:color="auto"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成立时间</w:t>
            </w:r>
          </w:p>
        </w:tc>
        <w:tc>
          <w:tcPr>
            <w:tcW w:w="1781" w:type="dxa"/>
            <w:gridSpan w:val="2"/>
            <w:tcBorders>
              <w:top w:val="nil"/>
              <w:left w:val="nil"/>
              <w:bottom w:val="single" w:color="auto" w:sz="4" w:space="0"/>
              <w:right w:val="single" w:color="auto" w:sz="4" w:space="0"/>
            </w:tcBorders>
            <w:vAlign w:val="center"/>
          </w:tcPr>
          <w:p>
            <w:pPr>
              <w:widowControl/>
              <w:jc w:val="left"/>
              <w:rPr>
                <w:rFonts w:ascii="Times New Roman" w:hAnsi="Times New Roman" w:cs="宋体"/>
                <w:kern w:val="0"/>
                <w:sz w:val="22"/>
              </w:rPr>
            </w:pPr>
            <w:r>
              <w:rPr>
                <w:rFonts w:hint="eastAsia" w:ascii="Times New Roman" w:hAnsi="Times New Roman"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5" w:hRule="atLeast"/>
        </w:trPr>
        <w:tc>
          <w:tcPr>
            <w:tcW w:w="269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保险业务许可证的机构编码</w:t>
            </w:r>
          </w:p>
        </w:tc>
        <w:tc>
          <w:tcPr>
            <w:tcW w:w="4536" w:type="dxa"/>
            <w:gridSpan w:val="5"/>
            <w:tcBorders>
              <w:top w:val="single" w:color="auto" w:sz="4" w:space="0"/>
              <w:left w:val="nil"/>
              <w:bottom w:val="single" w:color="auto" w:sz="4" w:space="0"/>
              <w:right w:val="single" w:color="000000"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　</w:t>
            </w:r>
          </w:p>
        </w:tc>
        <w:tc>
          <w:tcPr>
            <w:tcW w:w="1275" w:type="dxa"/>
            <w:gridSpan w:val="2"/>
            <w:tcBorders>
              <w:top w:val="nil"/>
              <w:left w:val="nil"/>
              <w:bottom w:val="single" w:color="auto" w:sz="4" w:space="0"/>
              <w:right w:val="single" w:color="auto"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核准机关</w:t>
            </w:r>
          </w:p>
        </w:tc>
        <w:tc>
          <w:tcPr>
            <w:tcW w:w="1781" w:type="dxa"/>
            <w:gridSpan w:val="2"/>
            <w:tcBorders>
              <w:top w:val="nil"/>
              <w:left w:val="nil"/>
              <w:bottom w:val="single" w:color="auto" w:sz="4" w:space="0"/>
              <w:right w:val="single" w:color="auto" w:sz="4" w:space="0"/>
            </w:tcBorders>
            <w:vAlign w:val="center"/>
          </w:tcPr>
          <w:p>
            <w:pPr>
              <w:widowControl/>
              <w:jc w:val="left"/>
              <w:rPr>
                <w:rFonts w:ascii="Times New Roman" w:hAnsi="Times New Roman" w:cs="宋体"/>
                <w:kern w:val="0"/>
                <w:sz w:val="22"/>
              </w:rPr>
            </w:pPr>
            <w:r>
              <w:rPr>
                <w:rFonts w:hint="eastAsia" w:ascii="Times New Roman" w:hAnsi="Times New Roman"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终止外汇业务时间</w:t>
            </w:r>
          </w:p>
        </w:tc>
        <w:tc>
          <w:tcPr>
            <w:tcW w:w="7592" w:type="dxa"/>
            <w:gridSpan w:val="9"/>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终止外汇业务原因</w:t>
            </w:r>
          </w:p>
        </w:tc>
        <w:tc>
          <w:tcPr>
            <w:tcW w:w="7592" w:type="dxa"/>
            <w:gridSpan w:val="9"/>
            <w:tcBorders>
              <w:top w:val="single" w:color="auto" w:sz="4" w:space="0"/>
              <w:left w:val="nil"/>
              <w:bottom w:val="single" w:color="auto" w:sz="4" w:space="0"/>
              <w:right w:val="single" w:color="000000"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5" w:hRule="atLeast"/>
        </w:trPr>
        <w:tc>
          <w:tcPr>
            <w:tcW w:w="2694" w:type="dxa"/>
            <w:tcBorders>
              <w:top w:val="nil"/>
              <w:left w:val="single" w:color="auto" w:sz="4" w:space="0"/>
              <w:bottom w:val="nil"/>
              <w:right w:val="single" w:color="auto"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终止外汇业务后是否有存续业务以及处理方案</w:t>
            </w:r>
          </w:p>
        </w:tc>
        <w:tc>
          <w:tcPr>
            <w:tcW w:w="7592" w:type="dxa"/>
            <w:gridSpan w:val="9"/>
            <w:tcBorders>
              <w:top w:val="single" w:color="auto" w:sz="4" w:space="0"/>
              <w:left w:val="nil"/>
              <w:bottom w:val="single" w:color="auto" w:sz="4" w:space="0"/>
              <w:right w:val="single" w:color="000000" w:sz="4" w:space="0"/>
            </w:tcBorders>
            <w:vAlign w:val="center"/>
          </w:tcPr>
          <w:p>
            <w:pPr>
              <w:widowControl/>
              <w:jc w:val="left"/>
              <w:rPr>
                <w:rFonts w:ascii="Times New Roman" w:hAnsi="Times New Roman" w:cs="宋体"/>
                <w:kern w:val="0"/>
                <w:sz w:val="22"/>
              </w:rPr>
            </w:pPr>
            <w:r>
              <w:rPr>
                <w:rFonts w:hint="eastAsia" w:ascii="Times New Roman" w:hAnsi="Times New Roman" w:cs="宋体"/>
                <w:kern w:val="0"/>
                <w:sz w:val="22"/>
              </w:rPr>
              <w:t>　</w:t>
            </w:r>
            <w:r>
              <w:rPr>
                <w:rFonts w:ascii="Times New Roman" w:hAnsi="Times New Roman" w:cs="宋体"/>
                <w:kern w:val="0"/>
                <w:sz w:val="22"/>
              </w:rPr>
              <w:t>(</w:t>
            </w:r>
            <w:r>
              <w:rPr>
                <w:rFonts w:hint="eastAsia" w:ascii="Times New Roman" w:hAnsi="Times New Roman" w:cs="宋体"/>
                <w:kern w:val="0"/>
                <w:sz w:val="22"/>
              </w:rPr>
              <w:t>若内容较多，可增加附页填报</w:t>
            </w:r>
            <w:r>
              <w:rPr>
                <w:rFonts w:ascii="Times New Roman" w:hAnsi="Times New Roman" w:cs="宋体"/>
                <w:kern w:val="0"/>
                <w:sz w:val="2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5" w:hRule="atLeast"/>
        </w:trPr>
        <w:tc>
          <w:tcPr>
            <w:tcW w:w="2694"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Times New Roman" w:hAnsi="Times New Roman" w:cs="宋体"/>
                <w:kern w:val="0"/>
                <w:sz w:val="24"/>
                <w:szCs w:val="24"/>
              </w:rPr>
            </w:pPr>
            <w:r>
              <w:rPr>
                <w:rFonts w:hint="eastAsia" w:ascii="Times New Roman" w:hAnsi="Times New Roman" w:cs="宋体"/>
                <w:kern w:val="0"/>
                <w:sz w:val="24"/>
                <w:szCs w:val="24"/>
              </w:rPr>
              <w:t>联系人</w:t>
            </w:r>
          </w:p>
        </w:tc>
        <w:tc>
          <w:tcPr>
            <w:tcW w:w="1672" w:type="dxa"/>
            <w:gridSpan w:val="2"/>
            <w:tcBorders>
              <w:top w:val="nil"/>
              <w:left w:val="nil"/>
              <w:bottom w:val="single" w:color="auto" w:sz="4" w:space="0"/>
              <w:right w:val="single" w:color="auto" w:sz="4" w:space="0"/>
            </w:tcBorders>
            <w:vAlign w:val="center"/>
          </w:tcPr>
          <w:p>
            <w:pPr>
              <w:widowControl/>
              <w:jc w:val="left"/>
              <w:rPr>
                <w:rFonts w:ascii="Times New Roman" w:hAnsi="Times New Roman" w:cs="宋体"/>
                <w:kern w:val="0"/>
                <w:sz w:val="22"/>
              </w:rPr>
            </w:pPr>
            <w:r>
              <w:rPr>
                <w:rFonts w:hint="eastAsia" w:ascii="Times New Roman" w:hAnsi="Times New Roman" w:cs="宋体"/>
                <w:kern w:val="0"/>
                <w:sz w:val="22"/>
              </w:rPr>
              <w:t>　</w:t>
            </w:r>
          </w:p>
        </w:tc>
        <w:tc>
          <w:tcPr>
            <w:tcW w:w="1446"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宋体"/>
                <w:kern w:val="0"/>
                <w:sz w:val="24"/>
                <w:szCs w:val="24"/>
              </w:rPr>
            </w:pPr>
            <w:r>
              <w:rPr>
                <w:rFonts w:hint="eastAsia" w:ascii="Times New Roman" w:hAnsi="Times New Roman" w:cs="宋体"/>
                <w:kern w:val="0"/>
                <w:sz w:val="24"/>
                <w:szCs w:val="24"/>
              </w:rPr>
              <w:t>姓名</w:t>
            </w:r>
          </w:p>
        </w:tc>
        <w:tc>
          <w:tcPr>
            <w:tcW w:w="1634"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宋体"/>
                <w:kern w:val="0"/>
                <w:sz w:val="24"/>
                <w:szCs w:val="24"/>
              </w:rPr>
            </w:pPr>
            <w:r>
              <w:rPr>
                <w:rFonts w:hint="eastAsia" w:ascii="Times New Roman" w:hAnsi="Times New Roman" w:cs="宋体"/>
                <w:kern w:val="0"/>
                <w:sz w:val="24"/>
                <w:szCs w:val="24"/>
              </w:rPr>
              <w:t>部门</w:t>
            </w:r>
          </w:p>
        </w:tc>
        <w:tc>
          <w:tcPr>
            <w:tcW w:w="1360"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宋体"/>
                <w:kern w:val="0"/>
                <w:sz w:val="24"/>
                <w:szCs w:val="24"/>
              </w:rPr>
            </w:pPr>
            <w:r>
              <w:rPr>
                <w:rFonts w:hint="eastAsia" w:ascii="Times New Roman" w:hAnsi="Times New Roman" w:cs="宋体"/>
                <w:kern w:val="0"/>
                <w:sz w:val="24"/>
                <w:szCs w:val="24"/>
              </w:rPr>
              <w:t>职务</w:t>
            </w:r>
          </w:p>
        </w:tc>
        <w:tc>
          <w:tcPr>
            <w:tcW w:w="1480" w:type="dxa"/>
            <w:tcBorders>
              <w:top w:val="nil"/>
              <w:left w:val="nil"/>
              <w:bottom w:val="single" w:color="auto" w:sz="4" w:space="0"/>
              <w:right w:val="single" w:color="auto" w:sz="4" w:space="0"/>
            </w:tcBorders>
            <w:vAlign w:val="center"/>
          </w:tcPr>
          <w:p>
            <w:pPr>
              <w:widowControl/>
              <w:jc w:val="center"/>
              <w:rPr>
                <w:rFonts w:ascii="Times New Roman" w:hAnsi="Times New Roman" w:cs="宋体"/>
                <w:kern w:val="0"/>
                <w:sz w:val="24"/>
                <w:szCs w:val="24"/>
              </w:rPr>
            </w:pPr>
            <w:r>
              <w:rPr>
                <w:rFonts w:hint="eastAsia" w:ascii="Times New Roman" w:hAnsi="Times New Roman" w:cs="宋体"/>
                <w:kern w:val="0"/>
                <w:sz w:val="24"/>
                <w:szCs w:val="24"/>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0" w:hRule="atLeast"/>
        </w:trPr>
        <w:tc>
          <w:tcPr>
            <w:tcW w:w="2694" w:type="dxa"/>
            <w:vMerge w:val="continue"/>
            <w:tcBorders>
              <w:top w:val="single" w:color="auto" w:sz="4" w:space="0"/>
              <w:left w:val="single" w:color="auto" w:sz="4" w:space="0"/>
              <w:bottom w:val="single" w:color="000000" w:sz="4" w:space="0"/>
              <w:right w:val="single" w:color="auto" w:sz="4" w:space="0"/>
            </w:tcBorders>
            <w:vAlign w:val="center"/>
          </w:tcPr>
          <w:p>
            <w:pPr>
              <w:keepNext/>
              <w:keepLines/>
              <w:widowControl/>
              <w:tabs>
                <w:tab w:val="right" w:leader="dot" w:pos="8296"/>
              </w:tabs>
              <w:ind w:firstLine="723"/>
              <w:contextualSpacing/>
              <w:jc w:val="left"/>
              <w:outlineLvl w:val="0"/>
              <w:rPr>
                <w:rFonts w:ascii="Times New Roman" w:hAnsi="Times New Roman" w:cs="宋体"/>
                <w:kern w:val="0"/>
                <w:sz w:val="24"/>
                <w:szCs w:val="24"/>
              </w:rPr>
            </w:pPr>
          </w:p>
        </w:tc>
        <w:tc>
          <w:tcPr>
            <w:tcW w:w="1672"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宋体"/>
                <w:kern w:val="0"/>
                <w:sz w:val="24"/>
                <w:szCs w:val="24"/>
              </w:rPr>
            </w:pPr>
            <w:r>
              <w:rPr>
                <w:rFonts w:hint="eastAsia" w:ascii="Times New Roman" w:hAnsi="Times New Roman" w:cs="宋体"/>
                <w:kern w:val="0"/>
                <w:sz w:val="24"/>
                <w:szCs w:val="24"/>
              </w:rPr>
              <w:t>单位负责人</w:t>
            </w:r>
          </w:p>
        </w:tc>
        <w:tc>
          <w:tcPr>
            <w:tcW w:w="1446" w:type="dxa"/>
            <w:gridSpan w:val="2"/>
            <w:tcBorders>
              <w:top w:val="nil"/>
              <w:left w:val="nil"/>
              <w:bottom w:val="single" w:color="auto" w:sz="4" w:space="0"/>
              <w:right w:val="single" w:color="auto"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　</w:t>
            </w:r>
          </w:p>
        </w:tc>
        <w:tc>
          <w:tcPr>
            <w:tcW w:w="1634" w:type="dxa"/>
            <w:gridSpan w:val="2"/>
            <w:tcBorders>
              <w:top w:val="nil"/>
              <w:left w:val="nil"/>
              <w:bottom w:val="single" w:color="auto" w:sz="4" w:space="0"/>
              <w:right w:val="single" w:color="auto"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　</w:t>
            </w:r>
          </w:p>
        </w:tc>
        <w:tc>
          <w:tcPr>
            <w:tcW w:w="1360" w:type="dxa"/>
            <w:gridSpan w:val="2"/>
            <w:tcBorders>
              <w:top w:val="nil"/>
              <w:left w:val="nil"/>
              <w:bottom w:val="single" w:color="auto" w:sz="4" w:space="0"/>
              <w:right w:val="single" w:color="auto"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　</w:t>
            </w:r>
          </w:p>
        </w:tc>
        <w:tc>
          <w:tcPr>
            <w:tcW w:w="1480" w:type="dxa"/>
            <w:tcBorders>
              <w:top w:val="nil"/>
              <w:left w:val="nil"/>
              <w:bottom w:val="single" w:color="auto" w:sz="4" w:space="0"/>
              <w:right w:val="single" w:color="auto"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2694"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Times New Roman" w:hAnsi="Times New Roman" w:cs="宋体"/>
                <w:kern w:val="0"/>
                <w:sz w:val="24"/>
                <w:szCs w:val="24"/>
              </w:rPr>
            </w:pPr>
          </w:p>
        </w:tc>
        <w:tc>
          <w:tcPr>
            <w:tcW w:w="1672"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宋体"/>
                <w:kern w:val="0"/>
                <w:sz w:val="24"/>
                <w:szCs w:val="24"/>
              </w:rPr>
            </w:pPr>
            <w:r>
              <w:rPr>
                <w:rFonts w:hint="eastAsia" w:ascii="Times New Roman" w:hAnsi="Times New Roman" w:cs="宋体"/>
                <w:kern w:val="0"/>
                <w:sz w:val="24"/>
                <w:szCs w:val="24"/>
              </w:rPr>
              <w:t>外汇业务合规管理岗人员</w:t>
            </w:r>
          </w:p>
        </w:tc>
        <w:tc>
          <w:tcPr>
            <w:tcW w:w="1446" w:type="dxa"/>
            <w:gridSpan w:val="2"/>
            <w:tcBorders>
              <w:top w:val="nil"/>
              <w:left w:val="nil"/>
              <w:bottom w:val="single" w:color="auto" w:sz="4" w:space="0"/>
              <w:right w:val="single" w:color="auto"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　</w:t>
            </w:r>
          </w:p>
        </w:tc>
        <w:tc>
          <w:tcPr>
            <w:tcW w:w="1634" w:type="dxa"/>
            <w:gridSpan w:val="2"/>
            <w:tcBorders>
              <w:top w:val="nil"/>
              <w:left w:val="nil"/>
              <w:bottom w:val="single" w:color="auto" w:sz="4" w:space="0"/>
              <w:right w:val="single" w:color="auto"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　</w:t>
            </w:r>
          </w:p>
        </w:tc>
        <w:tc>
          <w:tcPr>
            <w:tcW w:w="1360" w:type="dxa"/>
            <w:gridSpan w:val="2"/>
            <w:tcBorders>
              <w:top w:val="nil"/>
              <w:left w:val="nil"/>
              <w:bottom w:val="single" w:color="auto" w:sz="4" w:space="0"/>
              <w:right w:val="single" w:color="auto"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　</w:t>
            </w:r>
          </w:p>
        </w:tc>
        <w:tc>
          <w:tcPr>
            <w:tcW w:w="1480" w:type="dxa"/>
            <w:tcBorders>
              <w:top w:val="nil"/>
              <w:left w:val="nil"/>
              <w:bottom w:val="single" w:color="auto" w:sz="4" w:space="0"/>
              <w:right w:val="single" w:color="auto"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4" w:hRule="atLeast"/>
        </w:trPr>
        <w:tc>
          <w:tcPr>
            <w:tcW w:w="10286" w:type="dxa"/>
            <w:gridSpan w:val="10"/>
            <w:tcBorders>
              <w:top w:val="single" w:color="auto" w:sz="4" w:space="0"/>
              <w:left w:val="single" w:color="auto" w:sz="4" w:space="0"/>
              <w:bottom w:val="nil"/>
              <w:right w:val="single" w:color="000000" w:sz="4" w:space="0"/>
            </w:tcBorders>
            <w:vAlign w:val="center"/>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声明：以上情况全部属实，如有不真实，愿承担由此引起的有关法律责任。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4" w:hRule="atLeast"/>
        </w:trPr>
        <w:tc>
          <w:tcPr>
            <w:tcW w:w="5666" w:type="dxa"/>
            <w:gridSpan w:val="4"/>
            <w:tcBorders>
              <w:top w:val="nil"/>
              <w:left w:val="single" w:color="auto" w:sz="4" w:space="0"/>
              <w:bottom w:val="nil"/>
              <w:right w:val="nil"/>
            </w:tcBorders>
            <w:vAlign w:val="top"/>
          </w:tcPr>
          <w:p>
            <w:pPr>
              <w:widowControl/>
              <w:jc w:val="left"/>
              <w:rPr>
                <w:rFonts w:ascii="Times New Roman" w:hAnsi="Times New Roman" w:cs="宋体"/>
                <w:kern w:val="0"/>
                <w:sz w:val="24"/>
                <w:szCs w:val="24"/>
              </w:rPr>
            </w:pPr>
            <w:r>
              <w:rPr>
                <w:rFonts w:hint="eastAsia" w:ascii="Times New Roman" w:hAnsi="Times New Roman" w:cs="宋体"/>
                <w:kern w:val="0"/>
                <w:sz w:val="24"/>
                <w:szCs w:val="24"/>
              </w:rPr>
              <w:t>　</w:t>
            </w:r>
          </w:p>
        </w:tc>
        <w:tc>
          <w:tcPr>
            <w:tcW w:w="4620" w:type="dxa"/>
            <w:gridSpan w:val="6"/>
            <w:tcBorders>
              <w:top w:val="nil"/>
              <w:left w:val="nil"/>
              <w:bottom w:val="nil"/>
              <w:right w:val="single" w:color="000000" w:sz="4" w:space="0"/>
            </w:tcBorders>
            <w:vAlign w:val="center"/>
          </w:tcPr>
          <w:p>
            <w:pPr>
              <w:widowControl/>
              <w:adjustRightInd w:val="0"/>
              <w:snapToGrid w:val="0"/>
              <w:jc w:val="left"/>
              <w:rPr>
                <w:rFonts w:ascii="Times New Roman" w:hAnsi="Times New Roman" w:cs="宋体"/>
                <w:kern w:val="0"/>
                <w:sz w:val="24"/>
                <w:szCs w:val="24"/>
              </w:rPr>
            </w:pPr>
            <w:r>
              <w:rPr>
                <w:rFonts w:hint="eastAsia" w:ascii="Times New Roman" w:hAnsi="Times New Roman" w:cs="宋体"/>
                <w:kern w:val="0"/>
                <w:sz w:val="24"/>
                <w:szCs w:val="24"/>
              </w:rPr>
              <w:t>备案机构签章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1" w:hRule="atLeast"/>
        </w:trPr>
        <w:tc>
          <w:tcPr>
            <w:tcW w:w="5666" w:type="dxa"/>
            <w:gridSpan w:val="4"/>
            <w:tcBorders>
              <w:top w:val="nil"/>
              <w:left w:val="single" w:color="auto" w:sz="4" w:space="0"/>
              <w:bottom w:val="single" w:color="auto" w:sz="4" w:space="0"/>
              <w:right w:val="nil"/>
            </w:tcBorders>
            <w:vAlign w:val="center"/>
          </w:tcPr>
          <w:p>
            <w:pPr>
              <w:widowControl/>
              <w:jc w:val="center"/>
              <w:rPr>
                <w:rFonts w:ascii="Times New Roman" w:hAnsi="Times New Roman" w:cs="宋体"/>
                <w:kern w:val="0"/>
                <w:sz w:val="24"/>
                <w:szCs w:val="24"/>
              </w:rPr>
            </w:pPr>
            <w:r>
              <w:rPr>
                <w:rFonts w:hint="eastAsia" w:ascii="Times New Roman" w:hAnsi="Times New Roman" w:cs="宋体"/>
                <w:kern w:val="0"/>
                <w:sz w:val="24"/>
                <w:szCs w:val="24"/>
              </w:rPr>
              <w:t>　</w:t>
            </w:r>
          </w:p>
        </w:tc>
        <w:tc>
          <w:tcPr>
            <w:tcW w:w="4620" w:type="dxa"/>
            <w:gridSpan w:val="6"/>
            <w:tcBorders>
              <w:top w:val="nil"/>
              <w:left w:val="nil"/>
              <w:bottom w:val="single" w:color="auto" w:sz="4" w:space="0"/>
              <w:right w:val="single" w:color="000000" w:sz="4" w:space="0"/>
            </w:tcBorders>
            <w:vAlign w:val="center"/>
          </w:tcPr>
          <w:p>
            <w:pPr>
              <w:widowControl/>
              <w:adjustRightInd w:val="0"/>
              <w:snapToGrid w:val="0"/>
              <w:jc w:val="center"/>
              <w:rPr>
                <w:rFonts w:ascii="Times New Roman" w:hAnsi="Times New Roman" w:cs="宋体"/>
                <w:kern w:val="0"/>
                <w:sz w:val="24"/>
                <w:szCs w:val="24"/>
              </w:rPr>
            </w:pPr>
            <w:r>
              <w:rPr>
                <w:rFonts w:hint="eastAsia" w:ascii="Times New Roman" w:hAnsi="Times New Roman" w:cs="宋体"/>
                <w:kern w:val="0"/>
                <w:sz w:val="24"/>
                <w:szCs w:val="24"/>
              </w:rPr>
              <w:t>年月日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1" w:hRule="atLeast"/>
        </w:trPr>
        <w:tc>
          <w:tcPr>
            <w:tcW w:w="10286" w:type="dxa"/>
            <w:gridSpan w:val="10"/>
            <w:tcBorders>
              <w:top w:val="single" w:color="auto" w:sz="4" w:space="0"/>
              <w:left w:val="single" w:color="auto" w:sz="4" w:space="0"/>
              <w:bottom w:val="nil"/>
              <w:right w:val="single" w:color="000000" w:sz="4" w:space="0"/>
            </w:tcBorders>
            <w:vAlign w:val="center"/>
          </w:tcPr>
          <w:p>
            <w:pPr>
              <w:widowControl/>
              <w:jc w:val="left"/>
              <w:rPr>
                <w:rFonts w:ascii="Times New Roman" w:hAnsi="Times New Roman" w:cs="宋体"/>
                <w:kern w:val="0"/>
                <w:sz w:val="22"/>
              </w:rPr>
            </w:pPr>
            <w:r>
              <w:rPr>
                <w:rFonts w:hint="eastAsia" w:ascii="Times New Roman" w:hAnsi="Times New Roman" w:cs="宋体"/>
                <w:kern w:val="0"/>
                <w:sz w:val="24"/>
                <w:szCs w:val="24"/>
              </w:rPr>
              <w:t>原核准文件（文号）自年月日起失效</w:t>
            </w:r>
            <w:r>
              <w:rPr>
                <w:rFonts w:hint="eastAsia" w:ascii="Times New Roman" w:hAnsi="Times New Roman" w:cs="宋体"/>
                <w:kern w:val="0"/>
                <w:sz w:val="2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19" w:hRule="atLeast"/>
        </w:trPr>
        <w:tc>
          <w:tcPr>
            <w:tcW w:w="10286" w:type="dxa"/>
            <w:gridSpan w:val="10"/>
            <w:tcBorders>
              <w:top w:val="single" w:color="auto" w:sz="4" w:space="0"/>
              <w:left w:val="single" w:color="auto" w:sz="4" w:space="0"/>
              <w:bottom w:val="nil"/>
              <w:right w:val="single" w:color="000000" w:sz="4" w:space="0"/>
            </w:tcBorders>
            <w:vAlign w:val="center"/>
          </w:tcPr>
          <w:p>
            <w:pPr>
              <w:widowControl/>
              <w:jc w:val="center"/>
              <w:rPr>
                <w:rFonts w:ascii="Times New Roman" w:hAnsi="Times New Roman" w:cs="宋体"/>
                <w:kern w:val="0"/>
                <w:sz w:val="22"/>
              </w:rPr>
            </w:pPr>
          </w:p>
          <w:p>
            <w:pPr>
              <w:widowControl/>
              <w:jc w:val="center"/>
              <w:rPr>
                <w:rFonts w:ascii="Times New Roman" w:hAnsi="Times New Roman" w:cs="宋体"/>
                <w:kern w:val="0"/>
                <w:sz w:val="24"/>
                <w:szCs w:val="24"/>
              </w:rPr>
            </w:pPr>
            <w:r>
              <w:rPr>
                <w:rFonts w:hint="eastAsia" w:ascii="Times New Roman" w:hAnsi="Times New Roman" w:cs="宋体"/>
                <w:kern w:val="0"/>
                <w:sz w:val="24"/>
                <w:szCs w:val="24"/>
              </w:rPr>
              <w:t>外汇局签章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5" w:hRule="atLeast"/>
        </w:trPr>
        <w:tc>
          <w:tcPr>
            <w:tcW w:w="10286" w:type="dxa"/>
            <w:gridSpan w:val="10"/>
            <w:tcBorders>
              <w:top w:val="nil"/>
              <w:left w:val="single" w:color="auto" w:sz="4" w:space="0"/>
              <w:bottom w:val="nil"/>
              <w:right w:val="single" w:color="000000" w:sz="4" w:space="0"/>
            </w:tcBorders>
            <w:vAlign w:val="center"/>
          </w:tcPr>
          <w:p>
            <w:pPr>
              <w:widowControl/>
              <w:jc w:val="center"/>
              <w:rPr>
                <w:rFonts w:ascii="Times New Roman" w:hAnsi="Times New Roman" w:cs="宋体"/>
                <w:kern w:val="0"/>
                <w:sz w:val="22"/>
              </w:rPr>
            </w:pPr>
            <w:r>
              <w:rPr>
                <w:rFonts w:hint="eastAsia" w:ascii="Times New Roman" w:hAnsi="Times New Roman" w:cs="宋体"/>
                <w:kern w:val="0"/>
                <w:sz w:val="22"/>
              </w:rPr>
              <w:t>年月日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2826" w:type="dxa"/>
            <w:gridSpan w:val="2"/>
            <w:tcBorders>
              <w:top w:val="nil"/>
              <w:left w:val="single" w:color="auto" w:sz="4" w:space="0"/>
              <w:bottom w:val="single" w:color="auto" w:sz="4" w:space="0"/>
              <w:right w:val="nil"/>
            </w:tcBorders>
            <w:vAlign w:val="center"/>
          </w:tcPr>
          <w:p>
            <w:pPr>
              <w:widowControl/>
              <w:jc w:val="left"/>
              <w:rPr>
                <w:rFonts w:ascii="Times New Roman" w:hAnsi="Times New Roman" w:cs="宋体"/>
                <w:kern w:val="0"/>
                <w:sz w:val="22"/>
              </w:rPr>
            </w:pPr>
            <w:r>
              <w:rPr>
                <w:rFonts w:hint="eastAsia" w:ascii="Times New Roman" w:hAnsi="Times New Roman" w:cs="宋体"/>
                <w:kern w:val="0"/>
                <w:sz w:val="22"/>
              </w:rPr>
              <w:t>　</w:t>
            </w:r>
          </w:p>
        </w:tc>
        <w:tc>
          <w:tcPr>
            <w:tcW w:w="1540" w:type="dxa"/>
            <w:tcBorders>
              <w:top w:val="nil"/>
              <w:left w:val="nil"/>
              <w:bottom w:val="single" w:color="auto" w:sz="4" w:space="0"/>
              <w:right w:val="nil"/>
            </w:tcBorders>
            <w:vAlign w:val="center"/>
          </w:tcPr>
          <w:p>
            <w:pPr>
              <w:widowControl/>
              <w:jc w:val="left"/>
              <w:rPr>
                <w:rFonts w:ascii="Times New Roman" w:hAnsi="Times New Roman" w:cs="宋体"/>
                <w:kern w:val="0"/>
                <w:sz w:val="22"/>
              </w:rPr>
            </w:pPr>
            <w:r>
              <w:rPr>
                <w:rFonts w:hint="eastAsia" w:ascii="Times New Roman" w:hAnsi="Times New Roman" w:cs="宋体"/>
                <w:kern w:val="0"/>
                <w:sz w:val="22"/>
              </w:rPr>
              <w:t>　</w:t>
            </w:r>
          </w:p>
        </w:tc>
        <w:tc>
          <w:tcPr>
            <w:tcW w:w="5920" w:type="dxa"/>
            <w:gridSpan w:val="7"/>
            <w:tcBorders>
              <w:top w:val="nil"/>
              <w:left w:val="nil"/>
              <w:bottom w:val="single" w:color="auto" w:sz="4" w:space="0"/>
              <w:right w:val="single" w:color="000000" w:sz="4" w:space="0"/>
            </w:tcBorders>
            <w:vAlign w:val="center"/>
          </w:tcPr>
          <w:p>
            <w:pPr>
              <w:widowControl/>
              <w:ind w:firstLine="720" w:firstLineChars="300"/>
              <w:jc w:val="left"/>
              <w:rPr>
                <w:rFonts w:ascii="Times New Roman" w:hAnsi="Times New Roman" w:cs="宋体"/>
                <w:kern w:val="0"/>
                <w:szCs w:val="21"/>
              </w:rPr>
            </w:pPr>
            <w:r>
              <w:rPr>
                <w:rFonts w:hint="eastAsia" w:ascii="Times New Roman" w:hAnsi="Times New Roman" w:cs="宋体"/>
                <w:kern w:val="0"/>
                <w:sz w:val="24"/>
                <w:szCs w:val="24"/>
              </w:rPr>
              <w:t>外汇局经办人：审核：</w:t>
            </w:r>
          </w:p>
        </w:tc>
      </w:tr>
    </w:tbl>
    <w:p>
      <w:pPr>
        <w:ind w:left="-1416" w:leftChars="-472" w:right="-1092" w:rightChars="-364"/>
        <w:rPr>
          <w:rFonts w:ascii="Times New Roman" w:hAnsi="Times New Roman"/>
        </w:rPr>
      </w:pPr>
      <w:r>
        <w:rPr>
          <w:rFonts w:hint="eastAsia" w:ascii="Times New Roman" w:hAnsi="Times New Roman" w:cs="宋体"/>
          <w:kern w:val="0"/>
          <w:sz w:val="22"/>
        </w:rPr>
        <w:t>说明：</w:t>
      </w:r>
      <w:r>
        <w:rPr>
          <w:rFonts w:ascii="Times New Roman" w:hAnsi="Times New Roman" w:cs="宋体"/>
          <w:kern w:val="0"/>
          <w:sz w:val="22"/>
        </w:rPr>
        <w:t>1.</w:t>
      </w:r>
      <w:r>
        <w:rPr>
          <w:rFonts w:hint="eastAsia" w:ascii="Times New Roman" w:hAnsi="Times New Roman" w:cs="宋体"/>
          <w:kern w:val="0"/>
          <w:sz w:val="22"/>
        </w:rPr>
        <w:t>本备案表一式两份，一份由保险机构留存，另外一份由外汇局留存。备案日期和备案编号由外汇局填写，备案日期为外汇局收到备案表当天的日期。</w:t>
      </w:r>
      <w:r>
        <w:rPr>
          <w:rFonts w:ascii="Times New Roman" w:hAnsi="Times New Roman" w:cs="宋体"/>
          <w:kern w:val="0"/>
          <w:sz w:val="22"/>
        </w:rPr>
        <w:t>2.</w:t>
      </w:r>
      <w:r>
        <w:rPr>
          <w:rFonts w:hint="eastAsia" w:ascii="Times New Roman" w:hAnsi="Times New Roman" w:cs="宋体"/>
          <w:kern w:val="0"/>
          <w:sz w:val="22"/>
        </w:rPr>
        <w:t>备案编号为八位数字，前</w:t>
      </w:r>
      <w:r>
        <w:rPr>
          <w:rFonts w:ascii="Times New Roman" w:hAnsi="Times New Roman" w:cs="宋体"/>
          <w:kern w:val="0"/>
          <w:sz w:val="22"/>
        </w:rPr>
        <w:t>4</w:t>
      </w:r>
      <w:r>
        <w:rPr>
          <w:rFonts w:hint="eastAsia" w:ascii="Times New Roman" w:hAnsi="Times New Roman" w:cs="宋体"/>
          <w:kern w:val="0"/>
          <w:sz w:val="22"/>
        </w:rPr>
        <w:t>位为当年年份如</w:t>
      </w:r>
      <w:r>
        <w:rPr>
          <w:rFonts w:ascii="Times New Roman" w:hAnsi="Times New Roman" w:cs="宋体"/>
          <w:kern w:val="0"/>
          <w:sz w:val="22"/>
        </w:rPr>
        <w:t>2014</w:t>
      </w:r>
      <w:r>
        <w:rPr>
          <w:rFonts w:hint="eastAsia" w:ascii="Times New Roman" w:hAnsi="Times New Roman" w:cs="宋体"/>
          <w:kern w:val="0"/>
          <w:sz w:val="22"/>
        </w:rPr>
        <w:t>，后</w:t>
      </w:r>
      <w:r>
        <w:rPr>
          <w:rFonts w:ascii="Times New Roman" w:hAnsi="Times New Roman" w:cs="宋体"/>
          <w:kern w:val="0"/>
          <w:sz w:val="22"/>
        </w:rPr>
        <w:t>4</w:t>
      </w:r>
      <w:r>
        <w:rPr>
          <w:rFonts w:hint="eastAsia" w:ascii="Times New Roman" w:hAnsi="Times New Roman" w:cs="宋体"/>
          <w:kern w:val="0"/>
          <w:sz w:val="22"/>
        </w:rPr>
        <w:t>位为序列号如</w:t>
      </w:r>
      <w:r>
        <w:rPr>
          <w:rFonts w:ascii="Times New Roman" w:hAnsi="Times New Roman" w:cs="宋体"/>
          <w:kern w:val="0"/>
          <w:sz w:val="22"/>
        </w:rPr>
        <w:t>0001</w:t>
      </w:r>
      <w:r>
        <w:rPr>
          <w:rFonts w:hint="eastAsia" w:ascii="Times New Roman" w:hAnsi="Times New Roman" w:cs="宋体"/>
          <w:kern w:val="0"/>
          <w:sz w:val="22"/>
        </w:rPr>
        <w:t>。</w:t>
      </w:r>
    </w:p>
    <w:p>
      <w:pPr>
        <w:adjustRightInd w:val="0"/>
        <w:snapToGrid w:val="0"/>
        <w:ind w:right="301"/>
        <w:jc w:val="both"/>
        <w:rPr>
          <w:color w:val="auto"/>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 w:name="Noto Sans Mono CJK JP Regular">
    <w:altName w:val="微软雅黑"/>
    <w:panose1 w:val="00000000000000000000"/>
    <w:charset w:val="00"/>
    <w:family w:val="auto"/>
    <w:pitch w:val="default"/>
    <w:sig w:usb0="00000000" w:usb1="00000000" w:usb2="00000000" w:usb3="00000000" w:csb0="00040001" w:csb1="00000000"/>
  </w:font>
  <w:font w:name="ˎ̥">
    <w:altName w:val="Times New Roman"/>
    <w:panose1 w:val="00000000000000000000"/>
    <w:charset w:val="00"/>
    <w:family w:val="auto"/>
    <w:pitch w:val="default"/>
    <w:sig w:usb0="00000000" w:usb1="00000000" w:usb2="00000000" w:usb3="00000000" w:csb0="00040001" w:csb1="00000000"/>
  </w:font>
  <w:font w:name="方正小标宋_GBK">
    <w:altName w:val="微软雅黑"/>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8000000" w:usb2="00000000" w:usb3="00000000" w:csb0="00040000" w:csb1="00000000"/>
  </w:font>
  <w:font w:name="Tahoma">
    <w:panose1 w:val="020B0604030504040204"/>
    <w:charset w:val="00"/>
    <w:family w:val="auto"/>
    <w:pitch w:val="default"/>
    <w:sig w:usb0="E1002EFF" w:usb1="C000605B" w:usb2="00000029" w:usb3="00000000" w:csb0="200101FF" w:csb1="20280000"/>
  </w:font>
  <w:font w:name="华文仿宋">
    <w:altName w:val="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jc w:val="center"/>
    </w:pPr>
    <w:r>
      <w:fldChar w:fldCharType="begin"/>
    </w:r>
    <w:r>
      <w:instrText xml:space="preserve"> PAGE   \* MERGEFORMAT </w:instrText>
    </w:r>
    <w:r>
      <w:fldChar w:fldCharType="separate"/>
    </w:r>
    <w:r>
      <w:rPr>
        <w:lang w:val="zh-CN"/>
      </w:rPr>
      <w:t>8</w:t>
    </w:r>
    <w:r>
      <w:rPr>
        <w:lang w:val="zh-CN"/>
      </w:rPr>
      <w:fldChar w:fldCharType="end"/>
    </w:r>
  </w:p>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GQ4YjIwYjI4ZmE4OWQ2YmE1MDViYjU3ZGNiYjhlODIifQ=="/>
  </w:docVars>
  <w:rsids>
    <w:rsidRoot w:val="00172A27"/>
    <w:rsid w:val="00003372"/>
    <w:rsid w:val="00016BA0"/>
    <w:rsid w:val="00022191"/>
    <w:rsid w:val="00023783"/>
    <w:rsid w:val="00041960"/>
    <w:rsid w:val="00042B58"/>
    <w:rsid w:val="00054B00"/>
    <w:rsid w:val="00055270"/>
    <w:rsid w:val="00057F76"/>
    <w:rsid w:val="0006560A"/>
    <w:rsid w:val="00072F8A"/>
    <w:rsid w:val="000750C8"/>
    <w:rsid w:val="00080630"/>
    <w:rsid w:val="00091661"/>
    <w:rsid w:val="00092D53"/>
    <w:rsid w:val="00096CBB"/>
    <w:rsid w:val="00097F7B"/>
    <w:rsid w:val="000B6901"/>
    <w:rsid w:val="000B728B"/>
    <w:rsid w:val="000C15B3"/>
    <w:rsid w:val="000C2B33"/>
    <w:rsid w:val="000C3109"/>
    <w:rsid w:val="000D1995"/>
    <w:rsid w:val="000D7478"/>
    <w:rsid w:val="000E1402"/>
    <w:rsid w:val="000E4759"/>
    <w:rsid w:val="0012271F"/>
    <w:rsid w:val="00130519"/>
    <w:rsid w:val="001332EE"/>
    <w:rsid w:val="00135BEE"/>
    <w:rsid w:val="0014667A"/>
    <w:rsid w:val="00154B58"/>
    <w:rsid w:val="00157C64"/>
    <w:rsid w:val="00157E81"/>
    <w:rsid w:val="00170126"/>
    <w:rsid w:val="00177059"/>
    <w:rsid w:val="00181D3E"/>
    <w:rsid w:val="00186BC2"/>
    <w:rsid w:val="00190108"/>
    <w:rsid w:val="00196FAE"/>
    <w:rsid w:val="001A3E49"/>
    <w:rsid w:val="001A72AA"/>
    <w:rsid w:val="001B1E2C"/>
    <w:rsid w:val="001C0646"/>
    <w:rsid w:val="001C44C7"/>
    <w:rsid w:val="001D65A2"/>
    <w:rsid w:val="001E1407"/>
    <w:rsid w:val="001F4BD4"/>
    <w:rsid w:val="001F7297"/>
    <w:rsid w:val="00205D07"/>
    <w:rsid w:val="00212F39"/>
    <w:rsid w:val="00215BA9"/>
    <w:rsid w:val="00217116"/>
    <w:rsid w:val="00231EED"/>
    <w:rsid w:val="00233841"/>
    <w:rsid w:val="00235F24"/>
    <w:rsid w:val="002417D2"/>
    <w:rsid w:val="00241FE8"/>
    <w:rsid w:val="0024527E"/>
    <w:rsid w:val="00253F7B"/>
    <w:rsid w:val="00263773"/>
    <w:rsid w:val="00263B1F"/>
    <w:rsid w:val="00291C17"/>
    <w:rsid w:val="0029313A"/>
    <w:rsid w:val="002B0B1C"/>
    <w:rsid w:val="002B598D"/>
    <w:rsid w:val="002B61C1"/>
    <w:rsid w:val="002C6BC7"/>
    <w:rsid w:val="002E1323"/>
    <w:rsid w:val="002F3868"/>
    <w:rsid w:val="00302119"/>
    <w:rsid w:val="00302E87"/>
    <w:rsid w:val="00310261"/>
    <w:rsid w:val="0033051F"/>
    <w:rsid w:val="00343044"/>
    <w:rsid w:val="00344B01"/>
    <w:rsid w:val="00353AC4"/>
    <w:rsid w:val="00360FA0"/>
    <w:rsid w:val="003616B4"/>
    <w:rsid w:val="0037548C"/>
    <w:rsid w:val="003A57B2"/>
    <w:rsid w:val="003C7132"/>
    <w:rsid w:val="003D77A5"/>
    <w:rsid w:val="003E6BF6"/>
    <w:rsid w:val="003F221D"/>
    <w:rsid w:val="003F3097"/>
    <w:rsid w:val="00402AE8"/>
    <w:rsid w:val="00405FE6"/>
    <w:rsid w:val="004104EB"/>
    <w:rsid w:val="004105BC"/>
    <w:rsid w:val="00421C27"/>
    <w:rsid w:val="00440A1F"/>
    <w:rsid w:val="00443603"/>
    <w:rsid w:val="00443604"/>
    <w:rsid w:val="004501EA"/>
    <w:rsid w:val="00460458"/>
    <w:rsid w:val="00463BFF"/>
    <w:rsid w:val="0046792D"/>
    <w:rsid w:val="004767DF"/>
    <w:rsid w:val="00481032"/>
    <w:rsid w:val="00493CCC"/>
    <w:rsid w:val="0049552E"/>
    <w:rsid w:val="004A0218"/>
    <w:rsid w:val="004A7840"/>
    <w:rsid w:val="004B545A"/>
    <w:rsid w:val="004B7E80"/>
    <w:rsid w:val="004C1596"/>
    <w:rsid w:val="004C457E"/>
    <w:rsid w:val="004C48D5"/>
    <w:rsid w:val="004D03B7"/>
    <w:rsid w:val="004D1436"/>
    <w:rsid w:val="004D57AE"/>
    <w:rsid w:val="004E0A65"/>
    <w:rsid w:val="004F07E8"/>
    <w:rsid w:val="005056D4"/>
    <w:rsid w:val="00526B2B"/>
    <w:rsid w:val="005362B0"/>
    <w:rsid w:val="00542447"/>
    <w:rsid w:val="00550714"/>
    <w:rsid w:val="00563796"/>
    <w:rsid w:val="00564312"/>
    <w:rsid w:val="005A2981"/>
    <w:rsid w:val="005C6937"/>
    <w:rsid w:val="005C7F02"/>
    <w:rsid w:val="005F0A86"/>
    <w:rsid w:val="005F144A"/>
    <w:rsid w:val="005F1C00"/>
    <w:rsid w:val="0061621E"/>
    <w:rsid w:val="0062366A"/>
    <w:rsid w:val="00630AA8"/>
    <w:rsid w:val="00630B2E"/>
    <w:rsid w:val="00643D2A"/>
    <w:rsid w:val="00664E11"/>
    <w:rsid w:val="00673432"/>
    <w:rsid w:val="00673B30"/>
    <w:rsid w:val="00696E5D"/>
    <w:rsid w:val="006B5B86"/>
    <w:rsid w:val="006C28AF"/>
    <w:rsid w:val="006C3F52"/>
    <w:rsid w:val="006C5908"/>
    <w:rsid w:val="006C633E"/>
    <w:rsid w:val="006D56AB"/>
    <w:rsid w:val="006D734F"/>
    <w:rsid w:val="006E043F"/>
    <w:rsid w:val="006E4695"/>
    <w:rsid w:val="006E4B8B"/>
    <w:rsid w:val="006E5901"/>
    <w:rsid w:val="0071091C"/>
    <w:rsid w:val="00714961"/>
    <w:rsid w:val="00743ACD"/>
    <w:rsid w:val="00744BD5"/>
    <w:rsid w:val="00745748"/>
    <w:rsid w:val="00750E36"/>
    <w:rsid w:val="00753CB0"/>
    <w:rsid w:val="00755460"/>
    <w:rsid w:val="00761FB7"/>
    <w:rsid w:val="00762107"/>
    <w:rsid w:val="00764CB9"/>
    <w:rsid w:val="00765B05"/>
    <w:rsid w:val="0077269F"/>
    <w:rsid w:val="00785088"/>
    <w:rsid w:val="00785F45"/>
    <w:rsid w:val="00795E87"/>
    <w:rsid w:val="007A2780"/>
    <w:rsid w:val="007A68EA"/>
    <w:rsid w:val="007B06FC"/>
    <w:rsid w:val="007B0FEF"/>
    <w:rsid w:val="007B2DB5"/>
    <w:rsid w:val="007C2C07"/>
    <w:rsid w:val="007D2C11"/>
    <w:rsid w:val="007D6171"/>
    <w:rsid w:val="007D69EA"/>
    <w:rsid w:val="007E2C7B"/>
    <w:rsid w:val="007E411B"/>
    <w:rsid w:val="007F0863"/>
    <w:rsid w:val="007F2F3B"/>
    <w:rsid w:val="00802307"/>
    <w:rsid w:val="0082168E"/>
    <w:rsid w:val="00821968"/>
    <w:rsid w:val="00836B5E"/>
    <w:rsid w:val="008471B6"/>
    <w:rsid w:val="0084737D"/>
    <w:rsid w:val="00851521"/>
    <w:rsid w:val="0085686A"/>
    <w:rsid w:val="00860878"/>
    <w:rsid w:val="008653AB"/>
    <w:rsid w:val="008731FF"/>
    <w:rsid w:val="008816CB"/>
    <w:rsid w:val="0088294A"/>
    <w:rsid w:val="0089282A"/>
    <w:rsid w:val="008A4538"/>
    <w:rsid w:val="008A704B"/>
    <w:rsid w:val="008B08D2"/>
    <w:rsid w:val="008B4EE5"/>
    <w:rsid w:val="008B5807"/>
    <w:rsid w:val="008D5FA0"/>
    <w:rsid w:val="008E04B5"/>
    <w:rsid w:val="008E2D38"/>
    <w:rsid w:val="008F5724"/>
    <w:rsid w:val="008F5900"/>
    <w:rsid w:val="00902633"/>
    <w:rsid w:val="009027D8"/>
    <w:rsid w:val="0090372F"/>
    <w:rsid w:val="00911E27"/>
    <w:rsid w:val="00911E9A"/>
    <w:rsid w:val="0092129A"/>
    <w:rsid w:val="00925BB2"/>
    <w:rsid w:val="00930C8C"/>
    <w:rsid w:val="009360EA"/>
    <w:rsid w:val="00947C57"/>
    <w:rsid w:val="00951149"/>
    <w:rsid w:val="00960EDB"/>
    <w:rsid w:val="009622DB"/>
    <w:rsid w:val="009664BC"/>
    <w:rsid w:val="009802B3"/>
    <w:rsid w:val="00980F02"/>
    <w:rsid w:val="00991B77"/>
    <w:rsid w:val="00997523"/>
    <w:rsid w:val="009A0C5D"/>
    <w:rsid w:val="009C3809"/>
    <w:rsid w:val="009C4672"/>
    <w:rsid w:val="009C491B"/>
    <w:rsid w:val="009D0911"/>
    <w:rsid w:val="009D24F8"/>
    <w:rsid w:val="009D688C"/>
    <w:rsid w:val="009D7B83"/>
    <w:rsid w:val="009E49CD"/>
    <w:rsid w:val="009F1CE6"/>
    <w:rsid w:val="009F276E"/>
    <w:rsid w:val="009F7A36"/>
    <w:rsid w:val="00A1524C"/>
    <w:rsid w:val="00A249C2"/>
    <w:rsid w:val="00A24FAB"/>
    <w:rsid w:val="00A301E7"/>
    <w:rsid w:val="00A31525"/>
    <w:rsid w:val="00A376AD"/>
    <w:rsid w:val="00A42E69"/>
    <w:rsid w:val="00A45CA7"/>
    <w:rsid w:val="00A51415"/>
    <w:rsid w:val="00A6014E"/>
    <w:rsid w:val="00A60356"/>
    <w:rsid w:val="00A61333"/>
    <w:rsid w:val="00A61A9C"/>
    <w:rsid w:val="00A66F2C"/>
    <w:rsid w:val="00A73838"/>
    <w:rsid w:val="00A81DF1"/>
    <w:rsid w:val="00A90EF3"/>
    <w:rsid w:val="00AA7717"/>
    <w:rsid w:val="00AB131E"/>
    <w:rsid w:val="00AB644F"/>
    <w:rsid w:val="00AB70C5"/>
    <w:rsid w:val="00AC3F5E"/>
    <w:rsid w:val="00AC5293"/>
    <w:rsid w:val="00AD37AF"/>
    <w:rsid w:val="00AE7ACF"/>
    <w:rsid w:val="00AF1ED9"/>
    <w:rsid w:val="00B06409"/>
    <w:rsid w:val="00B16C25"/>
    <w:rsid w:val="00B17D66"/>
    <w:rsid w:val="00B2080F"/>
    <w:rsid w:val="00B31FD9"/>
    <w:rsid w:val="00B35D3A"/>
    <w:rsid w:val="00B422F1"/>
    <w:rsid w:val="00B60377"/>
    <w:rsid w:val="00B71531"/>
    <w:rsid w:val="00B716CB"/>
    <w:rsid w:val="00B71F89"/>
    <w:rsid w:val="00B7456C"/>
    <w:rsid w:val="00B84131"/>
    <w:rsid w:val="00B8630E"/>
    <w:rsid w:val="00B931F4"/>
    <w:rsid w:val="00B95573"/>
    <w:rsid w:val="00B96395"/>
    <w:rsid w:val="00BA2AF8"/>
    <w:rsid w:val="00BB2650"/>
    <w:rsid w:val="00BB5BDC"/>
    <w:rsid w:val="00BB7B76"/>
    <w:rsid w:val="00BD233D"/>
    <w:rsid w:val="00BF4EF0"/>
    <w:rsid w:val="00C02E44"/>
    <w:rsid w:val="00C147D2"/>
    <w:rsid w:val="00C2075F"/>
    <w:rsid w:val="00C23799"/>
    <w:rsid w:val="00C274C9"/>
    <w:rsid w:val="00C31E02"/>
    <w:rsid w:val="00C45BC1"/>
    <w:rsid w:val="00C54291"/>
    <w:rsid w:val="00C623EC"/>
    <w:rsid w:val="00C672C3"/>
    <w:rsid w:val="00C712B2"/>
    <w:rsid w:val="00C94325"/>
    <w:rsid w:val="00C9681A"/>
    <w:rsid w:val="00C97FED"/>
    <w:rsid w:val="00CA1DBB"/>
    <w:rsid w:val="00CA2622"/>
    <w:rsid w:val="00CA7F2C"/>
    <w:rsid w:val="00CA7FF8"/>
    <w:rsid w:val="00CB5DE7"/>
    <w:rsid w:val="00CC068D"/>
    <w:rsid w:val="00CC4922"/>
    <w:rsid w:val="00CD1FF6"/>
    <w:rsid w:val="00CE25C7"/>
    <w:rsid w:val="00CE3335"/>
    <w:rsid w:val="00CE3ADC"/>
    <w:rsid w:val="00CE4849"/>
    <w:rsid w:val="00CE5C8E"/>
    <w:rsid w:val="00CE5F49"/>
    <w:rsid w:val="00D01626"/>
    <w:rsid w:val="00D13966"/>
    <w:rsid w:val="00D33A4D"/>
    <w:rsid w:val="00D33F76"/>
    <w:rsid w:val="00D41F5E"/>
    <w:rsid w:val="00D42E6E"/>
    <w:rsid w:val="00D43DC0"/>
    <w:rsid w:val="00D54E56"/>
    <w:rsid w:val="00D6407D"/>
    <w:rsid w:val="00D93E78"/>
    <w:rsid w:val="00DC6E91"/>
    <w:rsid w:val="00DC7514"/>
    <w:rsid w:val="00DD3845"/>
    <w:rsid w:val="00DD5039"/>
    <w:rsid w:val="00E1687A"/>
    <w:rsid w:val="00E20A2E"/>
    <w:rsid w:val="00E26582"/>
    <w:rsid w:val="00E277DE"/>
    <w:rsid w:val="00E27EE9"/>
    <w:rsid w:val="00E3239D"/>
    <w:rsid w:val="00E3254B"/>
    <w:rsid w:val="00E3439B"/>
    <w:rsid w:val="00E42C5F"/>
    <w:rsid w:val="00E61037"/>
    <w:rsid w:val="00E65A1B"/>
    <w:rsid w:val="00E72F1F"/>
    <w:rsid w:val="00E934AB"/>
    <w:rsid w:val="00EA06AC"/>
    <w:rsid w:val="00EA08BF"/>
    <w:rsid w:val="00EA24FB"/>
    <w:rsid w:val="00EA3F5E"/>
    <w:rsid w:val="00EB3204"/>
    <w:rsid w:val="00EB50BA"/>
    <w:rsid w:val="00EC3D33"/>
    <w:rsid w:val="00ED302A"/>
    <w:rsid w:val="00ED3A42"/>
    <w:rsid w:val="00EE02BC"/>
    <w:rsid w:val="00EE6970"/>
    <w:rsid w:val="00EF38D0"/>
    <w:rsid w:val="00EF3DDF"/>
    <w:rsid w:val="00EF4A8C"/>
    <w:rsid w:val="00F2678C"/>
    <w:rsid w:val="00F27B38"/>
    <w:rsid w:val="00F27E3D"/>
    <w:rsid w:val="00F40278"/>
    <w:rsid w:val="00F41832"/>
    <w:rsid w:val="00F51D34"/>
    <w:rsid w:val="00F56988"/>
    <w:rsid w:val="00F620FB"/>
    <w:rsid w:val="00F6571F"/>
    <w:rsid w:val="00F8687E"/>
    <w:rsid w:val="00F93331"/>
    <w:rsid w:val="00F95549"/>
    <w:rsid w:val="00FA1E24"/>
    <w:rsid w:val="00FA24FB"/>
    <w:rsid w:val="00FA632B"/>
    <w:rsid w:val="00FB38EA"/>
    <w:rsid w:val="00FB5E0F"/>
    <w:rsid w:val="00FB6AFF"/>
    <w:rsid w:val="00FC1740"/>
    <w:rsid w:val="00FC3929"/>
    <w:rsid w:val="00FC4D8F"/>
    <w:rsid w:val="00FD06D3"/>
    <w:rsid w:val="00FD7687"/>
    <w:rsid w:val="00FE3157"/>
    <w:rsid w:val="00FE6865"/>
    <w:rsid w:val="00FE6993"/>
    <w:rsid w:val="04450E96"/>
    <w:rsid w:val="05590A06"/>
    <w:rsid w:val="084B66B4"/>
    <w:rsid w:val="0A9E2296"/>
    <w:rsid w:val="0DC92533"/>
    <w:rsid w:val="0EA82861"/>
    <w:rsid w:val="0F8866B1"/>
    <w:rsid w:val="10A21DB9"/>
    <w:rsid w:val="13A52CFC"/>
    <w:rsid w:val="18AF0B13"/>
    <w:rsid w:val="1C1D5B84"/>
    <w:rsid w:val="1CFD7480"/>
    <w:rsid w:val="1EF63BE6"/>
    <w:rsid w:val="1F44296F"/>
    <w:rsid w:val="1F5C3DED"/>
    <w:rsid w:val="23781A9D"/>
    <w:rsid w:val="238116C7"/>
    <w:rsid w:val="25E60302"/>
    <w:rsid w:val="260375F6"/>
    <w:rsid w:val="27EE4E38"/>
    <w:rsid w:val="28136DCA"/>
    <w:rsid w:val="2D5A6E03"/>
    <w:rsid w:val="2DF4184E"/>
    <w:rsid w:val="2F481F60"/>
    <w:rsid w:val="2FF65DCB"/>
    <w:rsid w:val="336023C0"/>
    <w:rsid w:val="33A72FD6"/>
    <w:rsid w:val="33F660A3"/>
    <w:rsid w:val="345345E7"/>
    <w:rsid w:val="377D7128"/>
    <w:rsid w:val="387B28E9"/>
    <w:rsid w:val="3DD21254"/>
    <w:rsid w:val="41AA019B"/>
    <w:rsid w:val="41B74E97"/>
    <w:rsid w:val="42A73211"/>
    <w:rsid w:val="42BC196F"/>
    <w:rsid w:val="43E517F0"/>
    <w:rsid w:val="48D77474"/>
    <w:rsid w:val="49843C3D"/>
    <w:rsid w:val="4C5003A4"/>
    <w:rsid w:val="4E4F0C03"/>
    <w:rsid w:val="517F6911"/>
    <w:rsid w:val="52B6179E"/>
    <w:rsid w:val="535D4153"/>
    <w:rsid w:val="5A076712"/>
    <w:rsid w:val="5D7A63E2"/>
    <w:rsid w:val="60383983"/>
    <w:rsid w:val="615359F4"/>
    <w:rsid w:val="61A545AD"/>
    <w:rsid w:val="63012783"/>
    <w:rsid w:val="6A7C3A5A"/>
    <w:rsid w:val="73F63560"/>
    <w:rsid w:val="74C378C8"/>
    <w:rsid w:val="782506B1"/>
    <w:rsid w:val="79001624"/>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39"/>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30"/>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41"/>
    <w:qFormat/>
    <w:uiPriority w:val="9"/>
    <w:pPr>
      <w:ind w:right="300"/>
      <w:outlineLvl w:val="2"/>
    </w:pPr>
    <w:rPr>
      <w:rFonts w:ascii="仿宋_GB2312" w:hAnsi="Calibri" w:eastAsia="仿宋_GB2312" w:cs="Times New Roman"/>
      <w:sz w:val="30"/>
      <w:szCs w:val="30"/>
    </w:rPr>
  </w:style>
  <w:style w:type="character" w:default="1" w:styleId="14">
    <w:name w:val="Default Paragraph Font"/>
    <w:unhideWhenUsed/>
    <w:qFormat/>
    <w:uiPriority w:val="1"/>
  </w:style>
  <w:style w:type="table" w:default="1" w:styleId="18">
    <w:name w:val="Normal Table"/>
    <w:unhideWhenUsed/>
    <w:qFormat/>
    <w:uiPriority w:val="99"/>
    <w:tblPr>
      <w:tblStyle w:val="18"/>
      <w:tblLayout w:type="fixed"/>
      <w:tblCellMar>
        <w:top w:w="0" w:type="dxa"/>
        <w:left w:w="108" w:type="dxa"/>
        <w:bottom w:w="0" w:type="dxa"/>
        <w:right w:w="108" w:type="dxa"/>
      </w:tblCellMar>
    </w:tblPr>
    <w:tcPr>
      <w:textDirection w:val="lrTb"/>
    </w:tcPr>
  </w:style>
  <w:style w:type="paragraph" w:styleId="5">
    <w:name w:val="Document Map"/>
    <w:basedOn w:val="1"/>
    <w:link w:val="37"/>
    <w:unhideWhenUsed/>
    <w:qFormat/>
    <w:uiPriority w:val="0"/>
    <w:rPr>
      <w:rFonts w:ascii="宋体"/>
      <w:sz w:val="18"/>
      <w:szCs w:val="18"/>
    </w:rPr>
  </w:style>
  <w:style w:type="paragraph" w:styleId="6">
    <w:name w:val="annotation text"/>
    <w:basedOn w:val="1"/>
    <w:link w:val="43"/>
    <w:unhideWhenUsed/>
    <w:qFormat/>
    <w:uiPriority w:val="99"/>
    <w:pPr>
      <w:jc w:val="left"/>
    </w:pPr>
    <w:rPr>
      <w:rFonts w:ascii="Calibri" w:hAnsi="Calibri" w:eastAsia="宋体" w:cs="Times New Roman"/>
    </w:rPr>
  </w:style>
  <w:style w:type="paragraph" w:styleId="7">
    <w:name w:val="toc 3"/>
    <w:basedOn w:val="1"/>
    <w:next w:val="1"/>
    <w:unhideWhenUsed/>
    <w:qFormat/>
    <w:uiPriority w:val="39"/>
    <w:pPr>
      <w:ind w:left="840" w:leftChars="400"/>
    </w:pPr>
  </w:style>
  <w:style w:type="paragraph" w:styleId="8">
    <w:name w:val="Balloon Text"/>
    <w:basedOn w:val="1"/>
    <w:link w:val="44"/>
    <w:unhideWhenUsed/>
    <w:qFormat/>
    <w:uiPriority w:val="0"/>
    <w:rPr>
      <w:sz w:val="18"/>
      <w:szCs w:val="18"/>
    </w:rPr>
  </w:style>
  <w:style w:type="paragraph" w:styleId="9">
    <w:name w:val="footer"/>
    <w:basedOn w:val="1"/>
    <w:link w:val="29"/>
    <w:unhideWhenUsed/>
    <w:qFormat/>
    <w:uiPriority w:val="99"/>
    <w:pPr>
      <w:tabs>
        <w:tab w:val="center" w:pos="4153"/>
        <w:tab w:val="right" w:pos="8306"/>
      </w:tabs>
      <w:snapToGrid w:val="0"/>
      <w:jc w:val="left"/>
    </w:pPr>
    <w:rPr>
      <w:sz w:val="18"/>
      <w:szCs w:val="18"/>
    </w:rPr>
  </w:style>
  <w:style w:type="paragraph" w:styleId="10">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link w:val="40"/>
    <w:semiHidden/>
    <w:qFormat/>
    <w:uiPriority w:val="0"/>
    <w:pPr>
      <w:snapToGrid w:val="0"/>
      <w:jc w:val="left"/>
    </w:pPr>
    <w:rPr>
      <w:rFonts w:ascii="Times New Roman" w:hAnsi="Times New Roman"/>
      <w:sz w:val="18"/>
      <w:szCs w:val="18"/>
    </w:rPr>
  </w:style>
  <w:style w:type="paragraph" w:styleId="12">
    <w:name w:val="HTML Preformatted"/>
    <w:basedOn w:val="1"/>
    <w:link w:val="36"/>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Hyperlink"/>
    <w:basedOn w:val="14"/>
    <w:unhideWhenUsed/>
    <w:qFormat/>
    <w:uiPriority w:val="99"/>
    <w:rPr>
      <w:rFonts w:hint="default" w:ascii="ˎ̥" w:hAnsi="ˎ̥"/>
      <w:color w:val="0453CC"/>
      <w:sz w:val="20"/>
      <w:szCs w:val="20"/>
      <w:u w:val="none"/>
    </w:rPr>
  </w:style>
  <w:style w:type="character" w:styleId="16">
    <w:name w:val="annotation reference"/>
    <w:basedOn w:val="14"/>
    <w:unhideWhenUsed/>
    <w:qFormat/>
    <w:uiPriority w:val="0"/>
    <w:rPr>
      <w:sz w:val="21"/>
      <w:szCs w:val="21"/>
    </w:rPr>
  </w:style>
  <w:style w:type="character" w:styleId="17">
    <w:name w:val="footnote reference"/>
    <w:unhideWhenUsed/>
    <w:qFormat/>
    <w:uiPriority w:val="0"/>
    <w:rPr>
      <w:rFonts w:ascii="Times New Roman" w:hAnsi="Times New Roman" w:cs="Times New Roman"/>
      <w:vertAlign w:val="superscript"/>
    </w:rPr>
  </w:style>
  <w:style w:type="table" w:styleId="19">
    <w:name w:val="Table Grid"/>
    <w:basedOn w:val="18"/>
    <w:qFormat/>
    <w:uiPriority w:val="59"/>
    <w:pPr/>
    <w:tblPr>
      <w:tblStyle w:val="18"/>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cPr>
      <w:textDirection w:val="lrTb"/>
    </w:tcPr>
  </w:style>
  <w:style w:type="paragraph" w:customStyle="1" w:styleId="20">
    <w:name w:val="p0"/>
    <w:basedOn w:val="1"/>
    <w:qFormat/>
    <w:uiPriority w:val="0"/>
    <w:pPr>
      <w:widowControl/>
    </w:pPr>
    <w:rPr>
      <w:rFonts w:ascii="Calibri" w:hAnsi="Calibri" w:eastAsia="宋体" w:cs="宋体"/>
      <w:kern w:val="0"/>
      <w:szCs w:val="21"/>
    </w:rPr>
  </w:style>
  <w:style w:type="paragraph" w:customStyle="1" w:styleId="21">
    <w:name w:val="Heading 1"/>
    <w:basedOn w:val="1"/>
    <w:qFormat/>
    <w:uiPriority w:val="1"/>
    <w:pPr>
      <w:spacing w:line="541" w:lineRule="exact"/>
      <w:ind w:left="1919" w:right="2017"/>
      <w:jc w:val="center"/>
      <w:outlineLvl w:val="1"/>
    </w:pPr>
    <w:rPr>
      <w:rFonts w:ascii="Noto Sans Mono CJK JP Regular" w:hAnsi="Noto Sans Mono CJK JP Regular" w:eastAsia="Noto Sans Mono CJK JP Regular" w:cs="Noto Sans Mono CJK JP Regular"/>
      <w:sz w:val="36"/>
      <w:szCs w:val="36"/>
    </w:rPr>
  </w:style>
  <w:style w:type="paragraph" w:customStyle="1" w:styleId="22">
    <w:name w:val="列出段落3"/>
    <w:basedOn w:val="1"/>
    <w:qFormat/>
    <w:uiPriority w:val="0"/>
    <w:pPr>
      <w:ind w:firstLine="420" w:firstLineChars="200"/>
    </w:pPr>
    <w:rPr>
      <w:rFonts w:ascii="Times New Roman" w:hAnsi="Times New Roman" w:eastAsia="宋体" w:cs="Times New Roman"/>
      <w:szCs w:val="24"/>
    </w:rPr>
  </w:style>
  <w:style w:type="paragraph" w:customStyle="1" w:styleId="23">
    <w:name w:val="Revision"/>
    <w:semiHidden/>
    <w:qFormat/>
    <w:uiPriority w:val="99"/>
    <w:rPr>
      <w:rFonts w:ascii="Calibri" w:hAnsi="Calibri" w:eastAsia="宋体" w:cs="黑体"/>
      <w:kern w:val="2"/>
      <w:sz w:val="21"/>
      <w:szCs w:val="22"/>
      <w:lang w:val="en-US" w:eastAsia="zh-CN" w:bidi="ar-SA"/>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列出段落4"/>
    <w:basedOn w:val="1"/>
    <w:qFormat/>
    <w:uiPriority w:val="0"/>
    <w:pPr>
      <w:ind w:firstLine="200" w:firstLineChars="200"/>
    </w:pPr>
    <w:rPr>
      <w:rFonts w:ascii="Calibri" w:hAnsi="Calibri" w:eastAsia="宋体" w:cs="Times New Roman"/>
    </w:rPr>
  </w:style>
  <w:style w:type="paragraph" w:customStyle="1" w:styleId="26">
    <w:name w:val="List Paragraph"/>
    <w:basedOn w:val="1"/>
    <w:qFormat/>
    <w:uiPriority w:val="34"/>
    <w:pPr>
      <w:ind w:firstLine="420" w:firstLineChars="200"/>
    </w:pPr>
  </w:style>
  <w:style w:type="paragraph" w:customStyle="1" w:styleId="27">
    <w:name w:val="列出段落1"/>
    <w:basedOn w:val="1"/>
    <w:qFormat/>
    <w:uiPriority w:val="34"/>
    <w:pPr>
      <w:ind w:firstLine="420" w:firstLineChars="200"/>
    </w:pPr>
    <w:rPr>
      <w:rFonts w:ascii="Calibri" w:hAnsi="Calibri" w:eastAsia="宋体" w:cs="Times New Roman"/>
    </w:rPr>
  </w:style>
  <w:style w:type="paragraph" w:customStyle="1" w:styleId="28">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9">
    <w:name w:val="页脚 Char"/>
    <w:basedOn w:val="14"/>
    <w:link w:val="9"/>
    <w:qFormat/>
    <w:uiPriority w:val="99"/>
    <w:rPr>
      <w:sz w:val="18"/>
      <w:szCs w:val="18"/>
    </w:rPr>
  </w:style>
  <w:style w:type="character" w:customStyle="1" w:styleId="30">
    <w:name w:val="标题 2 Char"/>
    <w:basedOn w:val="14"/>
    <w:link w:val="3"/>
    <w:qFormat/>
    <w:uiPriority w:val="0"/>
    <w:rPr>
      <w:rFonts w:ascii="Cambria" w:hAnsi="Cambria" w:eastAsia="宋体" w:cs="Times New Roman"/>
      <w:b/>
      <w:bCs/>
      <w:sz w:val="32"/>
      <w:szCs w:val="32"/>
    </w:rPr>
  </w:style>
  <w:style w:type="character" w:customStyle="1" w:styleId="31">
    <w:name w:val="Intense Emphasis"/>
    <w:basedOn w:val="14"/>
    <w:qFormat/>
    <w:uiPriority w:val="21"/>
    <w:rPr>
      <w:b/>
      <w:bCs/>
      <w:i/>
      <w:iCs/>
      <w:color w:val="4F81BD"/>
    </w:rPr>
  </w:style>
  <w:style w:type="character" w:customStyle="1" w:styleId="32">
    <w:name w:val="标题 4 Char Char"/>
    <w:qFormat/>
    <w:uiPriority w:val="0"/>
    <w:rPr>
      <w:rFonts w:ascii="Calibri" w:hAnsi="Calibri"/>
      <w:b/>
      <w:bCs/>
      <w:sz w:val="28"/>
      <w:szCs w:val="28"/>
      <w:lang w:eastAsia="en-US" w:bidi="en-US"/>
    </w:rPr>
  </w:style>
  <w:style w:type="character" w:customStyle="1" w:styleId="33">
    <w:name w:val="脚注文本 Char"/>
    <w:basedOn w:val="14"/>
    <w:semiHidden/>
    <w:qFormat/>
    <w:uiPriority w:val="99"/>
    <w:rPr>
      <w:kern w:val="2"/>
      <w:sz w:val="18"/>
      <w:szCs w:val="18"/>
    </w:rPr>
  </w:style>
  <w:style w:type="character" w:customStyle="1" w:styleId="34">
    <w:name w:val="批注文字 Char1"/>
    <w:basedOn w:val="14"/>
    <w:semiHidden/>
    <w:qFormat/>
    <w:uiPriority w:val="99"/>
    <w:rPr>
      <w:kern w:val="2"/>
      <w:sz w:val="21"/>
      <w:szCs w:val="22"/>
    </w:rPr>
  </w:style>
  <w:style w:type="character" w:customStyle="1" w:styleId="35">
    <w:name w:val="文档结构图 Char1"/>
    <w:basedOn w:val="14"/>
    <w:semiHidden/>
    <w:qFormat/>
    <w:uiPriority w:val="99"/>
    <w:rPr>
      <w:rFonts w:ascii="宋体" w:eastAsia="宋体"/>
      <w:sz w:val="18"/>
      <w:szCs w:val="18"/>
    </w:rPr>
  </w:style>
  <w:style w:type="character" w:customStyle="1" w:styleId="36">
    <w:name w:val="HTML 预设格式 Char"/>
    <w:basedOn w:val="14"/>
    <w:link w:val="12"/>
    <w:qFormat/>
    <w:uiPriority w:val="99"/>
    <w:rPr>
      <w:rFonts w:ascii="宋体" w:hAnsi="宋体" w:eastAsia="宋体" w:cs="宋体"/>
      <w:kern w:val="0"/>
      <w:sz w:val="24"/>
      <w:szCs w:val="24"/>
    </w:rPr>
  </w:style>
  <w:style w:type="character" w:customStyle="1" w:styleId="37">
    <w:name w:val="文档结构图 Char"/>
    <w:basedOn w:val="14"/>
    <w:link w:val="5"/>
    <w:qFormat/>
    <w:uiPriority w:val="0"/>
    <w:rPr>
      <w:rFonts w:ascii="宋体"/>
      <w:sz w:val="18"/>
      <w:szCs w:val="18"/>
    </w:rPr>
  </w:style>
  <w:style w:type="character" w:customStyle="1" w:styleId="38">
    <w:name w:val="脚注文本 Char2"/>
    <w:basedOn w:val="14"/>
    <w:semiHidden/>
    <w:qFormat/>
    <w:uiPriority w:val="99"/>
    <w:rPr>
      <w:sz w:val="18"/>
      <w:szCs w:val="18"/>
    </w:rPr>
  </w:style>
  <w:style w:type="character" w:customStyle="1" w:styleId="39">
    <w:name w:val="标题 1 Char"/>
    <w:basedOn w:val="14"/>
    <w:link w:val="2"/>
    <w:qFormat/>
    <w:uiPriority w:val="9"/>
    <w:rPr>
      <w:rFonts w:ascii="黑体" w:hAnsi="黑体" w:eastAsia="黑体" w:cs="宋体"/>
      <w:color w:val="000000"/>
      <w:kern w:val="0"/>
      <w:sz w:val="30"/>
      <w:szCs w:val="30"/>
    </w:rPr>
  </w:style>
  <w:style w:type="character" w:customStyle="1" w:styleId="40">
    <w:name w:val="脚注文本 Char1"/>
    <w:basedOn w:val="14"/>
    <w:link w:val="11"/>
    <w:semiHidden/>
    <w:qFormat/>
    <w:uiPriority w:val="0"/>
    <w:rPr>
      <w:rFonts w:ascii="Times New Roman" w:hAnsi="Times New Roman"/>
      <w:sz w:val="18"/>
      <w:szCs w:val="18"/>
    </w:rPr>
  </w:style>
  <w:style w:type="character" w:customStyle="1" w:styleId="41">
    <w:name w:val="标题 3 Char"/>
    <w:basedOn w:val="14"/>
    <w:link w:val="4"/>
    <w:qFormat/>
    <w:uiPriority w:val="9"/>
    <w:rPr>
      <w:rFonts w:ascii="仿宋_GB2312" w:hAnsi="Calibri" w:eastAsia="仿宋_GB2312" w:cs="Times New Roman"/>
      <w:sz w:val="30"/>
      <w:szCs w:val="30"/>
    </w:rPr>
  </w:style>
  <w:style w:type="character" w:customStyle="1" w:styleId="42">
    <w:name w:val="页眉 Char"/>
    <w:basedOn w:val="14"/>
    <w:link w:val="10"/>
    <w:qFormat/>
    <w:uiPriority w:val="99"/>
    <w:rPr>
      <w:sz w:val="18"/>
      <w:szCs w:val="18"/>
    </w:rPr>
  </w:style>
  <w:style w:type="character" w:customStyle="1" w:styleId="43">
    <w:name w:val="批注文字 Char"/>
    <w:basedOn w:val="14"/>
    <w:link w:val="6"/>
    <w:semiHidden/>
    <w:qFormat/>
    <w:uiPriority w:val="0"/>
    <w:rPr>
      <w:rFonts w:ascii="Calibri" w:hAnsi="Calibri" w:eastAsia="宋体" w:cs="Times New Roman"/>
    </w:rPr>
  </w:style>
  <w:style w:type="character" w:customStyle="1" w:styleId="44">
    <w:name w:val="批注框文本 Char"/>
    <w:basedOn w:val="14"/>
    <w:link w:val="8"/>
    <w:semiHidden/>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3925</Words>
  <Characters>4121</Characters>
  <Lines>19</Lines>
  <Paragraphs>5</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2020-02-26T11:29:00Z</dcterms:created>
  <dc:creator>裴建君2</dc:creator>
  <cp:lastModifiedBy>pbcnn</cp:lastModifiedBy>
  <cp:lastPrinted>2017-12-26T09:10:00Z</cp:lastPrinted>
  <dcterms:modified xsi:type="dcterms:W3CDTF">2024-10-14T03:03:55Z</dcterms:modified>
  <dc:title>编号：57014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y fmtid="{D5CDD505-2E9C-101B-9397-08002B2CF9AE}" pid="3" name="ICV">
    <vt:lpwstr>FEBE1A7173CC4FD79DF70289B8CBFEA1_12</vt:lpwstr>
  </property>
</Properties>
</file>