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ind w:right="300"/>
        <w:jc w:val="left"/>
        <w:rPr>
          <w:rFonts w:hint="eastAsia" w:ascii="黑体" w:hAnsi="黑体" w:eastAsia="黑体" w:cs="黑体"/>
          <w:color w:val="auto"/>
          <w:sz w:val="30"/>
          <w:szCs w:val="30"/>
        </w:rPr>
      </w:pPr>
      <w:bookmarkStart w:id="6" w:name="_GoBack"/>
      <w:bookmarkEnd w:id="6"/>
      <w:r>
        <w:rPr>
          <w:rFonts w:hint="eastAsia" w:ascii="黑体" w:hAnsi="黑体" w:eastAsia="黑体" w:cs="黑体"/>
          <w:color w:val="auto"/>
          <w:sz w:val="30"/>
          <w:szCs w:val="30"/>
        </w:rPr>
        <w:t>编号：00017110</w:t>
      </w:r>
      <w:r>
        <w:rPr>
          <w:rFonts w:hint="eastAsia" w:ascii="黑体" w:hAnsi="黑体" w:eastAsia="黑体" w:cs="黑体"/>
          <w:color w:val="auto"/>
          <w:sz w:val="30"/>
          <w:szCs w:val="30"/>
          <w:lang w:val="en-US" w:eastAsia="zh-CN"/>
        </w:rPr>
        <w:t>3001</w:t>
      </w:r>
      <w:r>
        <w:rPr>
          <w:rFonts w:hint="eastAsia" w:ascii="黑体" w:hAnsi="黑体" w:eastAsia="黑体" w:cs="黑体"/>
          <w:color w:val="auto"/>
          <w:sz w:val="30"/>
          <w:szCs w:val="30"/>
        </w:rPr>
        <w:t xml:space="preserve">             </w:t>
      </w: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52"/>
          <w:szCs w:val="52"/>
        </w:rPr>
      </w:pPr>
    </w:p>
    <w:p>
      <w:pPr>
        <w:ind w:right="300"/>
        <w:jc w:val="center"/>
        <w:rPr>
          <w:rFonts w:ascii="Times New Roman" w:hAnsi="Times New Roman" w:eastAsia="黑体" w:cs="Times New Roman"/>
          <w:color w:val="auto"/>
          <w:sz w:val="52"/>
          <w:szCs w:val="52"/>
        </w:rPr>
      </w:pPr>
      <w:r>
        <w:rPr>
          <w:rFonts w:ascii="Times New Roman" w:hAnsi="Times New Roman" w:eastAsia="黑体" w:cs="Times New Roman"/>
          <w:color w:val="auto"/>
          <w:sz w:val="52"/>
          <w:szCs w:val="52"/>
        </w:rPr>
        <w:t>“</w:t>
      </w:r>
      <w:r>
        <w:rPr>
          <w:rFonts w:hint="eastAsia" w:ascii="Times New Roman" w:hAnsi="Times New Roman" w:eastAsia="黑体" w:cs="Times New Roman"/>
          <w:color w:val="auto"/>
          <w:sz w:val="52"/>
          <w:szCs w:val="52"/>
        </w:rPr>
        <w:t>省级分局和计划单列市</w:t>
      </w:r>
      <w:r>
        <w:rPr>
          <w:rFonts w:hint="default" w:ascii="Times New Roman" w:hAnsi="Times New Roman" w:eastAsia="黑体" w:cs="Times New Roman"/>
          <w:color w:val="auto"/>
          <w:sz w:val="52"/>
          <w:szCs w:val="52"/>
          <w:lang w:val="en-US" w:eastAsia="zh-CN"/>
        </w:rPr>
        <w:t>分局办理的货物贸易外汇存放境外核准</w:t>
      </w:r>
      <w:r>
        <w:rPr>
          <w:rFonts w:ascii="Times New Roman" w:hAnsi="Times New Roman" w:eastAsia="黑体" w:cs="Times New Roman"/>
          <w:color w:val="auto"/>
          <w:sz w:val="52"/>
          <w:szCs w:val="52"/>
        </w:rPr>
        <w:t xml:space="preserve">” </w:t>
      </w:r>
    </w:p>
    <w:p>
      <w:pPr>
        <w:ind w:right="300"/>
        <w:jc w:val="center"/>
        <w:rPr>
          <w:rFonts w:ascii="Times New Roman" w:hAnsi="Times New Roman" w:eastAsia="黑体" w:cs="Times New Roman"/>
          <w:color w:val="auto"/>
          <w:sz w:val="52"/>
          <w:szCs w:val="52"/>
        </w:rPr>
      </w:pPr>
      <w:r>
        <w:rPr>
          <w:rFonts w:ascii="Times New Roman" w:hAnsi="Times New Roman" w:eastAsia="黑体" w:cs="Times New Roman"/>
          <w:color w:val="auto"/>
          <w:sz w:val="52"/>
          <w:szCs w:val="52"/>
        </w:rPr>
        <w:t>行政审批服务指南</w:t>
      </w: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hint="eastAsia" w:ascii="宋体" w:hAnsi="宋体" w:eastAsia="宋体" w:cs="宋体"/>
          <w:b w:val="0"/>
          <w:bCs w:val="0"/>
          <w:color w:val="auto"/>
          <w:sz w:val="40"/>
          <w:szCs w:val="40"/>
          <w:lang w:val="en-US" w:eastAsia="zh-CN"/>
        </w:rPr>
      </w:pPr>
      <w:r>
        <w:rPr>
          <w:rFonts w:hint="eastAsia" w:ascii="宋体" w:hAnsi="宋体" w:eastAsia="宋体" w:cs="宋体"/>
          <w:b w:val="0"/>
          <w:bCs w:val="0"/>
          <w:color w:val="auto"/>
          <w:sz w:val="40"/>
          <w:szCs w:val="40"/>
          <w:lang w:val="en-US" w:eastAsia="zh-CN"/>
        </w:rPr>
        <w:t>国家外汇管理局广西壮族自治区分局</w:t>
      </w:r>
    </w:p>
    <w:p>
      <w:pPr>
        <w:pStyle w:val="13"/>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ind w:right="300"/>
        <w:jc w:val="center"/>
        <w:rPr>
          <w:rFonts w:ascii="Times New Roman" w:hAnsi="Times New Roman" w:eastAsia="仿宋_GB2312" w:cs="Times New Roman"/>
          <w:color w:val="auto"/>
          <w:sz w:val="30"/>
          <w:szCs w:val="30"/>
        </w:rPr>
      </w:pPr>
    </w:p>
    <w:p>
      <w:pPr>
        <w:ind w:right="300"/>
        <w:rPr>
          <w:rFonts w:ascii="Times New Roman" w:hAnsi="Times New Roman" w:eastAsia="仿宋_GB2312" w:cs="Times New Roman"/>
          <w:color w:val="auto"/>
          <w:sz w:val="30"/>
          <w:szCs w:val="30"/>
        </w:rPr>
        <w:sectPr>
          <w:footerReference r:id="rId4" w:type="default"/>
          <w:pgSz w:w="11906" w:h="16838"/>
          <w:pgMar w:top="1440" w:right="1800" w:bottom="1440" w:left="1800" w:header="851" w:footer="992" w:gutter="0"/>
          <w:cols w:space="720" w:num="1"/>
          <w:docGrid w:type="lines" w:linePitch="312" w:charSpace="0"/>
        </w:sectPr>
      </w:pPr>
    </w:p>
    <w:p>
      <w:pPr>
        <w:jc w:val="center"/>
        <w:rPr>
          <w:rFonts w:ascii="方正小标宋_GBK" w:hAnsi="方正小标宋_GBK" w:eastAsia="方正小标宋_GBK" w:cs="方正小标宋_GBK"/>
          <w:color w:val="auto"/>
          <w:sz w:val="40"/>
          <w:szCs w:val="40"/>
        </w:rPr>
      </w:pPr>
      <w:r>
        <w:rPr>
          <w:rFonts w:ascii="Times New Roman" w:hAnsi="Times New Roman" w:eastAsia="黑体" w:cs="Times New Roman"/>
          <w:color w:val="auto"/>
          <w:sz w:val="30"/>
          <w:szCs w:val="30"/>
        </w:rPr>
        <w:t xml:space="preserve">   </w:t>
      </w:r>
      <w:r>
        <w:rPr>
          <w:rFonts w:hint="eastAsia" w:ascii="方正小标宋_GBK" w:hAnsi="方正小标宋_GBK" w:eastAsia="方正小标宋_GBK" w:cs="方正小标宋_GBK"/>
          <w:color w:val="auto"/>
          <w:sz w:val="40"/>
          <w:szCs w:val="40"/>
        </w:rPr>
        <w:t>省级分局和计划单列市分局办理的货物贸易外汇存放境外核准</w:t>
      </w:r>
    </w:p>
    <w:p>
      <w:pPr>
        <w:jc w:val="center"/>
        <w:rPr>
          <w:rFonts w:ascii="方正小标宋_GBK" w:hAnsi="方正小标宋_GBK" w:eastAsia="方正小标宋_GBK" w:cs="方正小标宋_GBK"/>
          <w:color w:val="auto"/>
          <w:sz w:val="40"/>
          <w:szCs w:val="40"/>
        </w:rPr>
      </w:pPr>
      <w:r>
        <w:rPr>
          <w:rFonts w:hint="eastAsia" w:ascii="方正小标宋_GBK" w:hAnsi="方正小标宋_GBK" w:eastAsia="方正小标宋_GBK" w:cs="方正小标宋_GBK"/>
          <w:color w:val="auto"/>
          <w:sz w:val="40"/>
          <w:szCs w:val="40"/>
        </w:rPr>
        <w:t>【000171103001】</w:t>
      </w:r>
    </w:p>
    <w:p>
      <w:p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一、基本要素</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1.</w:t>
      </w:r>
      <w:r>
        <w:rPr>
          <w:rFonts w:ascii="Times New Roman" w:hAnsi="Times New Roman" w:eastAsia="仿宋GB2312"/>
          <w:b/>
          <w:bCs/>
          <w:color w:val="auto"/>
          <w:sz w:val="28"/>
          <w:szCs w:val="28"/>
        </w:rPr>
        <w:t>行政许可事项名称</w:t>
      </w:r>
      <w:r>
        <w:rPr>
          <w:rFonts w:hint="eastAsia" w:ascii="Times New Roman" w:hAnsi="Times New Roman" w:eastAsia="仿宋GB2312"/>
          <w:b/>
          <w:bCs/>
          <w:color w:val="auto"/>
          <w:sz w:val="28"/>
          <w:szCs w:val="28"/>
        </w:rPr>
        <w:t>及编码</w:t>
      </w:r>
    </w:p>
    <w:p>
      <w:pPr>
        <w:spacing w:line="540" w:lineRule="exact"/>
        <w:ind w:firstLine="560" w:firstLineChars="200"/>
        <w:outlineLvl w:val="2"/>
        <w:rPr>
          <w:rFonts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经常项目外汇存放境外核准【00017110300Y】</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2.</w:t>
      </w:r>
      <w:r>
        <w:rPr>
          <w:rFonts w:ascii="Times New Roman" w:hAnsi="Times New Roman" w:eastAsia="仿宋GB2312"/>
          <w:b/>
          <w:bCs/>
          <w:color w:val="auto"/>
          <w:sz w:val="28"/>
          <w:szCs w:val="28"/>
        </w:rPr>
        <w:t>行政许可</w:t>
      </w:r>
      <w:r>
        <w:rPr>
          <w:rFonts w:hint="eastAsia" w:ascii="Times New Roman" w:hAnsi="Times New Roman" w:eastAsia="仿宋GB2312"/>
          <w:b/>
          <w:bCs/>
          <w:color w:val="auto"/>
          <w:sz w:val="28"/>
          <w:szCs w:val="28"/>
        </w:rPr>
        <w:t>事项子项名称及编码</w:t>
      </w:r>
    </w:p>
    <w:p>
      <w:pPr>
        <w:spacing w:line="360" w:lineRule="auto"/>
        <w:ind w:firstLine="560" w:firstLineChars="200"/>
        <w:rPr>
          <w:rFonts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省级分局和计划单列市分局办理的货物贸易外汇存放境外核准【000171103001】</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3.行政许可事项业务办理项名称及编码</w:t>
      </w:r>
    </w:p>
    <w:p>
      <w:pPr>
        <w:spacing w:line="360" w:lineRule="auto"/>
        <w:ind w:firstLine="560" w:firstLineChars="200"/>
        <w:rPr>
          <w:rFonts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1.省级分局和计划单列市分局办理的货物贸易外汇存放境外外汇账户新办(00017110300101)</w:t>
      </w:r>
    </w:p>
    <w:p>
      <w:pPr>
        <w:spacing w:line="360" w:lineRule="auto"/>
        <w:ind w:firstLine="560" w:firstLineChars="200"/>
        <w:rPr>
          <w:rFonts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2.省级分局和计划单列市分局办理的货物贸易外汇存放境外外汇账户变更(00017110300102)</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4.设定依据</w:t>
      </w:r>
    </w:p>
    <w:p>
      <w:pPr>
        <w:spacing w:line="540" w:lineRule="exact"/>
        <w:ind w:firstLine="560" w:firstLineChars="200"/>
        <w:outlineLvl w:val="2"/>
        <w:rPr>
          <w:rFonts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（1）《中华人民共和国外汇管理条例》第九条</w:t>
      </w:r>
    </w:p>
    <w:p>
      <w:pPr>
        <w:spacing w:line="540" w:lineRule="exact"/>
        <w:ind w:firstLine="560" w:firstLineChars="200"/>
        <w:outlineLvl w:val="2"/>
        <w:rPr>
          <w:rFonts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（2）《国务院对确需保留的行政审批项目设定行政许可的决定》</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5.实施依据</w:t>
      </w:r>
    </w:p>
    <w:p>
      <w:pPr>
        <w:spacing w:line="540" w:lineRule="exact"/>
        <w:ind w:firstLine="560" w:firstLineChars="200"/>
        <w:outlineLvl w:val="2"/>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（1）《经常项目外汇业务指引（2020年版）》（汇发〔2020〕14号文印发）第一百六十一条</w:t>
      </w:r>
    </w:p>
    <w:p>
      <w:pPr>
        <w:spacing w:line="540" w:lineRule="exact"/>
        <w:ind w:firstLine="560" w:firstLineChars="200"/>
        <w:outlineLvl w:val="2"/>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（2）《国家外汇管理局行政许可实施办法》（国家外汇管理局公告2021年第1号）</w:t>
      </w:r>
    </w:p>
    <w:p>
      <w:pPr>
        <w:spacing w:line="540" w:lineRule="exact"/>
        <w:ind w:firstLine="560" w:firstLineChars="200"/>
        <w:outlineLvl w:val="2"/>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（3）《经常项目外汇业务指引（2020年版）》（汇发〔2020〕14号文印发）第一百六十二条</w:t>
      </w:r>
    </w:p>
    <w:p>
      <w:pPr>
        <w:spacing w:line="540" w:lineRule="exact"/>
        <w:ind w:firstLine="560" w:firstLineChars="200"/>
        <w:outlineLvl w:val="2"/>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（4）《经常项目外汇业务指引（2020年版）》（汇发〔2020〕14号文印发）第一百六十三条</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6.监管依据</w:t>
      </w:r>
    </w:p>
    <w:p>
      <w:pPr>
        <w:spacing w:line="540" w:lineRule="exact"/>
        <w:ind w:firstLine="560" w:firstLineChars="200"/>
        <w:outlineLvl w:val="2"/>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（1）《中华人民共和国外汇管理条例》</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7.</w:t>
      </w:r>
      <w:r>
        <w:rPr>
          <w:rFonts w:ascii="Times New Roman" w:hAnsi="Times New Roman" w:eastAsia="仿宋GB2312"/>
          <w:b/>
          <w:bCs/>
          <w:color w:val="auto"/>
          <w:sz w:val="28"/>
          <w:szCs w:val="28"/>
        </w:rPr>
        <w:t>实施机关</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国家外汇局省级分局和计划单列市分局</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8.</w:t>
      </w:r>
      <w:r>
        <w:rPr>
          <w:rFonts w:ascii="Times New Roman" w:hAnsi="Times New Roman" w:eastAsia="仿宋GB2312"/>
          <w:b/>
          <w:bCs/>
          <w:color w:val="auto"/>
          <w:sz w:val="28"/>
          <w:szCs w:val="28"/>
        </w:rPr>
        <w:t>审批层级</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国家级</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9.行使</w:t>
      </w:r>
      <w:r>
        <w:rPr>
          <w:rFonts w:ascii="Times New Roman" w:hAnsi="Times New Roman" w:eastAsia="仿宋GB2312"/>
          <w:b/>
          <w:bCs/>
          <w:color w:val="auto"/>
          <w:sz w:val="28"/>
          <w:szCs w:val="28"/>
        </w:rPr>
        <w:t>层级</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省级/直属</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10.</w:t>
      </w:r>
      <w:r>
        <w:rPr>
          <w:rFonts w:ascii="Times New Roman" w:hAnsi="Times New Roman" w:eastAsia="仿宋GB2312"/>
          <w:b/>
          <w:bCs/>
          <w:color w:val="auto"/>
          <w:sz w:val="28"/>
          <w:szCs w:val="28"/>
        </w:rPr>
        <w:t>是否由审批机关受理</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是</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11.</w:t>
      </w:r>
      <w:r>
        <w:rPr>
          <w:rFonts w:ascii="Times New Roman" w:hAnsi="Times New Roman" w:eastAsia="仿宋GB2312"/>
          <w:b/>
          <w:bCs/>
          <w:color w:val="auto"/>
          <w:sz w:val="28"/>
          <w:szCs w:val="28"/>
        </w:rPr>
        <w:t>受理层级</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省级</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12.</w:t>
      </w:r>
      <w:r>
        <w:rPr>
          <w:rFonts w:ascii="Times New Roman" w:hAnsi="Times New Roman" w:eastAsia="仿宋GB2312"/>
          <w:b/>
          <w:bCs/>
          <w:color w:val="auto"/>
          <w:sz w:val="28"/>
          <w:szCs w:val="28"/>
        </w:rPr>
        <w:t>是否存在初审环节</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否</w:t>
      </w:r>
    </w:p>
    <w:p>
      <w:pPr>
        <w:spacing w:line="600" w:lineRule="exact"/>
        <w:ind w:firstLine="562" w:firstLineChars="200"/>
        <w:rPr>
          <w:rFonts w:ascii="Times New Roman" w:hAnsi="Times New Roman" w:eastAsia="仿宋GB2312"/>
          <w:color w:val="auto"/>
          <w:sz w:val="28"/>
          <w:szCs w:val="28"/>
          <w:highlight w:val="yellow"/>
        </w:rPr>
      </w:pPr>
      <w:r>
        <w:rPr>
          <w:rFonts w:hint="eastAsia" w:ascii="Times New Roman" w:hAnsi="Times New Roman" w:eastAsia="仿宋GB2312"/>
          <w:b/>
          <w:bCs/>
          <w:color w:val="auto"/>
          <w:sz w:val="28"/>
          <w:szCs w:val="28"/>
        </w:rPr>
        <w:t>13.</w:t>
      </w:r>
      <w:r>
        <w:rPr>
          <w:rFonts w:ascii="Times New Roman" w:hAnsi="Times New Roman" w:eastAsia="仿宋GB2312"/>
          <w:b/>
          <w:bCs/>
          <w:color w:val="auto"/>
          <w:sz w:val="28"/>
          <w:szCs w:val="28"/>
        </w:rPr>
        <w:t>初审层级</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无</w:t>
      </w:r>
    </w:p>
    <w:p>
      <w:pPr>
        <w:spacing w:line="600" w:lineRule="exact"/>
        <w:ind w:firstLine="562" w:firstLineChars="200"/>
        <w:jc w:val="left"/>
        <w:rPr>
          <w:rFonts w:ascii="方正仿宋_GBK" w:hAnsi="方正仿宋_GBK" w:eastAsia="方正仿宋_GBK" w:cs="方正仿宋_GBK"/>
          <w:color w:val="auto"/>
          <w:sz w:val="28"/>
          <w:szCs w:val="28"/>
        </w:rPr>
      </w:pPr>
      <w:r>
        <w:rPr>
          <w:rFonts w:hint="eastAsia" w:ascii="Times New Roman" w:hAnsi="Times New Roman" w:eastAsia="仿宋GB2312"/>
          <w:b/>
          <w:bCs/>
          <w:color w:val="auto"/>
          <w:sz w:val="28"/>
          <w:szCs w:val="28"/>
        </w:rPr>
        <w:t>14.</w:t>
      </w:r>
      <w:r>
        <w:rPr>
          <w:rFonts w:ascii="Times New Roman" w:hAnsi="Times New Roman" w:eastAsia="仿宋GB2312"/>
          <w:b/>
          <w:bCs/>
          <w:color w:val="auto"/>
          <w:sz w:val="28"/>
          <w:szCs w:val="28"/>
        </w:rPr>
        <w:t>对应政务服务事项国家级基本目录名称</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货物贸易外汇收入存放境外外汇账户审批</w:t>
      </w:r>
    </w:p>
    <w:p>
      <w:pPr>
        <w:spacing w:line="600" w:lineRule="exact"/>
        <w:ind w:firstLine="562" w:firstLineChars="200"/>
        <w:jc w:val="left"/>
        <w:rPr>
          <w:rFonts w:ascii="方正仿宋_GBK" w:hAnsi="方正仿宋_GBK" w:eastAsia="方正仿宋_GBK" w:cs="方正仿宋_GBK"/>
          <w:color w:val="auto"/>
          <w:sz w:val="28"/>
          <w:szCs w:val="28"/>
        </w:rPr>
      </w:pPr>
      <w:r>
        <w:rPr>
          <w:rFonts w:hint="eastAsia" w:ascii="Times New Roman" w:hAnsi="Times New Roman" w:eastAsia="仿宋GB2312"/>
          <w:b/>
          <w:bCs/>
          <w:color w:val="auto"/>
          <w:sz w:val="28"/>
          <w:szCs w:val="28"/>
        </w:rPr>
        <w:t>15.要素统一情况：</w:t>
      </w:r>
      <w:r>
        <w:rPr>
          <w:rFonts w:hint="eastAsia" w:ascii="方正仿宋_GBK" w:hAnsi="方正仿宋_GBK" w:eastAsia="方正仿宋_GBK" w:cs="方正仿宋_GBK"/>
          <w:color w:val="auto"/>
          <w:sz w:val="28"/>
          <w:szCs w:val="28"/>
        </w:rPr>
        <w:t>全部要素全国统一</w:t>
      </w:r>
    </w:p>
    <w:p>
      <w:p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二、行政许可事项类型</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条件型</w:t>
      </w:r>
    </w:p>
    <w:p>
      <w:p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三、行政许可条件</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1.准予行政许可的条件</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省级分局和计划单列市分局办理的货物贸易外汇存放境外外汇账户新办</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申请人为境内机构，货物出口收入来源真实合法，且在境外有符合相关规定的支付需求；近两年无违反外汇管理规定行为。</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省级分局和计划单列市分局办理的货物贸易外汇存放境外外汇账户变更</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企业提高存放境外规模、境内企业集团调整参与成员公司的。</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2.</w:t>
      </w:r>
      <w:r>
        <w:rPr>
          <w:rFonts w:ascii="Times New Roman" w:hAnsi="Times New Roman" w:eastAsia="仿宋GB2312"/>
          <w:b/>
          <w:bCs/>
          <w:color w:val="auto"/>
          <w:sz w:val="28"/>
          <w:szCs w:val="28"/>
        </w:rPr>
        <w:t>规定行政许可条件的依据</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1）《经常项目外汇业务指引（2020年版）》（汇发〔2020〕14号文印发）第一百六十二条存放境外应具备下列条件：（一）货物出口收入或服务贸易外汇收入来源真实合法，且在境外有符合相关规定的支付需求；（二）近两年无违反外汇管理规定行为……。</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（2）《经常项目外汇业务指引（2020年版）》（汇发〔2020〕14号文印发）第一百六十三条……企业提高存放境外规模、境内企业集团调整参与成员公司的，应持书面申请向所在地外汇局申请变更登记……。</w:t>
      </w:r>
    </w:p>
    <w:p>
      <w:p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四、</w:t>
      </w:r>
      <w:r>
        <w:rPr>
          <w:rFonts w:ascii="Times New Roman" w:hAnsi="Times New Roman" w:eastAsia="黑体"/>
          <w:color w:val="auto"/>
          <w:sz w:val="28"/>
          <w:szCs w:val="28"/>
        </w:rPr>
        <w:t>行政许可服务对象类型</w:t>
      </w:r>
      <w:r>
        <w:rPr>
          <w:rFonts w:hint="eastAsia" w:ascii="Times New Roman" w:hAnsi="Times New Roman" w:eastAsia="黑体"/>
          <w:color w:val="auto"/>
          <w:sz w:val="28"/>
          <w:szCs w:val="28"/>
        </w:rPr>
        <w:t>与改革举措</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1.服务对象类型：</w:t>
      </w:r>
      <w:r>
        <w:rPr>
          <w:rFonts w:ascii="方正仿宋_GBK" w:hAnsi="方正仿宋_GBK" w:eastAsia="方正仿宋_GBK" w:cs="方正仿宋_GBK"/>
          <w:color w:val="auto"/>
          <w:sz w:val="28"/>
          <w:szCs w:val="28"/>
        </w:rPr>
        <w:t>企业法人,事业单位法人,社会组织法人,非法人企业,行政机关,其他组织</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2.是否为涉企许可事项：</w:t>
      </w:r>
      <w:r>
        <w:rPr>
          <w:rFonts w:ascii="方正仿宋_GBK" w:hAnsi="方正仿宋_GBK" w:eastAsia="方正仿宋_GBK" w:cs="方正仿宋_GBK"/>
          <w:color w:val="auto"/>
          <w:sz w:val="28"/>
          <w:szCs w:val="28"/>
        </w:rPr>
        <w:t>否</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3.涉企经营许可事项名称：</w:t>
      </w:r>
      <w:r>
        <w:rPr>
          <w:rFonts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4.许可证件名称：</w:t>
      </w:r>
      <w:r>
        <w:rPr>
          <w:rFonts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5.改革方式：</w:t>
      </w:r>
      <w:r>
        <w:rPr>
          <w:rFonts w:ascii="方正仿宋_GBK" w:hAnsi="方正仿宋_GBK" w:eastAsia="方正仿宋_GBK" w:cs="方正仿宋_GBK"/>
          <w:color w:val="auto"/>
          <w:sz w:val="28"/>
          <w:szCs w:val="28"/>
        </w:rPr>
        <w:t>无</w:t>
      </w:r>
    </w:p>
    <w:p>
      <w:pPr>
        <w:spacing w:line="540" w:lineRule="exact"/>
        <w:ind w:firstLine="562" w:firstLineChars="200"/>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 xml:space="preserve">6.具体改革举措: </w:t>
      </w:r>
      <w:r>
        <w:rPr>
          <w:rFonts w:ascii="方正仿宋_GBK" w:hAnsi="方正仿宋_GBK" w:eastAsia="方正仿宋_GBK" w:cs="方正仿宋_GBK"/>
          <w:color w:val="auto"/>
          <w:sz w:val="28"/>
          <w:szCs w:val="28"/>
        </w:rPr>
        <w:t>无</w:t>
      </w:r>
    </w:p>
    <w:p>
      <w:pPr>
        <w:spacing w:line="540" w:lineRule="exact"/>
        <w:ind w:firstLine="562" w:firstLineChars="200"/>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7.加强事中事后监管措施</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（1）开展“双随机、一公开”监管，依法查处违规行为，适时公开相关案例。（2）依法及时处理投诉举报。（3）开展数据统计与监测，掌握外汇业务情况。</w:t>
      </w:r>
    </w:p>
    <w:p>
      <w:p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五、申请材料</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1.申请材料名称</w:t>
      </w:r>
    </w:p>
    <w:p>
      <w:pPr>
        <w:spacing w:line="600" w:lineRule="exact"/>
        <w:ind w:firstLine="560" w:firstLineChars="200"/>
        <w:rPr>
          <w:rFonts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省级分局和计划单列市分局办理的货物贸易外汇存放境外外汇账户新办</w:t>
      </w:r>
    </w:p>
    <w:p>
      <w:pPr>
        <w:spacing w:line="600" w:lineRule="exact"/>
        <w:ind w:firstLine="560" w:firstLineChars="200"/>
        <w:rPr>
          <w:rFonts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书面申请原件1份。</w:t>
      </w:r>
    </w:p>
    <w:p>
      <w:pPr>
        <w:spacing w:line="600" w:lineRule="exact"/>
        <w:ind w:firstLine="560" w:firstLineChars="200"/>
        <w:rPr>
          <w:rFonts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《出口收入存放境外登记表》原件1份。</w:t>
      </w:r>
    </w:p>
    <w:p>
      <w:pPr>
        <w:spacing w:line="600" w:lineRule="exact"/>
        <w:ind w:firstLine="560" w:firstLineChars="200"/>
        <w:rPr>
          <w:rFonts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省级分局和计划单列市分局办理的货物贸易外汇存放境外外汇账户变更</w:t>
      </w:r>
    </w:p>
    <w:p>
      <w:pPr>
        <w:spacing w:line="600" w:lineRule="exact"/>
        <w:ind w:firstLine="560" w:firstLineChars="200"/>
        <w:rPr>
          <w:rFonts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书面申请原件1份。</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2.</w:t>
      </w:r>
      <w:r>
        <w:rPr>
          <w:rFonts w:ascii="Times New Roman" w:hAnsi="Times New Roman" w:eastAsia="仿宋GB2312"/>
          <w:b/>
          <w:bCs/>
          <w:color w:val="auto"/>
          <w:sz w:val="28"/>
          <w:szCs w:val="28"/>
        </w:rPr>
        <w:t>规定申请材料的依据</w:t>
      </w:r>
    </w:p>
    <w:p>
      <w:pPr>
        <w:spacing w:line="600" w:lineRule="exact"/>
        <w:ind w:firstLine="560" w:firstLineChars="200"/>
        <w:rPr>
          <w:rFonts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1）《经常项目外汇业务指引（2020年版）》（汇发〔2020〕14号文印发）第一百六十三条境内机构开立境外账户，应凭下列材料到所在地外汇局办理境外开户登记：（一）法定代表人或其授权人签字并加盖企业公章的书面申请，申请书内容包括但不限于：基本情况、业务开展情况、拟开户银行、使用期限、根据实际需要申请的存放境外资金规模等；（二）货物贸易出口收入存放境外企业还需提供《出口收入存放境外登记表》。境内企业集团实行集中收付的，应由主办企业到所在地外汇局办理境外开户登记手续。……企业提高存放境外规模、境内企业集团调整参与成员公司的，应持书面申请书向所在地外汇局申请变更登记。</w:t>
      </w:r>
    </w:p>
    <w:p>
      <w:p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六、中介服务</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1.有无法定中介服务事项：</w:t>
      </w:r>
      <w:r>
        <w:rPr>
          <w:rFonts w:ascii="方正仿宋_GBK" w:hAnsi="方正仿宋_GBK" w:eastAsia="方正仿宋_GBK" w:cs="方正仿宋_GBK"/>
          <w:color w:val="auto"/>
          <w:sz w:val="28"/>
          <w:szCs w:val="28"/>
        </w:rPr>
        <w:t>无</w:t>
      </w:r>
    </w:p>
    <w:p>
      <w:pPr>
        <w:spacing w:line="600" w:lineRule="exact"/>
        <w:ind w:firstLine="562" w:firstLineChars="200"/>
        <w:rPr>
          <w:rFonts w:ascii="方正仿宋_GBK" w:hAnsi="方正仿宋_GBK" w:eastAsia="方正仿宋_GBK" w:cs="方正仿宋_GBK"/>
          <w:color w:val="auto"/>
          <w:sz w:val="28"/>
          <w:szCs w:val="28"/>
        </w:rPr>
      </w:pPr>
      <w:r>
        <w:rPr>
          <w:rFonts w:hint="eastAsia" w:ascii="Times New Roman" w:hAnsi="Times New Roman" w:eastAsia="仿宋GB2312"/>
          <w:b/>
          <w:bCs/>
          <w:color w:val="auto"/>
          <w:sz w:val="28"/>
          <w:szCs w:val="28"/>
        </w:rPr>
        <w:t>2.</w:t>
      </w:r>
      <w:r>
        <w:rPr>
          <w:rFonts w:ascii="Times New Roman" w:hAnsi="Times New Roman" w:eastAsia="仿宋GB2312"/>
          <w:b/>
          <w:bCs/>
          <w:color w:val="auto"/>
          <w:sz w:val="28"/>
          <w:szCs w:val="28"/>
        </w:rPr>
        <w:t>中介服务事项名称</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3.</w:t>
      </w:r>
      <w:r>
        <w:rPr>
          <w:rFonts w:ascii="Times New Roman" w:hAnsi="Times New Roman" w:eastAsia="仿宋GB2312"/>
          <w:b/>
          <w:bCs/>
          <w:color w:val="auto"/>
          <w:sz w:val="28"/>
          <w:szCs w:val="28"/>
        </w:rPr>
        <w:t>设定中介服务事项的依据</w:t>
      </w:r>
      <w:r>
        <w:rPr>
          <w:rFonts w:hint="eastAsia" w:ascii="Times New Roman" w:hAnsi="Times New Roman" w:eastAsia="仿宋GB2312"/>
          <w:b/>
          <w:bCs/>
          <w:color w:val="auto"/>
          <w:sz w:val="28"/>
          <w:szCs w:val="28"/>
        </w:rPr>
        <w:t xml:space="preserve">: </w:t>
      </w:r>
      <w:r>
        <w:rPr>
          <w:rFonts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4.</w:t>
      </w:r>
      <w:r>
        <w:rPr>
          <w:rFonts w:ascii="Times New Roman" w:hAnsi="Times New Roman" w:eastAsia="仿宋GB2312"/>
          <w:b/>
          <w:bCs/>
          <w:color w:val="auto"/>
          <w:sz w:val="28"/>
          <w:szCs w:val="28"/>
        </w:rPr>
        <w:t>提供中介服务的机构</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5.</w:t>
      </w:r>
      <w:r>
        <w:rPr>
          <w:rFonts w:ascii="Times New Roman" w:hAnsi="Times New Roman" w:eastAsia="仿宋GB2312"/>
          <w:b/>
          <w:bCs/>
          <w:color w:val="auto"/>
          <w:sz w:val="28"/>
          <w:szCs w:val="28"/>
        </w:rPr>
        <w:t>中介服务事项的收费性质</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无</w:t>
      </w:r>
    </w:p>
    <w:p>
      <w:p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七、审批程序</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1.办理行政许可的程序环节</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1.申请人申请；</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2.审批机构受理/不予受理；</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3.审批机构审查；</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4.决定作出许可决定书/不予许可决定书。</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2.规定行政许可程序的依据</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（1）《国家外汇管理局行政许可实施办法》（国家外汇管理局公告2021年第1号）第十条外汇局收到行政许可申请后，应区分下列情况分别作出处理：</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（一）申请事项属于本局职责范围，但依法不需要取得行政许可的，应即时告知申请人不受理，出具不予受理行政许可通知书；</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（二）申请事项不属于本局职责范围，应即时作出不予受理的决定，出具不予受理行政许可通知书，并告知申请人向有关行政机关申请；</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申请材料存在文字笔误等可当场更正的错误的，应允许申请人当场更正，并告知其在修改处签字或盖章确认；</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（2）《国家外汇管理局行政许可实施办法》（国家外汇管理局公告2021年第1号）第十四条外汇局对行政许可申请审查后，应区分下列情况分别作出处理：</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（二）申请不符合法定条件、拟不予行政许可的，应出具不予行政许可决定书，并说明不予行政许可的理由，告知申请人享有依法申请行政复议的权利。</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3.</w:t>
      </w:r>
      <w:r>
        <w:rPr>
          <w:rFonts w:ascii="Times New Roman" w:hAnsi="Times New Roman" w:eastAsia="仿宋GB2312"/>
          <w:b/>
          <w:bCs/>
          <w:color w:val="auto"/>
          <w:sz w:val="28"/>
          <w:szCs w:val="28"/>
        </w:rPr>
        <w:t>是否需要现场勘验</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否</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4.</w:t>
      </w:r>
      <w:r>
        <w:rPr>
          <w:rFonts w:ascii="Times New Roman" w:hAnsi="Times New Roman" w:eastAsia="仿宋GB2312"/>
          <w:b/>
          <w:bCs/>
          <w:color w:val="auto"/>
          <w:sz w:val="28"/>
          <w:szCs w:val="28"/>
        </w:rPr>
        <w:t>是否需要组织听证</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否</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5.</w:t>
      </w:r>
      <w:r>
        <w:rPr>
          <w:rFonts w:ascii="Times New Roman" w:hAnsi="Times New Roman" w:eastAsia="仿宋GB2312"/>
          <w:b/>
          <w:bCs/>
          <w:color w:val="auto"/>
          <w:sz w:val="28"/>
          <w:szCs w:val="28"/>
        </w:rPr>
        <w:t>是否需要招标、拍卖、挂牌交易</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否</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6.</w:t>
      </w:r>
      <w:r>
        <w:rPr>
          <w:rFonts w:ascii="Times New Roman" w:hAnsi="Times New Roman" w:eastAsia="仿宋GB2312"/>
          <w:b/>
          <w:bCs/>
          <w:color w:val="auto"/>
          <w:sz w:val="28"/>
          <w:szCs w:val="28"/>
        </w:rPr>
        <w:t>是否需要检验、检测、检疫</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否</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7.</w:t>
      </w:r>
      <w:r>
        <w:rPr>
          <w:rFonts w:ascii="Times New Roman" w:hAnsi="Times New Roman" w:eastAsia="仿宋GB2312"/>
          <w:b/>
          <w:bCs/>
          <w:color w:val="auto"/>
          <w:sz w:val="28"/>
          <w:szCs w:val="28"/>
        </w:rPr>
        <w:t>是否需要鉴定</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否</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8.</w:t>
      </w:r>
      <w:r>
        <w:rPr>
          <w:rFonts w:ascii="Times New Roman" w:hAnsi="Times New Roman" w:eastAsia="仿宋GB2312"/>
          <w:b/>
          <w:bCs/>
          <w:color w:val="auto"/>
          <w:sz w:val="28"/>
          <w:szCs w:val="28"/>
        </w:rPr>
        <w:t>是否需要专家评审</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否</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9.</w:t>
      </w:r>
      <w:r>
        <w:rPr>
          <w:rFonts w:ascii="Times New Roman" w:hAnsi="Times New Roman" w:eastAsia="仿宋GB2312"/>
          <w:b/>
          <w:bCs/>
          <w:color w:val="auto"/>
          <w:sz w:val="28"/>
          <w:szCs w:val="28"/>
        </w:rPr>
        <w:t>是否需要向社会公示</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否</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10.</w:t>
      </w:r>
      <w:r>
        <w:rPr>
          <w:rFonts w:ascii="Times New Roman" w:hAnsi="Times New Roman" w:eastAsia="仿宋GB2312"/>
          <w:b/>
          <w:bCs/>
          <w:color w:val="auto"/>
          <w:sz w:val="28"/>
          <w:szCs w:val="28"/>
        </w:rPr>
        <w:t>是否实行告知承诺办理</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否</w:t>
      </w:r>
    </w:p>
    <w:p>
      <w:pPr>
        <w:spacing w:line="600" w:lineRule="exact"/>
        <w:ind w:firstLine="562" w:firstLineChars="200"/>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11.审批机关是否委托服务机构开展技术性服务：</w:t>
      </w:r>
      <w:r>
        <w:rPr>
          <w:rFonts w:hint="eastAsia" w:ascii="方正仿宋_GBK" w:hAnsi="方正仿宋_GBK" w:eastAsia="方正仿宋_GBK" w:cs="方正仿宋_GBK"/>
          <w:color w:val="auto"/>
          <w:sz w:val="28"/>
          <w:szCs w:val="28"/>
        </w:rPr>
        <w:t>否</w:t>
      </w:r>
    </w:p>
    <w:p>
      <w:p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八、受理和审批时限</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1.承诺受理时限：</w:t>
      </w:r>
      <w:r>
        <w:rPr>
          <w:rFonts w:ascii="方正仿宋_GBK" w:hAnsi="方正仿宋_GBK" w:eastAsia="方正仿宋_GBK" w:cs="方正仿宋_GBK"/>
          <w:color w:val="auto"/>
          <w:sz w:val="28"/>
          <w:szCs w:val="28"/>
        </w:rPr>
        <w:t>5个工作日</w:t>
      </w:r>
    </w:p>
    <w:p>
      <w:pPr>
        <w:spacing w:line="540" w:lineRule="exact"/>
        <w:ind w:firstLine="562" w:firstLineChars="200"/>
        <w:outlineLvl w:val="2"/>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2.法定审批时限：</w:t>
      </w:r>
      <w:r>
        <w:rPr>
          <w:rFonts w:hint="eastAsia" w:ascii="方正仿宋_GBK" w:hAnsi="方正仿宋_GBK" w:eastAsia="方正仿宋_GBK" w:cs="方正仿宋_GBK"/>
          <w:color w:val="auto"/>
          <w:sz w:val="28"/>
          <w:szCs w:val="28"/>
        </w:rPr>
        <w:t>20个工作日</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3.规定法定审批时限依据</w:t>
      </w:r>
    </w:p>
    <w:p>
      <w:pPr>
        <w:spacing w:line="600" w:lineRule="exact"/>
        <w:ind w:firstLine="560" w:firstLineChars="200"/>
        <w:rPr>
          <w:rFonts w:ascii="Times New Roman" w:hAnsi="Times New Roman" w:eastAsia="仿宋GB2312"/>
          <w:color w:val="auto"/>
          <w:sz w:val="32"/>
          <w:szCs w:val="32"/>
        </w:rPr>
      </w:pPr>
      <w:r>
        <w:rPr>
          <w:rFonts w:ascii="方正仿宋_GBK" w:hAnsi="方正仿宋_GBK" w:eastAsia="方正仿宋_GBK" w:cs="方正仿宋_GBK"/>
          <w:color w:val="auto"/>
          <w:sz w:val="28"/>
          <w:szCs w:val="28"/>
        </w:rPr>
        <w:t>（1）《国家外汇管理局行政许可实施办法》（国家外汇管理局公告2021年第1号）第十五条外汇局应根据以下要求确保行政许可依法按时完成：</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（一）能当场作出决定的，应当场作出行政许可决定。当场作出行政许可决定的，可不出具行政许可受理通知书；</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ascii="Times New Roman" w:hAnsi="Times New Roman" w:eastAsia="仿宋GB2312"/>
          <w:color w:val="auto"/>
          <w:sz w:val="32"/>
          <w:szCs w:val="32"/>
        </w:rPr>
      </w:pPr>
      <w:r>
        <w:rPr>
          <w:rFonts w:ascii="方正仿宋_GBK" w:hAnsi="方正仿宋_GBK" w:eastAsia="方正仿宋_GBK" w:cs="方正仿宋_GBK"/>
          <w:color w:val="auto"/>
          <w:sz w:val="28"/>
          <w:szCs w:val="28"/>
        </w:rPr>
        <w:t>各级外汇局对行政许可办理时限具有对外承诺的，应按照其承诺的时限完成；对外承诺的时限应短于20个工作日。</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4.承诺审批时限：</w:t>
      </w:r>
      <w:r>
        <w:rPr>
          <w:rFonts w:ascii="方正仿宋_GBK" w:hAnsi="方正仿宋_GBK" w:eastAsia="方正仿宋_GBK" w:cs="方正仿宋_GBK"/>
          <w:color w:val="auto"/>
          <w:sz w:val="28"/>
          <w:szCs w:val="28"/>
        </w:rPr>
        <w:t>20个工作日</w:t>
      </w:r>
    </w:p>
    <w:p>
      <w:p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九、收费</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1.办理行政许可是否收费：</w:t>
      </w:r>
      <w:r>
        <w:rPr>
          <w:rFonts w:hint="eastAsia" w:ascii="方正仿宋_GBK" w:hAnsi="方正仿宋_GBK" w:eastAsia="方正仿宋_GBK" w:cs="方正仿宋_GBK"/>
          <w:color w:val="auto"/>
          <w:sz w:val="28"/>
          <w:szCs w:val="28"/>
        </w:rPr>
        <w:t>否</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 xml:space="preserve">2.收费项目的名称、收费项目的标准、设定收费项目的依据、规定收费标准的依据: </w:t>
      </w:r>
      <w:r>
        <w:rPr>
          <w:rFonts w:hint="eastAsia" w:ascii="方正仿宋_GBK" w:hAnsi="方正仿宋_GBK" w:eastAsia="方正仿宋_GBK" w:cs="方正仿宋_GBK"/>
          <w:color w:val="auto"/>
          <w:sz w:val="28"/>
          <w:szCs w:val="28"/>
        </w:rPr>
        <w:t>无</w:t>
      </w:r>
    </w:p>
    <w:p>
      <w:p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十、行政许可证件</w:t>
      </w:r>
    </w:p>
    <w:p>
      <w:pPr>
        <w:spacing w:line="540" w:lineRule="exact"/>
        <w:ind w:firstLine="562" w:firstLineChars="200"/>
        <w:outlineLvl w:val="2"/>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1.审批结果类型：</w:t>
      </w:r>
      <w:r>
        <w:rPr>
          <w:rFonts w:ascii="方正仿宋_GBK" w:hAnsi="方正仿宋_GBK" w:eastAsia="方正仿宋_GBK" w:cs="方正仿宋_GBK"/>
          <w:color w:val="auto"/>
          <w:sz w:val="28"/>
          <w:szCs w:val="28"/>
        </w:rPr>
        <w:t>批文</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2.审批结果名称：</w:t>
      </w:r>
      <w:r>
        <w:rPr>
          <w:rFonts w:hint="eastAsia" w:ascii="方正仿宋_GBK" w:hAnsi="方正仿宋_GBK" w:eastAsia="方正仿宋_GBK" w:cs="方正仿宋_GBK"/>
          <w:color w:val="auto"/>
          <w:sz w:val="28"/>
          <w:szCs w:val="28"/>
        </w:rPr>
        <w:t>《出口收入存放境外登记表》</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3.审批结果的有效期限：</w:t>
      </w:r>
      <w:r>
        <w:rPr>
          <w:rFonts w:hint="eastAsia" w:ascii="方正仿宋_GBK" w:hAnsi="方正仿宋_GBK" w:eastAsia="方正仿宋_GBK" w:cs="方正仿宋_GBK"/>
          <w:color w:val="auto"/>
          <w:sz w:val="28"/>
          <w:szCs w:val="28"/>
        </w:rPr>
        <w:t>无期限</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 xml:space="preserve">4.规定审批结果有效期限的依据: </w:t>
      </w:r>
      <w:r>
        <w:rPr>
          <w:rFonts w:hint="eastAsia"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5.是否需要办理审批结果变更手续：</w:t>
      </w:r>
      <w:r>
        <w:rPr>
          <w:rFonts w:ascii="方正仿宋_GBK" w:hAnsi="方正仿宋_GBK" w:eastAsia="方正仿宋_GBK" w:cs="方正仿宋_GBK"/>
          <w:color w:val="auto"/>
          <w:sz w:val="28"/>
          <w:szCs w:val="28"/>
        </w:rPr>
        <w:t>否</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 xml:space="preserve">6.办理审批结果变更手续的要求: </w:t>
      </w:r>
      <w:r>
        <w:rPr>
          <w:rFonts w:hint="eastAsia"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7.是否需要办理审批结果延续手续：</w:t>
      </w:r>
      <w:r>
        <w:rPr>
          <w:rFonts w:hint="eastAsia" w:ascii="方正仿宋_GBK" w:hAnsi="方正仿宋_GBK" w:eastAsia="方正仿宋_GBK" w:cs="方正仿宋_GBK"/>
          <w:color w:val="auto"/>
          <w:sz w:val="28"/>
          <w:szCs w:val="28"/>
        </w:rPr>
        <w:t>否</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 xml:space="preserve">8.办理审批结果延续手续的要求: </w:t>
      </w:r>
      <w:r>
        <w:rPr>
          <w:rFonts w:hint="eastAsia" w:ascii="方正仿宋_GBK" w:hAnsi="方正仿宋_GBK" w:eastAsia="方正仿宋_GBK" w:cs="方正仿宋_GBK"/>
          <w:color w:val="auto"/>
          <w:sz w:val="28"/>
          <w:szCs w:val="28"/>
        </w:rPr>
        <w:t>无</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 xml:space="preserve">9.审批结果的有效地域范围: </w:t>
      </w:r>
      <w:r>
        <w:rPr>
          <w:rFonts w:hint="eastAsia" w:ascii="方正仿宋_GBK" w:hAnsi="方正仿宋_GBK" w:eastAsia="方正仿宋_GBK" w:cs="方正仿宋_GBK"/>
          <w:color w:val="auto"/>
          <w:sz w:val="28"/>
          <w:szCs w:val="28"/>
        </w:rPr>
        <w:t>全国</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 xml:space="preserve">10.规定审批结果有效地域范围的依据: </w:t>
      </w:r>
      <w:r>
        <w:rPr>
          <w:rFonts w:hint="eastAsia" w:ascii="方正仿宋_GBK" w:hAnsi="方正仿宋_GBK" w:eastAsia="方正仿宋_GBK" w:cs="方正仿宋_GBK"/>
          <w:color w:val="auto"/>
          <w:sz w:val="28"/>
          <w:szCs w:val="28"/>
        </w:rPr>
        <w:t>无</w:t>
      </w:r>
    </w:p>
    <w:p>
      <w:p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十一、行政许可数量限制</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1.有无行政许可数量限制：</w:t>
      </w:r>
      <w:r>
        <w:rPr>
          <w:rFonts w:hint="eastAsia" w:ascii="方正仿宋_GBK" w:hAnsi="方正仿宋_GBK" w:eastAsia="方正仿宋_GBK" w:cs="方正仿宋_GBK"/>
          <w:color w:val="auto"/>
          <w:sz w:val="28"/>
          <w:szCs w:val="28"/>
        </w:rPr>
        <w:t>无</w:t>
      </w:r>
    </w:p>
    <w:p>
      <w:pPr>
        <w:spacing w:line="540" w:lineRule="exact"/>
        <w:ind w:firstLine="562" w:firstLineChars="200"/>
        <w:outlineLvl w:val="2"/>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2.公布数量限制的方式：</w:t>
      </w:r>
      <w:r>
        <w:rPr>
          <w:rFonts w:hint="eastAsia" w:ascii="方正仿宋_GBK" w:hAnsi="方正仿宋_GBK" w:eastAsia="方正仿宋_GBK" w:cs="方正仿宋_GBK"/>
          <w:color w:val="auto"/>
          <w:sz w:val="28"/>
          <w:szCs w:val="28"/>
        </w:rPr>
        <w:t>无</w:t>
      </w:r>
    </w:p>
    <w:p>
      <w:pPr>
        <w:spacing w:line="540" w:lineRule="exact"/>
        <w:ind w:firstLine="562" w:firstLineChars="200"/>
        <w:outlineLvl w:val="2"/>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3.公布数量限制的周期：</w:t>
      </w:r>
      <w:r>
        <w:rPr>
          <w:rFonts w:hint="eastAsia"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4.在数量限制条件下实施行政许可的方式：</w:t>
      </w:r>
      <w:r>
        <w:rPr>
          <w:rFonts w:hint="eastAsia" w:ascii="方正仿宋_GBK" w:hAnsi="方正仿宋_GBK" w:eastAsia="方正仿宋_GBK" w:cs="方正仿宋_GBK"/>
          <w:color w:val="auto"/>
          <w:sz w:val="28"/>
          <w:szCs w:val="28"/>
        </w:rPr>
        <w:t>无</w:t>
      </w:r>
    </w:p>
    <w:p>
      <w:pPr>
        <w:spacing w:line="600" w:lineRule="exact"/>
        <w:ind w:firstLine="562" w:firstLineChars="200"/>
        <w:jc w:val="left"/>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 xml:space="preserve">5.规定在数量限制条件下实施行政许可方式的依据: </w:t>
      </w:r>
      <w:r>
        <w:rPr>
          <w:rFonts w:hint="eastAsia" w:ascii="方正仿宋_GBK" w:hAnsi="方正仿宋_GBK" w:eastAsia="方正仿宋_GBK" w:cs="方正仿宋_GBK"/>
          <w:color w:val="auto"/>
          <w:sz w:val="28"/>
          <w:szCs w:val="28"/>
        </w:rPr>
        <w:t>无</w:t>
      </w:r>
    </w:p>
    <w:p>
      <w:p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十二、行政许可后年检</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1.有无年检要求：</w:t>
      </w:r>
      <w:r>
        <w:rPr>
          <w:rFonts w:hint="eastAsia" w:ascii="方正仿宋_GBK" w:hAnsi="方正仿宋_GBK" w:eastAsia="方正仿宋_GBK" w:cs="方正仿宋_GBK"/>
          <w:color w:val="auto"/>
          <w:sz w:val="28"/>
          <w:szCs w:val="28"/>
        </w:rPr>
        <w:t>无</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 xml:space="preserve">2.设定年检要求的依据: </w:t>
      </w:r>
      <w:r>
        <w:rPr>
          <w:rFonts w:hint="eastAsia" w:ascii="方正仿宋_GBK" w:hAnsi="方正仿宋_GBK" w:eastAsia="方正仿宋_GBK" w:cs="方正仿宋_GBK"/>
          <w:color w:val="auto"/>
          <w:sz w:val="28"/>
          <w:szCs w:val="28"/>
        </w:rPr>
        <w:t>无</w:t>
      </w:r>
    </w:p>
    <w:p>
      <w:pPr>
        <w:spacing w:line="540" w:lineRule="exact"/>
        <w:ind w:firstLine="562" w:firstLineChars="200"/>
        <w:outlineLvl w:val="2"/>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3.年检周期：</w:t>
      </w:r>
      <w:r>
        <w:rPr>
          <w:rFonts w:hint="eastAsia"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4.年检是否要求报送材料：</w:t>
      </w:r>
      <w:r>
        <w:rPr>
          <w:rFonts w:hint="eastAsia"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5.年检报送材料名称：</w:t>
      </w:r>
      <w:r>
        <w:rPr>
          <w:rFonts w:hint="eastAsia"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6.年检是否收费：</w:t>
      </w:r>
      <w:r>
        <w:rPr>
          <w:rFonts w:hint="eastAsia"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 xml:space="preserve">7.年检收费项目的名称、年检收费项目的标准、设定年检收费项目的依据、规定年检项目收费标准的依据: </w:t>
      </w:r>
      <w:r>
        <w:rPr>
          <w:rFonts w:hint="eastAsia" w:ascii="方正仿宋_GBK" w:hAnsi="方正仿宋_GBK" w:eastAsia="方正仿宋_GBK" w:cs="方正仿宋_GBK"/>
          <w:color w:val="auto"/>
          <w:sz w:val="28"/>
          <w:szCs w:val="28"/>
        </w:rPr>
        <w:t>无</w:t>
      </w:r>
    </w:p>
    <w:p>
      <w:pPr>
        <w:spacing w:line="540" w:lineRule="exact"/>
        <w:ind w:firstLine="562" w:firstLineChars="200"/>
        <w:outlineLvl w:val="2"/>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8.通过年检的证明或者标志：</w:t>
      </w:r>
      <w:r>
        <w:rPr>
          <w:rFonts w:hint="eastAsia" w:ascii="方正仿宋_GBK" w:hAnsi="方正仿宋_GBK" w:eastAsia="方正仿宋_GBK" w:cs="方正仿宋_GBK"/>
          <w:color w:val="auto"/>
          <w:sz w:val="28"/>
          <w:szCs w:val="28"/>
        </w:rPr>
        <w:t>无</w:t>
      </w:r>
    </w:p>
    <w:p>
      <w:p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十三、行政许可后年报</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w:t>
      </w:r>
      <w:r>
        <w:rPr>
          <w:rFonts w:ascii="Times New Roman" w:hAnsi="Times New Roman" w:eastAsia="仿宋GB2312"/>
          <w:b/>
          <w:bCs/>
          <w:color w:val="auto"/>
          <w:sz w:val="28"/>
          <w:szCs w:val="28"/>
        </w:rPr>
        <w:t>有无年报要求</w:t>
      </w:r>
      <w:r>
        <w:rPr>
          <w:rFonts w:hint="eastAsia" w:ascii="Times New Roman" w:hAnsi="Times New Roman" w:eastAsia="仿宋GB2312"/>
          <w:b/>
          <w:bCs/>
          <w:color w:val="auto"/>
          <w:sz w:val="28"/>
          <w:szCs w:val="28"/>
        </w:rPr>
        <w:t>：</w:t>
      </w:r>
      <w:r>
        <w:rPr>
          <w:rFonts w:hint="eastAsia"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2.</w:t>
      </w:r>
      <w:r>
        <w:rPr>
          <w:rFonts w:ascii="Times New Roman" w:hAnsi="Times New Roman" w:eastAsia="仿宋GB2312"/>
          <w:b/>
          <w:bCs/>
          <w:color w:val="auto"/>
          <w:sz w:val="28"/>
          <w:szCs w:val="28"/>
        </w:rPr>
        <w:t>年报报送材料名称</w:t>
      </w:r>
      <w:r>
        <w:rPr>
          <w:rFonts w:hint="eastAsia" w:ascii="Times New Roman" w:hAnsi="Times New Roman" w:eastAsia="仿宋GB2312"/>
          <w:b/>
          <w:bCs/>
          <w:color w:val="auto"/>
          <w:sz w:val="28"/>
          <w:szCs w:val="28"/>
        </w:rPr>
        <w:t>：</w:t>
      </w:r>
      <w:r>
        <w:rPr>
          <w:rFonts w:hint="eastAsia" w:ascii="方正仿宋_GBK" w:hAnsi="方正仿宋_GBK" w:eastAsia="方正仿宋_GBK" w:cs="方正仿宋_GBK"/>
          <w:color w:val="auto"/>
          <w:sz w:val="28"/>
          <w:szCs w:val="28"/>
        </w:rPr>
        <w:t>无</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3.</w:t>
      </w:r>
      <w:r>
        <w:rPr>
          <w:rFonts w:ascii="Times New Roman" w:hAnsi="Times New Roman" w:eastAsia="仿宋GB2312"/>
          <w:b/>
          <w:bCs/>
          <w:color w:val="auto"/>
          <w:sz w:val="28"/>
          <w:szCs w:val="28"/>
        </w:rPr>
        <w:t>设定年报要求的依据</w:t>
      </w:r>
      <w:r>
        <w:rPr>
          <w:rFonts w:hint="eastAsia" w:ascii="Times New Roman" w:hAnsi="Times New Roman" w:eastAsia="仿宋GB2312"/>
          <w:b/>
          <w:bCs/>
          <w:color w:val="auto"/>
          <w:sz w:val="28"/>
          <w:szCs w:val="28"/>
        </w:rPr>
        <w:t xml:space="preserve">: </w:t>
      </w:r>
      <w:r>
        <w:rPr>
          <w:rFonts w:hint="eastAsia"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4.</w:t>
      </w:r>
      <w:r>
        <w:rPr>
          <w:rFonts w:ascii="Times New Roman" w:hAnsi="Times New Roman" w:eastAsia="仿宋GB2312"/>
          <w:b/>
          <w:bCs/>
          <w:color w:val="auto"/>
          <w:sz w:val="28"/>
          <w:szCs w:val="28"/>
        </w:rPr>
        <w:t>年报周期</w:t>
      </w:r>
      <w:r>
        <w:rPr>
          <w:rFonts w:hint="eastAsia" w:ascii="Times New Roman" w:hAnsi="Times New Roman" w:eastAsia="仿宋GB2312"/>
          <w:b/>
          <w:bCs/>
          <w:color w:val="auto"/>
          <w:sz w:val="28"/>
          <w:szCs w:val="28"/>
        </w:rPr>
        <w:t>：</w:t>
      </w:r>
      <w:r>
        <w:rPr>
          <w:rFonts w:hint="eastAsia" w:ascii="方正仿宋_GBK" w:hAnsi="方正仿宋_GBK" w:eastAsia="方正仿宋_GBK" w:cs="方正仿宋_GBK"/>
          <w:color w:val="auto"/>
          <w:sz w:val="28"/>
          <w:szCs w:val="28"/>
        </w:rPr>
        <w:t>无</w:t>
      </w:r>
    </w:p>
    <w:p>
      <w:p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十四、监管主体</w:t>
      </w:r>
    </w:p>
    <w:p>
      <w:pPr>
        <w:spacing w:line="600" w:lineRule="exact"/>
        <w:ind w:firstLine="560" w:firstLineChars="200"/>
        <w:rPr>
          <w:rFonts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国家外汇局及其分局</w:t>
      </w:r>
    </w:p>
    <w:p>
      <w:pPr>
        <w:rPr>
          <w:rFonts w:ascii="方正仿宋_GBK" w:hAnsi="方正仿宋_GBK" w:eastAsia="方正仿宋_GBK" w:cs="方正仿宋_GBK"/>
          <w:color w:val="auto"/>
          <w:sz w:val="28"/>
          <w:szCs w:val="28"/>
        </w:rPr>
      </w:pPr>
      <w:r>
        <w:rPr>
          <w:rFonts w:hint="eastAsia" w:eastAsia="黑体"/>
          <w:color w:val="auto"/>
          <w:sz w:val="28"/>
          <w:szCs w:val="28"/>
        </w:rPr>
        <w:t>十五、</w:t>
      </w:r>
      <w:r>
        <w:rPr>
          <w:rFonts w:eastAsia="黑体"/>
          <w:color w:val="auto"/>
          <w:sz w:val="28"/>
          <w:szCs w:val="28"/>
        </w:rPr>
        <w:t>行政许可办理地址和时间</w:t>
      </w:r>
    </w:p>
    <w:p>
      <w:pPr>
        <w:spacing w:line="540" w:lineRule="exact"/>
        <w:ind w:firstLine="562" w:firstLineChars="200"/>
        <w:outlineLvl w:val="2"/>
        <w:rPr>
          <w:rFonts w:hint="eastAsia" w:ascii="方正仿宋_GBK" w:hAnsi="方正仿宋_GBK" w:eastAsia="方正仿宋_GBK" w:cs="方正仿宋_GBK"/>
          <w:color w:val="auto"/>
          <w:sz w:val="28"/>
          <w:szCs w:val="28"/>
          <w:lang w:eastAsia="zh-CN"/>
        </w:rPr>
      </w:pPr>
      <w:r>
        <w:rPr>
          <w:rFonts w:hint="eastAsia" w:eastAsia="仿宋GB2312"/>
          <w:b/>
          <w:bCs/>
          <w:color w:val="auto"/>
          <w:sz w:val="28"/>
          <w:szCs w:val="28"/>
        </w:rPr>
        <w:t>1.</w:t>
      </w:r>
      <w:r>
        <w:rPr>
          <w:rFonts w:hint="eastAsia" w:eastAsia="仿宋GB2312"/>
          <w:b/>
          <w:bCs/>
          <w:color w:val="auto"/>
          <w:sz w:val="28"/>
          <w:szCs w:val="28"/>
          <w:lang w:eastAsia="zh-CN"/>
        </w:rPr>
        <w:t>办理地址：</w:t>
      </w:r>
      <w:r>
        <w:rPr>
          <w:rFonts w:hint="eastAsia" w:ascii="方正仿宋_GBK" w:hAnsi="方正仿宋_GBK" w:eastAsia="方正仿宋_GBK" w:cs="方正仿宋_GBK"/>
          <w:color w:val="auto"/>
          <w:sz w:val="28"/>
          <w:szCs w:val="28"/>
          <w:lang w:eastAsia="zh-CN"/>
        </w:rPr>
        <w:t>广西南宁市青秀区滨湖路58号中国人民银行广西壮族自治区分行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color w:val="auto"/>
          <w:sz w:val="28"/>
          <w:szCs w:val="28"/>
        </w:rPr>
      </w:pPr>
      <w:r>
        <w:rPr>
          <w:rFonts w:hint="eastAsia" w:eastAsia="仿宋GB2312"/>
          <w:b/>
          <w:bCs/>
          <w:color w:val="auto"/>
          <w:sz w:val="28"/>
          <w:szCs w:val="28"/>
        </w:rPr>
        <w:t>2.办理时间：</w:t>
      </w:r>
      <w:r>
        <w:rPr>
          <w:rFonts w:hint="eastAsia" w:ascii="方正仿宋_GBK" w:hAnsi="方正仿宋_GBK" w:eastAsia="方正仿宋_GBK" w:cs="方正仿宋_GBK"/>
          <w:color w:val="auto"/>
          <w:sz w:val="28"/>
          <w:szCs w:val="28"/>
        </w:rPr>
        <w:t>工作日，上午：08:30-12:00，下午：</w:t>
      </w:r>
      <w:r>
        <w:rPr>
          <w:rFonts w:hint="eastAsia" w:ascii="方正仿宋_GBK" w:hAnsi="方正仿宋_GBK" w:eastAsia="方正仿宋_GBK" w:cs="方正仿宋_GBK"/>
          <w:color w:val="auto"/>
          <w:sz w:val="28"/>
          <w:szCs w:val="28"/>
          <w:lang w:val="en-US" w:eastAsia="zh-CN"/>
        </w:rPr>
        <w:t>14</w:t>
      </w:r>
      <w:r>
        <w:rPr>
          <w:rFonts w:hint="eastAsia" w:ascii="方正仿宋_GBK" w:hAnsi="方正仿宋_GBK" w:eastAsia="方正仿宋_GBK" w:cs="方正仿宋_GBK"/>
          <w:color w:val="auto"/>
          <w:sz w:val="28"/>
          <w:szCs w:val="28"/>
        </w:rPr>
        <w:t>:30-</w:t>
      </w:r>
      <w:r>
        <w:rPr>
          <w:rFonts w:hint="eastAsia" w:ascii="方正仿宋_GBK" w:hAnsi="方正仿宋_GBK" w:eastAsia="方正仿宋_GBK" w:cs="方正仿宋_GBK"/>
          <w:color w:val="auto"/>
          <w:sz w:val="28"/>
          <w:szCs w:val="28"/>
          <w:lang w:val="en-US" w:eastAsia="zh-CN"/>
        </w:rPr>
        <w:t>17</w:t>
      </w:r>
      <w:r>
        <w:rPr>
          <w:rFonts w:hint="eastAsia" w:ascii="方正仿宋_GBK" w:hAnsi="方正仿宋_GBK" w:eastAsia="方正仿宋_GBK" w:cs="方正仿宋_GBK"/>
          <w:color w:val="auto"/>
          <w:sz w:val="28"/>
          <w:szCs w:val="28"/>
        </w:rPr>
        <w:t xml:space="preserve">:30 </w:t>
      </w:r>
    </w:p>
    <w:p>
      <w:pPr>
        <w:rPr>
          <w:rFonts w:eastAsia="黑体"/>
          <w:color w:val="auto"/>
          <w:sz w:val="28"/>
          <w:szCs w:val="28"/>
        </w:rPr>
      </w:pPr>
      <w:bookmarkStart w:id="0" w:name="_Toc32164"/>
      <w:bookmarkStart w:id="1" w:name="_Toc27624"/>
      <w:bookmarkStart w:id="2" w:name="_Toc22902"/>
      <w:bookmarkStart w:id="3" w:name="_Toc12947"/>
      <w:bookmarkStart w:id="4" w:name="_Toc26066"/>
      <w:bookmarkStart w:id="5" w:name="_Toc29697"/>
      <w:r>
        <w:rPr>
          <w:rFonts w:hint="eastAsia" w:eastAsia="黑体"/>
          <w:color w:val="auto"/>
          <w:sz w:val="28"/>
          <w:szCs w:val="28"/>
        </w:rPr>
        <w:t>十六、</w:t>
      </w:r>
      <w:r>
        <w:rPr>
          <w:rFonts w:eastAsia="黑体"/>
          <w:color w:val="auto"/>
          <w:sz w:val="28"/>
          <w:szCs w:val="28"/>
        </w:rPr>
        <w:t>咨询途径</w:t>
      </w:r>
      <w:bookmarkEnd w:id="0"/>
      <w:bookmarkEnd w:id="1"/>
      <w:bookmarkEnd w:id="2"/>
      <w:bookmarkEnd w:id="3"/>
      <w:bookmarkEnd w:id="4"/>
      <w:bookmarkEnd w:id="5"/>
    </w:p>
    <w:p>
      <w:pPr>
        <w:spacing w:line="540" w:lineRule="exact"/>
        <w:ind w:firstLine="562" w:firstLineChars="200"/>
        <w:outlineLvl w:val="2"/>
        <w:rPr>
          <w:rFonts w:hint="eastAsia" w:ascii="方正仿宋_GBK" w:hAnsi="方正仿宋_GBK" w:eastAsia="方正仿宋_GBK" w:cs="方正仿宋_GBK"/>
          <w:color w:val="auto"/>
          <w:sz w:val="28"/>
          <w:szCs w:val="28"/>
          <w:lang w:eastAsia="zh-CN"/>
        </w:rPr>
      </w:pPr>
      <w:r>
        <w:rPr>
          <w:rFonts w:hint="eastAsia" w:eastAsia="仿宋GB2312"/>
          <w:b/>
          <w:bCs/>
          <w:color w:val="auto"/>
          <w:sz w:val="28"/>
          <w:szCs w:val="28"/>
          <w:lang w:eastAsia="zh-CN"/>
        </w:rPr>
        <w:t>1.窗口咨询地址：</w:t>
      </w:r>
      <w:r>
        <w:rPr>
          <w:rFonts w:hint="eastAsia" w:ascii="方正仿宋_GBK" w:hAnsi="方正仿宋_GBK" w:eastAsia="方正仿宋_GBK" w:cs="方正仿宋_GBK"/>
          <w:color w:val="auto"/>
          <w:sz w:val="28"/>
          <w:szCs w:val="28"/>
          <w:lang w:eastAsia="zh-CN"/>
        </w:rPr>
        <w:t>广西南宁市青秀区滨湖路58号中国人民银行广西壮族自治区分行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color w:val="auto"/>
          <w:sz w:val="28"/>
          <w:szCs w:val="28"/>
        </w:rPr>
      </w:pPr>
      <w:r>
        <w:rPr>
          <w:rFonts w:hint="eastAsia" w:eastAsia="仿宋GB2312"/>
          <w:b/>
          <w:bCs/>
          <w:color w:val="auto"/>
          <w:sz w:val="28"/>
          <w:szCs w:val="28"/>
        </w:rPr>
        <w:t>2.电话咨询号码：</w:t>
      </w:r>
      <w:r>
        <w:rPr>
          <w:rFonts w:hint="eastAsia" w:ascii="方正仿宋_GBK" w:hAnsi="方正仿宋_GBK" w:eastAsia="方正仿宋_GBK" w:cs="方正仿宋_GBK"/>
          <w:color w:val="auto"/>
          <w:sz w:val="28"/>
          <w:szCs w:val="28"/>
          <w:lang w:val="en-US" w:eastAsia="zh-CN"/>
        </w:rPr>
        <w:t>0771-6111201</w:t>
      </w:r>
    </w:p>
    <w:p>
      <w:pPr>
        <w:spacing w:line="540" w:lineRule="exact"/>
        <w:ind w:firstLine="562" w:firstLineChars="200"/>
        <w:outlineLvl w:val="2"/>
        <w:rPr>
          <w:rFonts w:eastAsia="仿宋GB2312"/>
          <w:b/>
          <w:bCs/>
          <w:color w:val="auto"/>
          <w:sz w:val="28"/>
          <w:szCs w:val="28"/>
        </w:rPr>
      </w:pPr>
      <w:r>
        <w:rPr>
          <w:rFonts w:hint="eastAsia" w:eastAsia="仿宋GB2312"/>
          <w:b/>
          <w:bCs/>
          <w:color w:val="auto"/>
          <w:sz w:val="28"/>
          <w:szCs w:val="28"/>
        </w:rPr>
        <w:t>3.咨询网址：</w:t>
      </w:r>
      <w:r>
        <w:rPr>
          <w:rFonts w:hint="eastAsia" w:ascii="方正仿宋_GBK" w:hAnsi="方正仿宋_GBK" w:eastAsia="方正仿宋_GBK" w:cs="方正仿宋_GBK"/>
          <w:color w:val="auto"/>
          <w:sz w:val="28"/>
          <w:szCs w:val="28"/>
          <w:lang w:eastAsia="zh-CN"/>
        </w:rPr>
        <w:t>国家外汇管理局广西壮族自治区分局官方网站（www.safe.gov.cn</w:t>
      </w:r>
      <w:r>
        <w:rPr>
          <w:rFonts w:hint="eastAsia" w:ascii="方正仿宋_GBK" w:hAnsi="方正仿宋_GBK" w:eastAsia="方正仿宋_GBK" w:cs="方正仿宋_GBK"/>
          <w:color w:val="auto"/>
          <w:sz w:val="28"/>
          <w:szCs w:val="28"/>
          <w:lang w:val="en-US" w:eastAsia="zh-CN"/>
        </w:rPr>
        <w:t>/guangxi/）</w:t>
      </w:r>
      <w:r>
        <w:rPr>
          <w:rFonts w:hint="eastAsia" w:ascii="方正仿宋_GBK" w:hAnsi="方正仿宋_GBK" w:eastAsia="方正仿宋_GBK" w:cs="方正仿宋_GBK"/>
          <w:color w:val="auto"/>
          <w:sz w:val="28"/>
          <w:szCs w:val="28"/>
          <w:lang w:eastAsia="zh-CN"/>
        </w:rPr>
        <w:t>咨询反馈栏目</w:t>
      </w:r>
    </w:p>
    <w:p>
      <w:pPr>
        <w:rPr>
          <w:rFonts w:eastAsia="仿宋GB2312"/>
          <w:b/>
          <w:bCs/>
          <w:color w:val="auto"/>
          <w:sz w:val="28"/>
          <w:szCs w:val="28"/>
        </w:rPr>
      </w:pPr>
      <w:r>
        <w:rPr>
          <w:rFonts w:hint="eastAsia" w:eastAsia="黑体"/>
          <w:color w:val="auto"/>
          <w:sz w:val="28"/>
          <w:szCs w:val="28"/>
        </w:rPr>
        <w:t>十七、监督投诉渠道</w:t>
      </w:r>
    </w:p>
    <w:p>
      <w:pPr>
        <w:spacing w:line="540" w:lineRule="exact"/>
        <w:ind w:firstLine="562" w:firstLineChars="200"/>
        <w:outlineLvl w:val="2"/>
        <w:rPr>
          <w:rFonts w:hint="eastAsia" w:ascii="方正仿宋_GBK" w:hAnsi="方正仿宋_GBK" w:eastAsia="方正仿宋_GBK" w:cs="方正仿宋_GBK"/>
          <w:color w:val="auto"/>
          <w:sz w:val="28"/>
          <w:szCs w:val="28"/>
          <w:lang w:val="en-US" w:eastAsia="zh-CN"/>
        </w:rPr>
      </w:pPr>
      <w:r>
        <w:rPr>
          <w:rFonts w:hint="eastAsia" w:eastAsia="仿宋GB2312"/>
          <w:b/>
          <w:bCs/>
          <w:color w:val="auto"/>
          <w:sz w:val="28"/>
          <w:szCs w:val="28"/>
        </w:rPr>
        <w:t>1.电话监督投诉：</w:t>
      </w:r>
      <w:r>
        <w:rPr>
          <w:rFonts w:hint="eastAsia" w:ascii="方正仿宋_GBK" w:hAnsi="方正仿宋_GBK" w:eastAsia="方正仿宋_GBK" w:cs="方正仿宋_GBK"/>
          <w:color w:val="auto"/>
          <w:sz w:val="28"/>
          <w:szCs w:val="28"/>
          <w:lang w:val="en-US" w:eastAsia="zh-CN"/>
        </w:rPr>
        <w:t>0771-6111357</w:t>
      </w:r>
    </w:p>
    <w:p>
      <w:pPr>
        <w:spacing w:line="540" w:lineRule="exact"/>
        <w:ind w:firstLine="562" w:firstLineChars="200"/>
        <w:outlineLvl w:val="2"/>
        <w:rPr>
          <w:rFonts w:hint="eastAsia" w:ascii="方正仿宋_GBK" w:hAnsi="方正仿宋_GBK" w:eastAsia="方正仿宋_GBK" w:cs="方正仿宋_GBK"/>
          <w:color w:val="auto"/>
          <w:sz w:val="28"/>
          <w:szCs w:val="28"/>
        </w:rPr>
      </w:pPr>
      <w:r>
        <w:rPr>
          <w:rFonts w:hint="eastAsia" w:eastAsia="仿宋GB2312"/>
          <w:b/>
          <w:bCs/>
          <w:color w:val="auto"/>
          <w:sz w:val="28"/>
          <w:szCs w:val="28"/>
          <w:lang w:val="en-US" w:eastAsia="zh-CN"/>
        </w:rPr>
        <w:t>2</w:t>
      </w:r>
      <w:r>
        <w:rPr>
          <w:rFonts w:hint="eastAsia" w:eastAsia="仿宋GB2312"/>
          <w:b/>
          <w:bCs/>
          <w:color w:val="auto"/>
          <w:sz w:val="28"/>
          <w:szCs w:val="28"/>
        </w:rPr>
        <w:t>.网络监督投诉网址：</w:t>
      </w:r>
      <w:r>
        <w:rPr>
          <w:rFonts w:hint="eastAsia" w:ascii="方正仿宋_GBK" w:hAnsi="方正仿宋_GBK" w:eastAsia="方正仿宋_GBK" w:cs="方正仿宋_GBK"/>
          <w:color w:val="auto"/>
          <w:sz w:val="28"/>
          <w:szCs w:val="28"/>
          <w:lang w:eastAsia="zh-CN"/>
        </w:rPr>
        <w:t>国家外汇管理局广西壮族自治区分局官方网站（www.safe.gov.cn</w:t>
      </w:r>
      <w:r>
        <w:rPr>
          <w:rFonts w:hint="eastAsia" w:ascii="方正仿宋_GBK" w:hAnsi="方正仿宋_GBK" w:eastAsia="方正仿宋_GBK" w:cs="方正仿宋_GBK"/>
          <w:color w:val="auto"/>
          <w:sz w:val="28"/>
          <w:szCs w:val="28"/>
          <w:lang w:val="en-US" w:eastAsia="zh-CN"/>
        </w:rPr>
        <w:t>/guangxi/）</w:t>
      </w:r>
      <w:r>
        <w:rPr>
          <w:rFonts w:hint="eastAsia" w:ascii="方正仿宋_GBK" w:hAnsi="方正仿宋_GBK" w:eastAsia="方正仿宋_GBK" w:cs="方正仿宋_GBK"/>
          <w:color w:val="auto"/>
          <w:sz w:val="28"/>
          <w:szCs w:val="28"/>
          <w:lang w:eastAsia="zh-CN"/>
        </w:rPr>
        <w:t>咨询反馈栏目</w:t>
      </w:r>
    </w:p>
    <w:p>
      <w:p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十</w:t>
      </w:r>
      <w:r>
        <w:rPr>
          <w:rFonts w:hint="eastAsia" w:ascii="Times New Roman" w:hAnsi="Times New Roman" w:eastAsia="黑体"/>
          <w:color w:val="auto"/>
          <w:sz w:val="28"/>
          <w:szCs w:val="28"/>
          <w:lang w:eastAsia="zh-CN"/>
        </w:rPr>
        <w:t>八</w:t>
      </w:r>
      <w:r>
        <w:rPr>
          <w:rFonts w:hint="eastAsia" w:ascii="Times New Roman" w:hAnsi="Times New Roman" w:eastAsia="黑体"/>
          <w:color w:val="auto"/>
          <w:sz w:val="28"/>
          <w:szCs w:val="28"/>
        </w:rPr>
        <w:t>、备注</w:t>
      </w: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r>
        <w:rPr>
          <w:color w:val="auto"/>
        </w:rPr>
        <w:br w:type="page"/>
      </w:r>
    </w:p>
    <w:p>
      <w:pPr>
        <w:jc w:val="center"/>
        <w:rPr>
          <w:rFonts w:ascii="方正小标宋_GBK" w:hAnsi="方正小标宋_GBK" w:eastAsia="方正小标宋_GBK" w:cs="方正小标宋_GBK"/>
          <w:color w:val="auto"/>
          <w:sz w:val="40"/>
          <w:szCs w:val="40"/>
        </w:rPr>
      </w:pPr>
      <w:r>
        <w:rPr>
          <w:rFonts w:hint="eastAsia" w:ascii="方正小标宋_GBK" w:hAnsi="方正小标宋_GBK" w:eastAsia="方正小标宋_GBK" w:cs="方正小标宋_GBK"/>
          <w:color w:val="auto"/>
          <w:sz w:val="40"/>
          <w:szCs w:val="40"/>
        </w:rPr>
        <w:t>省级分局和计划单列市分局办理的货物贸易外汇存放境外外汇账户新办</w:t>
      </w:r>
    </w:p>
    <w:p>
      <w:pPr>
        <w:jc w:val="center"/>
        <w:rPr>
          <w:rFonts w:ascii="方正小标宋_GBK" w:hAnsi="方正小标宋_GBK" w:eastAsia="方正小标宋_GBK" w:cs="方正小标宋_GBK"/>
          <w:color w:val="auto"/>
          <w:sz w:val="40"/>
          <w:szCs w:val="40"/>
        </w:rPr>
      </w:pPr>
      <w:r>
        <w:rPr>
          <w:rFonts w:hint="eastAsia" w:ascii="方正小标宋_GBK" w:hAnsi="方正小标宋_GBK" w:eastAsia="方正小标宋_GBK" w:cs="方正小标宋_GBK"/>
          <w:color w:val="auto"/>
          <w:sz w:val="40"/>
          <w:szCs w:val="40"/>
        </w:rPr>
        <w:t>【00017110300101】</w:t>
      </w:r>
    </w:p>
    <w:p>
      <w:pPr>
        <w:numPr>
          <w:ilvl w:val="0"/>
          <w:numId w:val="1"/>
        </w:num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基本要素</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1.</w:t>
      </w:r>
      <w:r>
        <w:rPr>
          <w:rFonts w:ascii="Times New Roman" w:hAnsi="Times New Roman" w:eastAsia="仿宋GB2312"/>
          <w:b/>
          <w:bCs/>
          <w:color w:val="auto"/>
          <w:sz w:val="28"/>
          <w:szCs w:val="28"/>
        </w:rPr>
        <w:t>行政许可事项名称</w:t>
      </w:r>
      <w:r>
        <w:rPr>
          <w:rFonts w:hint="eastAsia" w:ascii="Times New Roman" w:hAnsi="Times New Roman" w:eastAsia="仿宋GB2312"/>
          <w:b/>
          <w:bCs/>
          <w:color w:val="auto"/>
          <w:sz w:val="28"/>
          <w:szCs w:val="28"/>
        </w:rPr>
        <w:t>及编码</w:t>
      </w:r>
    </w:p>
    <w:p>
      <w:pPr>
        <w:spacing w:line="360" w:lineRule="auto"/>
        <w:ind w:firstLine="560" w:firstLineChars="200"/>
        <w:rPr>
          <w:rFonts w:ascii="仿宋" w:hAnsi="仿宋" w:eastAsia="仿宋" w:cs="仿宋"/>
          <w:color w:val="auto"/>
          <w:sz w:val="28"/>
          <w:szCs w:val="28"/>
        </w:rPr>
      </w:pPr>
      <w:r>
        <w:rPr>
          <w:rFonts w:hint="eastAsia" w:ascii="方正仿宋_GBK" w:hAnsi="方正仿宋_GBK" w:eastAsia="方正仿宋_GBK" w:cs="方正仿宋_GBK"/>
          <w:color w:val="auto"/>
          <w:sz w:val="28"/>
          <w:szCs w:val="28"/>
        </w:rPr>
        <w:t>经常项目外汇存放境外核准【00017110300Y】</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2.</w:t>
      </w:r>
      <w:r>
        <w:rPr>
          <w:rFonts w:ascii="Times New Roman" w:hAnsi="Times New Roman" w:eastAsia="仿宋GB2312"/>
          <w:b/>
          <w:bCs/>
          <w:color w:val="auto"/>
          <w:sz w:val="28"/>
          <w:szCs w:val="28"/>
        </w:rPr>
        <w:t>行政许可</w:t>
      </w:r>
      <w:r>
        <w:rPr>
          <w:rFonts w:hint="eastAsia" w:ascii="Times New Roman" w:hAnsi="Times New Roman" w:eastAsia="仿宋GB2312"/>
          <w:b/>
          <w:bCs/>
          <w:color w:val="auto"/>
          <w:sz w:val="28"/>
          <w:szCs w:val="28"/>
        </w:rPr>
        <w:t>事项子项名称及编码</w:t>
      </w:r>
    </w:p>
    <w:p>
      <w:pPr>
        <w:spacing w:line="360" w:lineRule="auto"/>
        <w:ind w:firstLine="560" w:firstLineChars="200"/>
        <w:rPr>
          <w:rFonts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省级分局和计划单列市分局办理的货物贸易外汇存放境外核准【000171103001】</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3.行政许可事项业务办理项名称及编码</w:t>
      </w:r>
    </w:p>
    <w:p>
      <w:pPr>
        <w:spacing w:line="360" w:lineRule="auto"/>
        <w:ind w:firstLine="560" w:firstLineChars="200"/>
        <w:rPr>
          <w:rFonts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省级分局和计划单列市分局办理的货物贸易外汇存放境外外汇账户新办(00017110300101)</w:t>
      </w:r>
    </w:p>
    <w:p>
      <w:pPr>
        <w:spacing w:line="360" w:lineRule="auto"/>
        <w:ind w:firstLine="562" w:firstLineChars="200"/>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4.设定依据</w:t>
      </w:r>
    </w:p>
    <w:p>
      <w:pPr>
        <w:spacing w:line="540" w:lineRule="exact"/>
        <w:ind w:firstLine="560" w:firstLineChars="200"/>
        <w:outlineLvl w:val="2"/>
        <w:rPr>
          <w:rFonts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（1）《中华人民共和国外汇管理条例》第九条</w:t>
      </w:r>
    </w:p>
    <w:p>
      <w:pPr>
        <w:spacing w:line="540" w:lineRule="exact"/>
        <w:ind w:firstLine="560" w:firstLineChars="200"/>
        <w:outlineLvl w:val="2"/>
        <w:rPr>
          <w:rFonts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（2）《国务院对确需保留的行政审批项目设定行政许可的决定》</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5.实施依据</w:t>
      </w:r>
    </w:p>
    <w:p>
      <w:pPr>
        <w:spacing w:line="540" w:lineRule="exact"/>
        <w:ind w:firstLine="560" w:firstLineChars="200"/>
        <w:outlineLvl w:val="2"/>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（1）《经常项目外汇业务指引（2020年版）》（汇发〔2020〕14号文印发）第一百六十一条</w:t>
      </w:r>
    </w:p>
    <w:p>
      <w:pPr>
        <w:spacing w:line="540" w:lineRule="exact"/>
        <w:ind w:firstLine="560" w:firstLineChars="200"/>
        <w:outlineLvl w:val="2"/>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（2）《国家外汇管理局行政许可实施办法》（国家外汇管理局公告2021年第1号）</w:t>
      </w:r>
    </w:p>
    <w:p>
      <w:pPr>
        <w:spacing w:line="540" w:lineRule="exact"/>
        <w:ind w:firstLine="560" w:firstLineChars="200"/>
        <w:outlineLvl w:val="2"/>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（3）《经常项目外汇业务指引（2020年版）》（汇发〔2020〕14号文印发）第一百六十二条</w:t>
      </w:r>
    </w:p>
    <w:p>
      <w:pPr>
        <w:spacing w:line="540" w:lineRule="exact"/>
        <w:ind w:firstLine="560" w:firstLineChars="200"/>
        <w:outlineLvl w:val="2"/>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（4）《经常项目外汇业务指引（2020年版）》（汇发〔2020〕14号文印发）第一百六十三条</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6.监管依据</w:t>
      </w:r>
    </w:p>
    <w:p>
      <w:pPr>
        <w:spacing w:line="540" w:lineRule="exact"/>
        <w:ind w:firstLine="560" w:firstLineChars="200"/>
        <w:outlineLvl w:val="2"/>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（1）《中华人民共和国外汇管理条例》</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7.</w:t>
      </w:r>
      <w:r>
        <w:rPr>
          <w:rFonts w:ascii="Times New Roman" w:hAnsi="Times New Roman" w:eastAsia="仿宋GB2312"/>
          <w:b/>
          <w:bCs/>
          <w:color w:val="auto"/>
          <w:sz w:val="28"/>
          <w:szCs w:val="28"/>
        </w:rPr>
        <w:t>实施机关</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国家外汇局省级分局和计划单列市分局</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8.</w:t>
      </w:r>
      <w:r>
        <w:rPr>
          <w:rFonts w:ascii="Times New Roman" w:hAnsi="Times New Roman" w:eastAsia="仿宋GB2312"/>
          <w:b/>
          <w:bCs/>
          <w:color w:val="auto"/>
          <w:sz w:val="28"/>
          <w:szCs w:val="28"/>
        </w:rPr>
        <w:t>审批层级</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国家级</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9.行使</w:t>
      </w:r>
      <w:r>
        <w:rPr>
          <w:rFonts w:ascii="Times New Roman" w:hAnsi="Times New Roman" w:eastAsia="仿宋GB2312"/>
          <w:b/>
          <w:bCs/>
          <w:color w:val="auto"/>
          <w:sz w:val="28"/>
          <w:szCs w:val="28"/>
        </w:rPr>
        <w:t>层级</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省级/直属</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10.</w:t>
      </w:r>
      <w:r>
        <w:rPr>
          <w:rFonts w:ascii="Times New Roman" w:hAnsi="Times New Roman" w:eastAsia="仿宋GB2312"/>
          <w:b/>
          <w:bCs/>
          <w:color w:val="auto"/>
          <w:sz w:val="28"/>
          <w:szCs w:val="28"/>
        </w:rPr>
        <w:t>是否由审批机关受理</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是</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11.</w:t>
      </w:r>
      <w:r>
        <w:rPr>
          <w:rFonts w:ascii="Times New Roman" w:hAnsi="Times New Roman" w:eastAsia="仿宋GB2312"/>
          <w:b/>
          <w:bCs/>
          <w:color w:val="auto"/>
          <w:sz w:val="28"/>
          <w:szCs w:val="28"/>
        </w:rPr>
        <w:t>受理层级</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省级</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12.</w:t>
      </w:r>
      <w:r>
        <w:rPr>
          <w:rFonts w:ascii="Times New Roman" w:hAnsi="Times New Roman" w:eastAsia="仿宋GB2312"/>
          <w:b/>
          <w:bCs/>
          <w:color w:val="auto"/>
          <w:sz w:val="28"/>
          <w:szCs w:val="28"/>
        </w:rPr>
        <w:t>是否存在初审环节</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否</w:t>
      </w:r>
    </w:p>
    <w:p>
      <w:pPr>
        <w:spacing w:line="600" w:lineRule="exact"/>
        <w:ind w:firstLine="562" w:firstLineChars="200"/>
        <w:rPr>
          <w:rFonts w:ascii="Times New Roman" w:hAnsi="Times New Roman" w:eastAsia="仿宋GB2312"/>
          <w:color w:val="auto"/>
          <w:sz w:val="28"/>
          <w:szCs w:val="28"/>
          <w:highlight w:val="yellow"/>
        </w:rPr>
      </w:pPr>
      <w:r>
        <w:rPr>
          <w:rFonts w:hint="eastAsia" w:ascii="Times New Roman" w:hAnsi="Times New Roman" w:eastAsia="仿宋GB2312"/>
          <w:b/>
          <w:bCs/>
          <w:color w:val="auto"/>
          <w:sz w:val="28"/>
          <w:szCs w:val="28"/>
        </w:rPr>
        <w:t>13.</w:t>
      </w:r>
      <w:r>
        <w:rPr>
          <w:rFonts w:ascii="Times New Roman" w:hAnsi="Times New Roman" w:eastAsia="仿宋GB2312"/>
          <w:b/>
          <w:bCs/>
          <w:color w:val="auto"/>
          <w:sz w:val="28"/>
          <w:szCs w:val="28"/>
        </w:rPr>
        <w:t>初审层级</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无</w:t>
      </w:r>
    </w:p>
    <w:p>
      <w:pPr>
        <w:spacing w:line="600" w:lineRule="exact"/>
        <w:ind w:firstLine="562" w:firstLineChars="200"/>
        <w:jc w:val="left"/>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14.</w:t>
      </w:r>
      <w:r>
        <w:rPr>
          <w:rFonts w:ascii="Times New Roman" w:hAnsi="Times New Roman" w:eastAsia="仿宋GB2312"/>
          <w:b/>
          <w:bCs/>
          <w:color w:val="auto"/>
          <w:sz w:val="28"/>
          <w:szCs w:val="28"/>
        </w:rPr>
        <w:t>对应政务服务事项国家级基本目录名称</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货物贸易外汇收入存放境外外汇账户审批</w:t>
      </w:r>
    </w:p>
    <w:p>
      <w:pPr>
        <w:numPr>
          <w:ilvl w:val="0"/>
          <w:numId w:val="1"/>
        </w:num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行政许可事项类型</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条件型</w:t>
      </w:r>
    </w:p>
    <w:p>
      <w:pPr>
        <w:numPr>
          <w:ilvl w:val="0"/>
          <w:numId w:val="1"/>
        </w:num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行政许可条件</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1.准予行政许可的条件</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申请人为境内机构，货物出口收入来源真实合法，且在境外有符合相关规定的支付需求；近两年无违反外汇管理规定行为。</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2.</w:t>
      </w:r>
      <w:r>
        <w:rPr>
          <w:rFonts w:ascii="Times New Roman" w:hAnsi="Times New Roman" w:eastAsia="仿宋GB2312"/>
          <w:b/>
          <w:bCs/>
          <w:color w:val="auto"/>
          <w:sz w:val="28"/>
          <w:szCs w:val="28"/>
        </w:rPr>
        <w:t>规定行政许可条件的依据</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1）《经常项目外汇业务指引（2020年版）》（汇发〔2020〕14号文印发）第一百六十二条存放境外应具备下列条件：（一）货物出口收入或服务贸易外汇收入来源真实合法，且在境外有符合相关规定的支付需求；（二）近两年无违反外汇管理规定行为……。</w:t>
      </w:r>
    </w:p>
    <w:p>
      <w:pPr>
        <w:numPr>
          <w:ilvl w:val="0"/>
          <w:numId w:val="1"/>
        </w:numPr>
        <w:spacing w:line="540" w:lineRule="exact"/>
        <w:outlineLvl w:val="1"/>
        <w:rPr>
          <w:rFonts w:ascii="Times New Roman" w:hAnsi="Times New Roman" w:eastAsia="黑体"/>
          <w:color w:val="auto"/>
          <w:sz w:val="28"/>
          <w:szCs w:val="28"/>
        </w:rPr>
      </w:pPr>
      <w:r>
        <w:rPr>
          <w:rFonts w:ascii="Times New Roman" w:hAnsi="Times New Roman" w:eastAsia="黑体"/>
          <w:color w:val="auto"/>
          <w:sz w:val="28"/>
          <w:szCs w:val="28"/>
        </w:rPr>
        <w:t>行政许可服务对象类型</w:t>
      </w:r>
      <w:r>
        <w:rPr>
          <w:rFonts w:hint="eastAsia" w:ascii="Times New Roman" w:hAnsi="Times New Roman" w:eastAsia="黑体"/>
          <w:color w:val="auto"/>
          <w:sz w:val="28"/>
          <w:szCs w:val="28"/>
        </w:rPr>
        <w:t>与改革举措</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1.服务对象类型：</w:t>
      </w:r>
      <w:r>
        <w:rPr>
          <w:rFonts w:ascii="方正仿宋_GBK" w:hAnsi="方正仿宋_GBK" w:eastAsia="方正仿宋_GBK" w:cs="方正仿宋_GBK"/>
          <w:color w:val="auto"/>
          <w:sz w:val="28"/>
          <w:szCs w:val="28"/>
        </w:rPr>
        <w:t>企业法人,事业单位法人,社会组织法人,非法人企业,行政机关,其他组织</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2.是否为涉企许可事项：</w:t>
      </w:r>
      <w:r>
        <w:rPr>
          <w:rFonts w:ascii="方正仿宋_GBK" w:hAnsi="方正仿宋_GBK" w:eastAsia="方正仿宋_GBK" w:cs="方正仿宋_GBK"/>
          <w:color w:val="auto"/>
          <w:sz w:val="28"/>
          <w:szCs w:val="28"/>
        </w:rPr>
        <w:t>否</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3.涉企经营许可事项名称：</w:t>
      </w:r>
      <w:r>
        <w:rPr>
          <w:rFonts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4.许可证件名称：</w:t>
      </w:r>
      <w:r>
        <w:rPr>
          <w:rFonts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5.改革方式：</w:t>
      </w:r>
      <w:r>
        <w:rPr>
          <w:rFonts w:ascii="方正仿宋_GBK" w:hAnsi="方正仿宋_GBK" w:eastAsia="方正仿宋_GBK" w:cs="方正仿宋_GBK"/>
          <w:color w:val="auto"/>
          <w:sz w:val="28"/>
          <w:szCs w:val="28"/>
        </w:rPr>
        <w:t>无</w:t>
      </w:r>
    </w:p>
    <w:p>
      <w:pPr>
        <w:spacing w:line="540" w:lineRule="exact"/>
        <w:ind w:firstLine="562" w:firstLineChars="200"/>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 xml:space="preserve">6.具体改革举措: </w:t>
      </w:r>
      <w:r>
        <w:rPr>
          <w:rFonts w:ascii="方正仿宋_GBK" w:hAnsi="方正仿宋_GBK" w:eastAsia="方正仿宋_GBK" w:cs="方正仿宋_GBK"/>
          <w:color w:val="auto"/>
          <w:sz w:val="28"/>
          <w:szCs w:val="28"/>
        </w:rPr>
        <w:t>无</w:t>
      </w:r>
    </w:p>
    <w:p>
      <w:pPr>
        <w:spacing w:line="540" w:lineRule="exact"/>
        <w:ind w:firstLine="562" w:firstLineChars="200"/>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7.加强事中事后监管措施</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（1）开展“双随机、一公开”监管，依法查处违规行为，适时公开相关案例。（2）依法及时处理投诉举报。（3）开展数据统计与监测，掌握外汇业务情况。</w:t>
      </w:r>
    </w:p>
    <w:p>
      <w:pPr>
        <w:numPr>
          <w:ilvl w:val="0"/>
          <w:numId w:val="1"/>
        </w:num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申请材料</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1.申请材料名称</w:t>
      </w:r>
    </w:p>
    <w:p>
      <w:pPr>
        <w:spacing w:line="600" w:lineRule="exact"/>
        <w:ind w:firstLine="560" w:firstLineChars="200"/>
        <w:rPr>
          <w:rFonts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书面申请原件1份。</w:t>
      </w:r>
    </w:p>
    <w:p>
      <w:pPr>
        <w:spacing w:line="600" w:lineRule="exact"/>
        <w:ind w:firstLine="560" w:firstLineChars="200"/>
        <w:rPr>
          <w:rFonts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《出口收入存放境外登记表》原件1份。</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2.</w:t>
      </w:r>
      <w:r>
        <w:rPr>
          <w:rFonts w:ascii="Times New Roman" w:hAnsi="Times New Roman" w:eastAsia="仿宋GB2312"/>
          <w:b/>
          <w:bCs/>
          <w:color w:val="auto"/>
          <w:sz w:val="28"/>
          <w:szCs w:val="28"/>
        </w:rPr>
        <w:t>规定申请材料的依据</w:t>
      </w:r>
    </w:p>
    <w:p>
      <w:pPr>
        <w:spacing w:line="600" w:lineRule="exact"/>
        <w:ind w:firstLine="560" w:firstLineChars="200"/>
        <w:rPr>
          <w:rFonts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1）《经常项目外汇业务指引（2020年版）》（汇发〔2020〕14号文印发）第一百六十三条境内机构开立境外账户，应凭下列材料到所在地外汇局办理境外开户登记：（一）法定代表人或其授权人签字并加盖企业公章的书面申请，申请书内容包括但不限于：基本情况、业务开展情况、拟开户银行、使用期限、根据实际需要申请的存放境外资金规模等；（二）货物贸易出口收入存放境外企业还需提供《出口收入存放境外登记表》。……</w:t>
      </w:r>
    </w:p>
    <w:p>
      <w:pPr>
        <w:numPr>
          <w:ilvl w:val="0"/>
          <w:numId w:val="1"/>
        </w:num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中介服务</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1.有无法定中介服务事项：</w:t>
      </w:r>
      <w:r>
        <w:rPr>
          <w:rFonts w:ascii="方正仿宋_GBK" w:hAnsi="方正仿宋_GBK" w:eastAsia="方正仿宋_GBK" w:cs="方正仿宋_GBK"/>
          <w:color w:val="auto"/>
          <w:sz w:val="28"/>
          <w:szCs w:val="28"/>
        </w:rPr>
        <w:t>无</w:t>
      </w:r>
    </w:p>
    <w:p>
      <w:pPr>
        <w:spacing w:line="600" w:lineRule="exact"/>
        <w:ind w:firstLine="562" w:firstLineChars="200"/>
        <w:rPr>
          <w:rFonts w:ascii="方正仿宋_GBK" w:hAnsi="方正仿宋_GBK" w:eastAsia="方正仿宋_GBK" w:cs="方正仿宋_GBK"/>
          <w:color w:val="auto"/>
          <w:sz w:val="28"/>
          <w:szCs w:val="28"/>
        </w:rPr>
      </w:pPr>
      <w:r>
        <w:rPr>
          <w:rFonts w:hint="eastAsia" w:ascii="Times New Roman" w:hAnsi="Times New Roman" w:eastAsia="仿宋GB2312"/>
          <w:b/>
          <w:bCs/>
          <w:color w:val="auto"/>
          <w:sz w:val="28"/>
          <w:szCs w:val="28"/>
        </w:rPr>
        <w:t>2.</w:t>
      </w:r>
      <w:r>
        <w:rPr>
          <w:rFonts w:ascii="Times New Roman" w:hAnsi="Times New Roman" w:eastAsia="仿宋GB2312"/>
          <w:b/>
          <w:bCs/>
          <w:color w:val="auto"/>
          <w:sz w:val="28"/>
          <w:szCs w:val="28"/>
        </w:rPr>
        <w:t>中介服务事项名称</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3.</w:t>
      </w:r>
      <w:r>
        <w:rPr>
          <w:rFonts w:ascii="Times New Roman" w:hAnsi="Times New Roman" w:eastAsia="仿宋GB2312"/>
          <w:b/>
          <w:bCs/>
          <w:color w:val="auto"/>
          <w:sz w:val="28"/>
          <w:szCs w:val="28"/>
        </w:rPr>
        <w:t>设定中介服务事项的依据</w:t>
      </w:r>
      <w:r>
        <w:rPr>
          <w:rFonts w:hint="eastAsia" w:ascii="Times New Roman" w:hAnsi="Times New Roman" w:eastAsia="仿宋GB2312"/>
          <w:b/>
          <w:bCs/>
          <w:color w:val="auto"/>
          <w:sz w:val="28"/>
          <w:szCs w:val="28"/>
        </w:rPr>
        <w:t xml:space="preserve">: </w:t>
      </w:r>
      <w:r>
        <w:rPr>
          <w:rFonts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4.</w:t>
      </w:r>
      <w:r>
        <w:rPr>
          <w:rFonts w:ascii="Times New Roman" w:hAnsi="Times New Roman" w:eastAsia="仿宋GB2312"/>
          <w:b/>
          <w:bCs/>
          <w:color w:val="auto"/>
          <w:sz w:val="28"/>
          <w:szCs w:val="28"/>
        </w:rPr>
        <w:t>提供中介服务的机构</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5.</w:t>
      </w:r>
      <w:r>
        <w:rPr>
          <w:rFonts w:ascii="Times New Roman" w:hAnsi="Times New Roman" w:eastAsia="仿宋GB2312"/>
          <w:b/>
          <w:bCs/>
          <w:color w:val="auto"/>
          <w:sz w:val="28"/>
          <w:szCs w:val="28"/>
        </w:rPr>
        <w:t>中介服务事项的收费性质</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无</w:t>
      </w:r>
    </w:p>
    <w:p>
      <w:pPr>
        <w:numPr>
          <w:ilvl w:val="0"/>
          <w:numId w:val="1"/>
        </w:num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审批程序</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1.办理行政许可的程序环节</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1.申请人申请；</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2.审批机构受理/不予受理；</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3.审批机构审查；</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4.决定作出许可决定书/不予许可决定书。</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2.规定行政许可程序的依据</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《国家外汇管理局行政许可实施办法》（国家外汇管理局公告2021年第1号）第十条外汇局收到行政许可申请后，应区分下列情况分别作出处理：</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（一）申请事项属于本局职责范围，但依法不需要取得行政许可的，应即时告知申请人不受理，出具不予受理行政许可通知书；</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（二）申请事项不属于本局职责范围，应即时作出不予受理的决定，出具不予受理行政许可通知书，并告知申请人向有关行政机关申请；</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申请材料存在文字笔误等可当场更正的错误的，应允许申请人当场更正，并告知其在修改处签字或盖章确认；</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《国家外汇管理局行政许可实施办法》（国家外汇管理局公告2021年第1号）第十四条外汇局对行政许可申请审查后，应区分下列情况分别作出处理：</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（二）申请不符合法定条件、拟不予行政许可的，应出具不予行政许可决定书，并说明不予行政许可的理由，告知申请人享有依法申请行政复议的权利。</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3.</w:t>
      </w:r>
      <w:r>
        <w:rPr>
          <w:rFonts w:ascii="Times New Roman" w:hAnsi="Times New Roman" w:eastAsia="仿宋GB2312"/>
          <w:b/>
          <w:bCs/>
          <w:color w:val="auto"/>
          <w:sz w:val="28"/>
          <w:szCs w:val="28"/>
        </w:rPr>
        <w:t>是否需要现场勘验</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否</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4.</w:t>
      </w:r>
      <w:r>
        <w:rPr>
          <w:rFonts w:ascii="Times New Roman" w:hAnsi="Times New Roman" w:eastAsia="仿宋GB2312"/>
          <w:b/>
          <w:bCs/>
          <w:color w:val="auto"/>
          <w:sz w:val="28"/>
          <w:szCs w:val="28"/>
        </w:rPr>
        <w:t>是否需要组织听证</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否</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5.</w:t>
      </w:r>
      <w:r>
        <w:rPr>
          <w:rFonts w:ascii="Times New Roman" w:hAnsi="Times New Roman" w:eastAsia="仿宋GB2312"/>
          <w:b/>
          <w:bCs/>
          <w:color w:val="auto"/>
          <w:sz w:val="28"/>
          <w:szCs w:val="28"/>
        </w:rPr>
        <w:t>是否需要招标、拍卖、挂牌交易</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否</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6.</w:t>
      </w:r>
      <w:r>
        <w:rPr>
          <w:rFonts w:ascii="Times New Roman" w:hAnsi="Times New Roman" w:eastAsia="仿宋GB2312"/>
          <w:b/>
          <w:bCs/>
          <w:color w:val="auto"/>
          <w:sz w:val="28"/>
          <w:szCs w:val="28"/>
        </w:rPr>
        <w:t>是否需要检验、检测、检疫</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否</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7.</w:t>
      </w:r>
      <w:r>
        <w:rPr>
          <w:rFonts w:ascii="Times New Roman" w:hAnsi="Times New Roman" w:eastAsia="仿宋GB2312"/>
          <w:b/>
          <w:bCs/>
          <w:color w:val="auto"/>
          <w:sz w:val="28"/>
          <w:szCs w:val="28"/>
        </w:rPr>
        <w:t>是否需要鉴定</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否</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8.</w:t>
      </w:r>
      <w:r>
        <w:rPr>
          <w:rFonts w:ascii="Times New Roman" w:hAnsi="Times New Roman" w:eastAsia="仿宋GB2312"/>
          <w:b/>
          <w:bCs/>
          <w:color w:val="auto"/>
          <w:sz w:val="28"/>
          <w:szCs w:val="28"/>
        </w:rPr>
        <w:t>是否需要专家评审</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否</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9.</w:t>
      </w:r>
      <w:r>
        <w:rPr>
          <w:rFonts w:ascii="Times New Roman" w:hAnsi="Times New Roman" w:eastAsia="仿宋GB2312"/>
          <w:b/>
          <w:bCs/>
          <w:color w:val="auto"/>
          <w:sz w:val="28"/>
          <w:szCs w:val="28"/>
        </w:rPr>
        <w:t>是否需要向社会公示</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否</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10.</w:t>
      </w:r>
      <w:r>
        <w:rPr>
          <w:rFonts w:ascii="Times New Roman" w:hAnsi="Times New Roman" w:eastAsia="仿宋GB2312"/>
          <w:b/>
          <w:bCs/>
          <w:color w:val="auto"/>
          <w:sz w:val="28"/>
          <w:szCs w:val="28"/>
        </w:rPr>
        <w:t>是否实行告知承诺办理</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否</w:t>
      </w:r>
    </w:p>
    <w:p>
      <w:pPr>
        <w:spacing w:line="600" w:lineRule="exact"/>
        <w:ind w:firstLine="562" w:firstLineChars="200"/>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11.审批机关是否委托服务机构开展技术性服务：</w:t>
      </w:r>
      <w:r>
        <w:rPr>
          <w:rFonts w:hint="eastAsia" w:ascii="方正仿宋_GBK" w:hAnsi="方正仿宋_GBK" w:eastAsia="方正仿宋_GBK" w:cs="方正仿宋_GBK"/>
          <w:color w:val="auto"/>
          <w:sz w:val="28"/>
          <w:szCs w:val="28"/>
        </w:rPr>
        <w:t>否</w:t>
      </w:r>
    </w:p>
    <w:p>
      <w:pPr>
        <w:numPr>
          <w:ilvl w:val="0"/>
          <w:numId w:val="1"/>
        </w:num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受理和审批时限</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1.承诺受理时限：</w:t>
      </w:r>
      <w:r>
        <w:rPr>
          <w:rFonts w:ascii="方正仿宋_GBK" w:hAnsi="方正仿宋_GBK" w:eastAsia="方正仿宋_GBK" w:cs="方正仿宋_GBK"/>
          <w:color w:val="auto"/>
          <w:sz w:val="28"/>
          <w:szCs w:val="28"/>
        </w:rPr>
        <w:t>5个工作日</w:t>
      </w:r>
    </w:p>
    <w:p>
      <w:pPr>
        <w:spacing w:line="540" w:lineRule="exact"/>
        <w:ind w:firstLine="562" w:firstLineChars="200"/>
        <w:outlineLvl w:val="2"/>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2.法定审批时限：</w:t>
      </w:r>
      <w:r>
        <w:rPr>
          <w:rFonts w:hint="eastAsia" w:ascii="方正仿宋_GBK" w:hAnsi="方正仿宋_GBK" w:eastAsia="方正仿宋_GBK" w:cs="方正仿宋_GBK"/>
          <w:color w:val="auto"/>
          <w:sz w:val="28"/>
          <w:szCs w:val="28"/>
        </w:rPr>
        <w:t>30个工作日</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3.规定法定审批时限依据</w:t>
      </w:r>
    </w:p>
    <w:p>
      <w:pPr>
        <w:spacing w:line="600" w:lineRule="exact"/>
        <w:ind w:firstLine="560" w:firstLineChars="200"/>
        <w:rPr>
          <w:rFonts w:ascii="Times New Roman" w:hAnsi="Times New Roman" w:eastAsia="仿宋GB2312"/>
          <w:color w:val="auto"/>
          <w:sz w:val="32"/>
          <w:szCs w:val="32"/>
        </w:rPr>
      </w:pPr>
      <w:r>
        <w:rPr>
          <w:rFonts w:ascii="方正仿宋_GBK" w:hAnsi="方正仿宋_GBK" w:eastAsia="方正仿宋_GBK" w:cs="方正仿宋_GBK"/>
          <w:color w:val="auto"/>
          <w:sz w:val="28"/>
          <w:szCs w:val="28"/>
        </w:rPr>
        <w:t>（1）《国家外汇管理局行政许可实施办法》（国家外汇管理局公告2021年第1号）第十五条外汇局应根据以下要求确保行政许可依法按时完成：</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（一）能当场作出决定的，应当场作出行政许可决定。当场作出行政许可决定的，可不出具行政许可受理通知书；</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ascii="Times New Roman" w:hAnsi="Times New Roman" w:eastAsia="仿宋GB2312"/>
          <w:color w:val="auto"/>
          <w:sz w:val="32"/>
          <w:szCs w:val="32"/>
        </w:rPr>
      </w:pPr>
      <w:r>
        <w:rPr>
          <w:rFonts w:ascii="方正仿宋_GBK" w:hAnsi="方正仿宋_GBK" w:eastAsia="方正仿宋_GBK" w:cs="方正仿宋_GBK"/>
          <w:color w:val="auto"/>
          <w:sz w:val="28"/>
          <w:szCs w:val="28"/>
        </w:rPr>
        <w:t>各级外汇局对行政许可办理时限具有对外承诺的，应按照其承诺的时限完成；对外承诺的时限应短于20个工作日。</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4.承诺审批时限：</w:t>
      </w:r>
      <w:r>
        <w:rPr>
          <w:rFonts w:ascii="方正仿宋_GBK" w:hAnsi="方正仿宋_GBK" w:eastAsia="方正仿宋_GBK" w:cs="方正仿宋_GBK"/>
          <w:color w:val="auto"/>
          <w:sz w:val="28"/>
          <w:szCs w:val="28"/>
        </w:rPr>
        <w:t>20个工作日</w:t>
      </w:r>
    </w:p>
    <w:p>
      <w:pPr>
        <w:numPr>
          <w:ilvl w:val="0"/>
          <w:numId w:val="1"/>
        </w:num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收费</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1.办理行政许可是否收费：</w:t>
      </w:r>
      <w:r>
        <w:rPr>
          <w:rFonts w:hint="eastAsia" w:ascii="方正仿宋_GBK" w:hAnsi="方正仿宋_GBK" w:eastAsia="方正仿宋_GBK" w:cs="方正仿宋_GBK"/>
          <w:color w:val="auto"/>
          <w:sz w:val="28"/>
          <w:szCs w:val="28"/>
        </w:rPr>
        <w:t>否</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 xml:space="preserve">2.收费项目的名称、收费项目的标准、设定收费项目的依据、规定收费标准的依据: </w:t>
      </w:r>
      <w:r>
        <w:rPr>
          <w:rFonts w:hint="eastAsia" w:ascii="方正仿宋_GBK" w:hAnsi="方正仿宋_GBK" w:eastAsia="方正仿宋_GBK" w:cs="方正仿宋_GBK"/>
          <w:color w:val="auto"/>
          <w:sz w:val="28"/>
          <w:szCs w:val="28"/>
        </w:rPr>
        <w:t>无</w:t>
      </w:r>
    </w:p>
    <w:p>
      <w:pPr>
        <w:numPr>
          <w:ilvl w:val="0"/>
          <w:numId w:val="1"/>
        </w:num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行政许可证件</w:t>
      </w:r>
    </w:p>
    <w:p>
      <w:pPr>
        <w:spacing w:line="540" w:lineRule="exact"/>
        <w:ind w:firstLine="562" w:firstLineChars="200"/>
        <w:outlineLvl w:val="2"/>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1.审批结果类型：</w:t>
      </w:r>
      <w:r>
        <w:rPr>
          <w:rFonts w:ascii="方正仿宋_GBK" w:hAnsi="方正仿宋_GBK" w:eastAsia="方正仿宋_GBK" w:cs="方正仿宋_GBK"/>
          <w:color w:val="auto"/>
          <w:sz w:val="28"/>
          <w:szCs w:val="28"/>
        </w:rPr>
        <w:t>批文</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2.审批结果名称：</w:t>
      </w:r>
      <w:r>
        <w:rPr>
          <w:rFonts w:hint="eastAsia" w:ascii="方正仿宋_GBK" w:hAnsi="方正仿宋_GBK" w:eastAsia="方正仿宋_GBK" w:cs="方正仿宋_GBK"/>
          <w:color w:val="auto"/>
          <w:sz w:val="28"/>
          <w:szCs w:val="28"/>
        </w:rPr>
        <w:t>《出口收入存放境外登记表》</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3.审批结果的有效期限：</w:t>
      </w:r>
      <w:r>
        <w:rPr>
          <w:rFonts w:hint="eastAsia" w:ascii="方正仿宋_GBK" w:hAnsi="方正仿宋_GBK" w:eastAsia="方正仿宋_GBK" w:cs="方正仿宋_GBK"/>
          <w:color w:val="auto"/>
          <w:sz w:val="28"/>
          <w:szCs w:val="28"/>
        </w:rPr>
        <w:t>无期限</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 xml:space="preserve">4.规定审批结果有效期限的依据: </w:t>
      </w:r>
      <w:r>
        <w:rPr>
          <w:rFonts w:hint="eastAsia"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5.是否需要办理审批结果变更手续：</w:t>
      </w:r>
      <w:r>
        <w:rPr>
          <w:rFonts w:ascii="方正仿宋_GBK" w:hAnsi="方正仿宋_GBK" w:eastAsia="方正仿宋_GBK" w:cs="方正仿宋_GBK"/>
          <w:color w:val="auto"/>
          <w:sz w:val="28"/>
          <w:szCs w:val="28"/>
        </w:rPr>
        <w:t>否</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 xml:space="preserve">6.办理审批结果变更手续的要求: </w:t>
      </w:r>
      <w:r>
        <w:rPr>
          <w:rFonts w:hint="eastAsia"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7.是否需要办理审批结果延续手续：</w:t>
      </w:r>
      <w:r>
        <w:rPr>
          <w:rFonts w:hint="eastAsia" w:ascii="方正仿宋_GBK" w:hAnsi="方正仿宋_GBK" w:eastAsia="方正仿宋_GBK" w:cs="方正仿宋_GBK"/>
          <w:color w:val="auto"/>
          <w:sz w:val="28"/>
          <w:szCs w:val="28"/>
        </w:rPr>
        <w:t>否</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 xml:space="preserve">8.办理审批结果延续手续的要求: </w:t>
      </w:r>
      <w:r>
        <w:rPr>
          <w:rFonts w:hint="eastAsia" w:ascii="方正仿宋_GBK" w:hAnsi="方正仿宋_GBK" w:eastAsia="方正仿宋_GBK" w:cs="方正仿宋_GBK"/>
          <w:color w:val="auto"/>
          <w:sz w:val="28"/>
          <w:szCs w:val="28"/>
        </w:rPr>
        <w:t>无</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 xml:space="preserve">9.审批结果的有效地域范围: </w:t>
      </w:r>
      <w:r>
        <w:rPr>
          <w:rFonts w:hint="eastAsia" w:ascii="方正仿宋_GBK" w:hAnsi="方正仿宋_GBK" w:eastAsia="方正仿宋_GBK" w:cs="方正仿宋_GBK"/>
          <w:color w:val="auto"/>
          <w:sz w:val="28"/>
          <w:szCs w:val="28"/>
        </w:rPr>
        <w:t>全国</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 xml:space="preserve">10.规定审批结果有效地域范围的依据: </w:t>
      </w:r>
      <w:r>
        <w:rPr>
          <w:rFonts w:hint="eastAsia" w:ascii="方正仿宋_GBK" w:hAnsi="方正仿宋_GBK" w:eastAsia="方正仿宋_GBK" w:cs="方正仿宋_GBK"/>
          <w:color w:val="auto"/>
          <w:sz w:val="28"/>
          <w:szCs w:val="28"/>
        </w:rPr>
        <w:t>无</w:t>
      </w:r>
    </w:p>
    <w:p>
      <w:pPr>
        <w:numPr>
          <w:ilvl w:val="0"/>
          <w:numId w:val="1"/>
        </w:num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行政许可数量限制</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1.有无行政许可数量限制：</w:t>
      </w:r>
      <w:r>
        <w:rPr>
          <w:rFonts w:hint="eastAsia" w:ascii="方正仿宋_GBK" w:hAnsi="方正仿宋_GBK" w:eastAsia="方正仿宋_GBK" w:cs="方正仿宋_GBK"/>
          <w:color w:val="auto"/>
          <w:sz w:val="28"/>
          <w:szCs w:val="28"/>
        </w:rPr>
        <w:t>无</w:t>
      </w:r>
    </w:p>
    <w:p>
      <w:pPr>
        <w:spacing w:line="540" w:lineRule="exact"/>
        <w:ind w:firstLine="562" w:firstLineChars="200"/>
        <w:outlineLvl w:val="2"/>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2.公布数量限制的方式：</w:t>
      </w:r>
      <w:r>
        <w:rPr>
          <w:rFonts w:hint="eastAsia" w:ascii="方正仿宋_GBK" w:hAnsi="方正仿宋_GBK" w:eastAsia="方正仿宋_GBK" w:cs="方正仿宋_GBK"/>
          <w:color w:val="auto"/>
          <w:sz w:val="28"/>
          <w:szCs w:val="28"/>
        </w:rPr>
        <w:t>无</w:t>
      </w:r>
    </w:p>
    <w:p>
      <w:pPr>
        <w:spacing w:line="540" w:lineRule="exact"/>
        <w:ind w:firstLine="562" w:firstLineChars="200"/>
        <w:outlineLvl w:val="2"/>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3.公布数量限制的周期：</w:t>
      </w:r>
      <w:r>
        <w:rPr>
          <w:rFonts w:hint="eastAsia"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4.在数量限制条件下实施行政许可的方式：</w:t>
      </w:r>
      <w:r>
        <w:rPr>
          <w:rFonts w:hint="eastAsia" w:ascii="方正仿宋_GBK" w:hAnsi="方正仿宋_GBK" w:eastAsia="方正仿宋_GBK" w:cs="方正仿宋_GBK"/>
          <w:color w:val="auto"/>
          <w:sz w:val="28"/>
          <w:szCs w:val="28"/>
        </w:rPr>
        <w:t>无</w:t>
      </w:r>
    </w:p>
    <w:p>
      <w:pPr>
        <w:spacing w:line="600" w:lineRule="exact"/>
        <w:ind w:firstLine="562" w:firstLineChars="200"/>
        <w:jc w:val="left"/>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 xml:space="preserve">5.规定在数量限制条件下实施行政许可方式的依据: </w:t>
      </w:r>
      <w:r>
        <w:rPr>
          <w:rFonts w:hint="eastAsia" w:ascii="方正仿宋_GBK" w:hAnsi="方正仿宋_GBK" w:eastAsia="方正仿宋_GBK" w:cs="方正仿宋_GBK"/>
          <w:color w:val="auto"/>
          <w:sz w:val="28"/>
          <w:szCs w:val="28"/>
        </w:rPr>
        <w:t>无</w:t>
      </w:r>
    </w:p>
    <w:p>
      <w:pPr>
        <w:numPr>
          <w:ilvl w:val="0"/>
          <w:numId w:val="1"/>
        </w:num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行政许可后年检</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1.有无年检要求：</w:t>
      </w:r>
      <w:r>
        <w:rPr>
          <w:rFonts w:hint="eastAsia" w:ascii="方正仿宋_GBK" w:hAnsi="方正仿宋_GBK" w:eastAsia="方正仿宋_GBK" w:cs="方正仿宋_GBK"/>
          <w:color w:val="auto"/>
          <w:sz w:val="28"/>
          <w:szCs w:val="28"/>
        </w:rPr>
        <w:t>无</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 xml:space="preserve">2.设定年检要求的依据: </w:t>
      </w:r>
      <w:r>
        <w:rPr>
          <w:rFonts w:hint="eastAsia" w:ascii="方正仿宋_GBK" w:hAnsi="方正仿宋_GBK" w:eastAsia="方正仿宋_GBK" w:cs="方正仿宋_GBK"/>
          <w:color w:val="auto"/>
          <w:sz w:val="28"/>
          <w:szCs w:val="28"/>
        </w:rPr>
        <w:t>无</w:t>
      </w:r>
    </w:p>
    <w:p>
      <w:pPr>
        <w:spacing w:line="540" w:lineRule="exact"/>
        <w:ind w:firstLine="562" w:firstLineChars="200"/>
        <w:outlineLvl w:val="2"/>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3.年检周期：</w:t>
      </w:r>
      <w:r>
        <w:rPr>
          <w:rFonts w:hint="eastAsia"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4.年检是否要求报送材料：</w:t>
      </w:r>
      <w:r>
        <w:rPr>
          <w:rFonts w:hint="eastAsia"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5.年检报送材料名称：</w:t>
      </w:r>
      <w:r>
        <w:rPr>
          <w:rFonts w:hint="eastAsia"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6.年检是否收费：</w:t>
      </w:r>
      <w:r>
        <w:rPr>
          <w:rFonts w:hint="eastAsia"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 xml:space="preserve">7.年检收费项目的名称、年检收费项目的标准、设定年检收费项目的依据、规定年检项目收费标准的依据: </w:t>
      </w:r>
      <w:r>
        <w:rPr>
          <w:rFonts w:hint="eastAsia" w:ascii="方正仿宋_GBK" w:hAnsi="方正仿宋_GBK" w:eastAsia="方正仿宋_GBK" w:cs="方正仿宋_GBK"/>
          <w:color w:val="auto"/>
          <w:sz w:val="28"/>
          <w:szCs w:val="28"/>
        </w:rPr>
        <w:t>无</w:t>
      </w:r>
    </w:p>
    <w:p>
      <w:pPr>
        <w:spacing w:line="540" w:lineRule="exact"/>
        <w:ind w:firstLine="562" w:firstLineChars="200"/>
        <w:outlineLvl w:val="2"/>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8.通过年检的证明或者标志：</w:t>
      </w:r>
      <w:r>
        <w:rPr>
          <w:rFonts w:hint="eastAsia" w:ascii="方正仿宋_GBK" w:hAnsi="方正仿宋_GBK" w:eastAsia="方正仿宋_GBK" w:cs="方正仿宋_GBK"/>
          <w:color w:val="auto"/>
          <w:sz w:val="28"/>
          <w:szCs w:val="28"/>
        </w:rPr>
        <w:t>无</w:t>
      </w:r>
    </w:p>
    <w:p>
      <w:pPr>
        <w:numPr>
          <w:ilvl w:val="0"/>
          <w:numId w:val="1"/>
        </w:num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行政许可后年报</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w:t>
      </w:r>
      <w:r>
        <w:rPr>
          <w:rFonts w:ascii="Times New Roman" w:hAnsi="Times New Roman" w:eastAsia="仿宋GB2312"/>
          <w:b/>
          <w:bCs/>
          <w:color w:val="auto"/>
          <w:sz w:val="28"/>
          <w:szCs w:val="28"/>
        </w:rPr>
        <w:t>有无年报要求</w:t>
      </w:r>
      <w:r>
        <w:rPr>
          <w:rFonts w:hint="eastAsia" w:ascii="Times New Roman" w:hAnsi="Times New Roman" w:eastAsia="仿宋GB2312"/>
          <w:b/>
          <w:bCs/>
          <w:color w:val="auto"/>
          <w:sz w:val="28"/>
          <w:szCs w:val="28"/>
        </w:rPr>
        <w:t>：</w:t>
      </w:r>
      <w:r>
        <w:rPr>
          <w:rFonts w:hint="eastAsia"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2.</w:t>
      </w:r>
      <w:r>
        <w:rPr>
          <w:rFonts w:ascii="Times New Roman" w:hAnsi="Times New Roman" w:eastAsia="仿宋GB2312"/>
          <w:b/>
          <w:bCs/>
          <w:color w:val="auto"/>
          <w:sz w:val="28"/>
          <w:szCs w:val="28"/>
        </w:rPr>
        <w:t>年报报送材料名称</w:t>
      </w:r>
      <w:r>
        <w:rPr>
          <w:rFonts w:hint="eastAsia" w:ascii="Times New Roman" w:hAnsi="Times New Roman" w:eastAsia="仿宋GB2312"/>
          <w:b/>
          <w:bCs/>
          <w:color w:val="auto"/>
          <w:sz w:val="28"/>
          <w:szCs w:val="28"/>
        </w:rPr>
        <w:t>：</w:t>
      </w:r>
      <w:r>
        <w:rPr>
          <w:rFonts w:hint="eastAsia" w:ascii="方正仿宋_GBK" w:hAnsi="方正仿宋_GBK" w:eastAsia="方正仿宋_GBK" w:cs="方正仿宋_GBK"/>
          <w:color w:val="auto"/>
          <w:sz w:val="28"/>
          <w:szCs w:val="28"/>
        </w:rPr>
        <w:t>无</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3.</w:t>
      </w:r>
      <w:r>
        <w:rPr>
          <w:rFonts w:ascii="Times New Roman" w:hAnsi="Times New Roman" w:eastAsia="仿宋GB2312"/>
          <w:b/>
          <w:bCs/>
          <w:color w:val="auto"/>
          <w:sz w:val="28"/>
          <w:szCs w:val="28"/>
        </w:rPr>
        <w:t>设定年报要求的依据</w:t>
      </w:r>
      <w:r>
        <w:rPr>
          <w:rFonts w:hint="eastAsia" w:ascii="Times New Roman" w:hAnsi="Times New Roman" w:eastAsia="仿宋GB2312"/>
          <w:b/>
          <w:bCs/>
          <w:color w:val="auto"/>
          <w:sz w:val="28"/>
          <w:szCs w:val="28"/>
        </w:rPr>
        <w:t xml:space="preserve">: </w:t>
      </w:r>
      <w:r>
        <w:rPr>
          <w:rFonts w:hint="eastAsia"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4.</w:t>
      </w:r>
      <w:r>
        <w:rPr>
          <w:rFonts w:ascii="Times New Roman" w:hAnsi="Times New Roman" w:eastAsia="仿宋GB2312"/>
          <w:b/>
          <w:bCs/>
          <w:color w:val="auto"/>
          <w:sz w:val="28"/>
          <w:szCs w:val="28"/>
        </w:rPr>
        <w:t>年报周期</w:t>
      </w:r>
      <w:r>
        <w:rPr>
          <w:rFonts w:hint="eastAsia" w:ascii="Times New Roman" w:hAnsi="Times New Roman" w:eastAsia="仿宋GB2312"/>
          <w:b/>
          <w:bCs/>
          <w:color w:val="auto"/>
          <w:sz w:val="28"/>
          <w:szCs w:val="28"/>
        </w:rPr>
        <w:t>：</w:t>
      </w:r>
      <w:r>
        <w:rPr>
          <w:rFonts w:hint="eastAsia" w:ascii="方正仿宋_GBK" w:hAnsi="方正仿宋_GBK" w:eastAsia="方正仿宋_GBK" w:cs="方正仿宋_GBK"/>
          <w:color w:val="auto"/>
          <w:sz w:val="28"/>
          <w:szCs w:val="28"/>
        </w:rPr>
        <w:t>无</w:t>
      </w:r>
    </w:p>
    <w:p>
      <w:pPr>
        <w:numPr>
          <w:ilvl w:val="0"/>
          <w:numId w:val="1"/>
        </w:num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监管主体</w:t>
      </w:r>
    </w:p>
    <w:p>
      <w:pPr>
        <w:spacing w:line="600" w:lineRule="exact"/>
        <w:ind w:firstLine="560" w:firstLineChars="200"/>
        <w:rPr>
          <w:rFonts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国家外汇局及其分局</w:t>
      </w:r>
    </w:p>
    <w:p>
      <w:pPr>
        <w:rPr>
          <w:rFonts w:ascii="方正仿宋_GBK" w:hAnsi="方正仿宋_GBK" w:eastAsia="方正仿宋_GBK" w:cs="方正仿宋_GBK"/>
          <w:color w:val="auto"/>
          <w:sz w:val="28"/>
          <w:szCs w:val="28"/>
        </w:rPr>
      </w:pPr>
      <w:r>
        <w:rPr>
          <w:rFonts w:hint="eastAsia" w:eastAsia="黑体"/>
          <w:color w:val="auto"/>
          <w:sz w:val="28"/>
          <w:szCs w:val="28"/>
        </w:rPr>
        <w:t>十五、</w:t>
      </w:r>
      <w:r>
        <w:rPr>
          <w:rFonts w:eastAsia="黑体"/>
          <w:color w:val="auto"/>
          <w:sz w:val="28"/>
          <w:szCs w:val="28"/>
        </w:rPr>
        <w:t>行政许可办理地址和时间</w:t>
      </w:r>
    </w:p>
    <w:p>
      <w:pPr>
        <w:spacing w:line="540" w:lineRule="exact"/>
        <w:ind w:firstLine="562" w:firstLineChars="200"/>
        <w:outlineLvl w:val="2"/>
        <w:rPr>
          <w:rFonts w:ascii="方正仿宋_GBK" w:hAnsi="方正仿宋_GBK" w:eastAsia="方正仿宋_GBK" w:cs="方正仿宋_GBK"/>
          <w:color w:val="auto"/>
          <w:sz w:val="28"/>
          <w:szCs w:val="28"/>
        </w:rPr>
      </w:pPr>
      <w:r>
        <w:rPr>
          <w:rFonts w:hint="eastAsia" w:eastAsia="仿宋GB2312"/>
          <w:b/>
          <w:bCs/>
          <w:color w:val="auto"/>
          <w:sz w:val="28"/>
          <w:szCs w:val="28"/>
        </w:rPr>
        <w:t>1.</w:t>
      </w:r>
      <w:r>
        <w:rPr>
          <w:rFonts w:hint="eastAsia" w:eastAsia="仿宋GB2312"/>
          <w:b/>
          <w:bCs/>
          <w:color w:val="auto"/>
          <w:sz w:val="28"/>
          <w:szCs w:val="28"/>
          <w:lang w:eastAsia="zh-CN"/>
        </w:rPr>
        <w:t>办理地址：广西南宁市青秀区滨湖路58号中国人民银行广西壮族自治区分行</w:t>
      </w:r>
      <w:r>
        <w:rPr>
          <w:rFonts w:hint="eastAsia" w:ascii="Calibri" w:hAnsi="Calibri" w:eastAsia="仿宋GB2312" w:cs="黑体"/>
          <w:b/>
          <w:bCs/>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color w:val="auto"/>
          <w:sz w:val="28"/>
          <w:szCs w:val="28"/>
        </w:rPr>
      </w:pPr>
      <w:r>
        <w:rPr>
          <w:rFonts w:hint="eastAsia" w:eastAsia="仿宋GB2312"/>
          <w:b/>
          <w:bCs/>
          <w:color w:val="auto"/>
          <w:sz w:val="28"/>
          <w:szCs w:val="28"/>
        </w:rPr>
        <w:t>2.办理时间：</w:t>
      </w:r>
      <w:r>
        <w:rPr>
          <w:rFonts w:hint="eastAsia" w:ascii="方正仿宋_GBK" w:hAnsi="方正仿宋_GBK" w:eastAsia="方正仿宋_GBK" w:cs="方正仿宋_GBK"/>
          <w:color w:val="auto"/>
          <w:sz w:val="28"/>
          <w:szCs w:val="28"/>
        </w:rPr>
        <w:t>工作日，上午：08:30-12:00，下午：</w:t>
      </w:r>
      <w:r>
        <w:rPr>
          <w:rFonts w:hint="eastAsia" w:ascii="方正仿宋_GBK" w:hAnsi="方正仿宋_GBK" w:eastAsia="方正仿宋_GBK" w:cs="方正仿宋_GBK"/>
          <w:color w:val="auto"/>
          <w:sz w:val="28"/>
          <w:szCs w:val="28"/>
          <w:lang w:val="en-US" w:eastAsia="zh-CN"/>
        </w:rPr>
        <w:t>14</w:t>
      </w:r>
      <w:r>
        <w:rPr>
          <w:rFonts w:hint="eastAsia" w:ascii="方正仿宋_GBK" w:hAnsi="方正仿宋_GBK" w:eastAsia="方正仿宋_GBK" w:cs="方正仿宋_GBK"/>
          <w:color w:val="auto"/>
          <w:sz w:val="28"/>
          <w:szCs w:val="28"/>
        </w:rPr>
        <w:t>:30-</w:t>
      </w:r>
      <w:r>
        <w:rPr>
          <w:rFonts w:hint="eastAsia" w:ascii="方正仿宋_GBK" w:hAnsi="方正仿宋_GBK" w:eastAsia="方正仿宋_GBK" w:cs="方正仿宋_GBK"/>
          <w:color w:val="auto"/>
          <w:sz w:val="28"/>
          <w:szCs w:val="28"/>
          <w:lang w:val="en-US" w:eastAsia="zh-CN"/>
        </w:rPr>
        <w:t>17</w:t>
      </w:r>
      <w:r>
        <w:rPr>
          <w:rFonts w:hint="eastAsia" w:ascii="方正仿宋_GBK" w:hAnsi="方正仿宋_GBK" w:eastAsia="方正仿宋_GBK" w:cs="方正仿宋_GBK"/>
          <w:color w:val="auto"/>
          <w:sz w:val="28"/>
          <w:szCs w:val="28"/>
        </w:rPr>
        <w:t xml:space="preserve">:30 </w:t>
      </w:r>
    </w:p>
    <w:p>
      <w:pPr>
        <w:rPr>
          <w:rFonts w:eastAsia="黑体"/>
          <w:color w:val="auto"/>
          <w:sz w:val="28"/>
          <w:szCs w:val="28"/>
        </w:rPr>
      </w:pPr>
      <w:r>
        <w:rPr>
          <w:rFonts w:hint="eastAsia" w:eastAsia="黑体"/>
          <w:color w:val="auto"/>
          <w:sz w:val="28"/>
          <w:szCs w:val="28"/>
        </w:rPr>
        <w:t>十六、</w:t>
      </w:r>
      <w:r>
        <w:rPr>
          <w:rFonts w:eastAsia="黑体"/>
          <w:color w:val="auto"/>
          <w:sz w:val="28"/>
          <w:szCs w:val="28"/>
        </w:rPr>
        <w:t>咨询途径</w:t>
      </w:r>
    </w:p>
    <w:p>
      <w:pPr>
        <w:spacing w:line="540" w:lineRule="exact"/>
        <w:ind w:firstLine="562" w:firstLineChars="200"/>
        <w:outlineLvl w:val="2"/>
        <w:rPr>
          <w:rFonts w:hint="eastAsia" w:ascii="方正仿宋_GBK" w:hAnsi="方正仿宋_GBK" w:eastAsia="方正仿宋_GBK" w:cs="方正仿宋_GBK"/>
          <w:color w:val="auto"/>
          <w:sz w:val="28"/>
          <w:szCs w:val="28"/>
          <w:lang w:eastAsia="zh-CN"/>
        </w:rPr>
      </w:pPr>
      <w:r>
        <w:rPr>
          <w:rFonts w:hint="eastAsia" w:eastAsia="仿宋GB2312"/>
          <w:b/>
          <w:bCs/>
          <w:color w:val="auto"/>
          <w:sz w:val="28"/>
          <w:szCs w:val="28"/>
          <w:lang w:eastAsia="zh-CN"/>
        </w:rPr>
        <w:t>1.窗口咨询地址：广西南宁市青秀区滨湖路58号中国人民银行广西壮族自治区分行</w:t>
      </w:r>
      <w:r>
        <w:rPr>
          <w:rFonts w:hint="eastAsia" w:ascii="Calibri" w:hAnsi="Calibri" w:eastAsia="仿宋GB2312" w:cs="黑体"/>
          <w:b/>
          <w:bCs/>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color w:val="auto"/>
          <w:sz w:val="28"/>
          <w:szCs w:val="28"/>
        </w:rPr>
      </w:pPr>
      <w:r>
        <w:rPr>
          <w:rFonts w:hint="eastAsia" w:eastAsia="仿宋GB2312"/>
          <w:b/>
          <w:bCs/>
          <w:color w:val="auto"/>
          <w:sz w:val="28"/>
          <w:szCs w:val="28"/>
        </w:rPr>
        <w:t>2.电话咨询号码：</w:t>
      </w:r>
      <w:r>
        <w:rPr>
          <w:rFonts w:hint="eastAsia" w:ascii="方正仿宋_GBK" w:hAnsi="方正仿宋_GBK" w:eastAsia="方正仿宋_GBK" w:cs="方正仿宋_GBK"/>
          <w:color w:val="auto"/>
          <w:sz w:val="28"/>
          <w:szCs w:val="28"/>
          <w:lang w:val="en-US" w:eastAsia="zh-CN"/>
        </w:rPr>
        <w:t>0771-6111201</w:t>
      </w:r>
    </w:p>
    <w:p>
      <w:pPr>
        <w:spacing w:line="540" w:lineRule="exact"/>
        <w:ind w:firstLine="562" w:firstLineChars="200"/>
        <w:outlineLvl w:val="2"/>
        <w:rPr>
          <w:rFonts w:eastAsia="仿宋GB2312"/>
          <w:b/>
          <w:bCs/>
          <w:color w:val="auto"/>
          <w:sz w:val="28"/>
          <w:szCs w:val="28"/>
        </w:rPr>
      </w:pPr>
      <w:r>
        <w:rPr>
          <w:rFonts w:hint="eastAsia" w:eastAsia="仿宋GB2312"/>
          <w:b/>
          <w:bCs/>
          <w:color w:val="auto"/>
          <w:sz w:val="28"/>
          <w:szCs w:val="28"/>
        </w:rPr>
        <w:t>3.咨询网址：</w:t>
      </w:r>
      <w:r>
        <w:rPr>
          <w:rFonts w:hint="eastAsia" w:ascii="方正仿宋_GBK" w:hAnsi="方正仿宋_GBK" w:eastAsia="方正仿宋_GBK" w:cs="方正仿宋_GBK"/>
          <w:color w:val="auto"/>
          <w:sz w:val="28"/>
          <w:szCs w:val="28"/>
          <w:lang w:eastAsia="zh-CN"/>
        </w:rPr>
        <w:t>国家外汇管理局广西壮族自治区分局官方网站（www.safe.gov.cn</w:t>
      </w:r>
      <w:r>
        <w:rPr>
          <w:rFonts w:hint="eastAsia" w:ascii="方正仿宋_GBK" w:hAnsi="方正仿宋_GBK" w:eastAsia="方正仿宋_GBK" w:cs="方正仿宋_GBK"/>
          <w:color w:val="auto"/>
          <w:sz w:val="28"/>
          <w:szCs w:val="28"/>
          <w:lang w:val="en-US" w:eastAsia="zh-CN"/>
        </w:rPr>
        <w:t>/guangxi/）</w:t>
      </w:r>
      <w:r>
        <w:rPr>
          <w:rFonts w:hint="eastAsia" w:ascii="方正仿宋_GBK" w:hAnsi="方正仿宋_GBK" w:eastAsia="方正仿宋_GBK" w:cs="方正仿宋_GBK"/>
          <w:color w:val="auto"/>
          <w:sz w:val="28"/>
          <w:szCs w:val="28"/>
          <w:lang w:eastAsia="zh-CN"/>
        </w:rPr>
        <w:t>咨询反馈栏目</w:t>
      </w:r>
    </w:p>
    <w:p>
      <w:pPr>
        <w:rPr>
          <w:rFonts w:eastAsia="仿宋GB2312"/>
          <w:b/>
          <w:bCs/>
          <w:color w:val="auto"/>
          <w:sz w:val="28"/>
          <w:szCs w:val="28"/>
        </w:rPr>
      </w:pPr>
      <w:r>
        <w:rPr>
          <w:rFonts w:hint="eastAsia" w:eastAsia="黑体"/>
          <w:color w:val="auto"/>
          <w:sz w:val="28"/>
          <w:szCs w:val="28"/>
        </w:rPr>
        <w:t>十七、监督投诉渠道</w:t>
      </w:r>
    </w:p>
    <w:p>
      <w:pPr>
        <w:spacing w:line="540" w:lineRule="exact"/>
        <w:ind w:firstLine="562" w:firstLineChars="200"/>
        <w:outlineLvl w:val="2"/>
        <w:rPr>
          <w:rFonts w:hint="eastAsia" w:ascii="方正仿宋_GBK" w:hAnsi="方正仿宋_GBK" w:eastAsia="方正仿宋_GBK" w:cs="方正仿宋_GBK"/>
          <w:color w:val="auto"/>
          <w:sz w:val="28"/>
          <w:szCs w:val="28"/>
          <w:lang w:val="en-US" w:eastAsia="zh-CN"/>
        </w:rPr>
      </w:pPr>
      <w:r>
        <w:rPr>
          <w:rFonts w:hint="eastAsia" w:eastAsia="仿宋GB2312"/>
          <w:b/>
          <w:bCs/>
          <w:color w:val="auto"/>
          <w:sz w:val="28"/>
          <w:szCs w:val="28"/>
        </w:rPr>
        <w:t>1.电话监督投诉：</w:t>
      </w:r>
      <w:r>
        <w:rPr>
          <w:rFonts w:hint="eastAsia" w:ascii="方正仿宋_GBK" w:hAnsi="方正仿宋_GBK" w:eastAsia="方正仿宋_GBK" w:cs="方正仿宋_GBK"/>
          <w:color w:val="auto"/>
          <w:sz w:val="28"/>
          <w:szCs w:val="28"/>
          <w:lang w:val="en-US" w:eastAsia="zh-CN"/>
        </w:rPr>
        <w:t>0771-6111357</w:t>
      </w:r>
    </w:p>
    <w:p>
      <w:pPr>
        <w:spacing w:line="540" w:lineRule="exact"/>
        <w:ind w:firstLine="562" w:firstLineChars="200"/>
        <w:outlineLvl w:val="2"/>
        <w:rPr>
          <w:rFonts w:hint="eastAsia" w:ascii="方正仿宋_GBK" w:hAnsi="方正仿宋_GBK" w:eastAsia="方正仿宋_GBK" w:cs="方正仿宋_GBK"/>
          <w:color w:val="auto"/>
          <w:sz w:val="28"/>
          <w:szCs w:val="28"/>
        </w:rPr>
      </w:pPr>
      <w:r>
        <w:rPr>
          <w:rFonts w:hint="eastAsia" w:eastAsia="仿宋GB2312"/>
          <w:b/>
          <w:bCs/>
          <w:color w:val="auto"/>
          <w:sz w:val="28"/>
          <w:szCs w:val="28"/>
          <w:lang w:val="en-US" w:eastAsia="zh-CN"/>
        </w:rPr>
        <w:t>2</w:t>
      </w:r>
      <w:r>
        <w:rPr>
          <w:rFonts w:hint="eastAsia" w:eastAsia="仿宋GB2312"/>
          <w:b/>
          <w:bCs/>
          <w:color w:val="auto"/>
          <w:sz w:val="28"/>
          <w:szCs w:val="28"/>
        </w:rPr>
        <w:t>.网络监督投诉网址：</w:t>
      </w:r>
      <w:r>
        <w:rPr>
          <w:rFonts w:hint="eastAsia" w:ascii="方正仿宋_GBK" w:hAnsi="方正仿宋_GBK" w:eastAsia="方正仿宋_GBK" w:cs="方正仿宋_GBK"/>
          <w:color w:val="auto"/>
          <w:sz w:val="28"/>
          <w:szCs w:val="28"/>
          <w:lang w:eastAsia="zh-CN"/>
        </w:rPr>
        <w:t>国家外汇管理局广西壮族自治区分局官方网站（www.safe.gov.cn</w:t>
      </w:r>
      <w:r>
        <w:rPr>
          <w:rFonts w:hint="eastAsia" w:ascii="方正仿宋_GBK" w:hAnsi="方正仿宋_GBK" w:eastAsia="方正仿宋_GBK" w:cs="方正仿宋_GBK"/>
          <w:color w:val="auto"/>
          <w:sz w:val="28"/>
          <w:szCs w:val="28"/>
          <w:lang w:val="en-US" w:eastAsia="zh-CN"/>
        </w:rPr>
        <w:t>/guangxi/）</w:t>
      </w:r>
      <w:r>
        <w:rPr>
          <w:rFonts w:hint="eastAsia" w:ascii="方正仿宋_GBK" w:hAnsi="方正仿宋_GBK" w:eastAsia="方正仿宋_GBK" w:cs="方正仿宋_GBK"/>
          <w:color w:val="auto"/>
          <w:sz w:val="28"/>
          <w:szCs w:val="28"/>
          <w:lang w:eastAsia="zh-CN"/>
        </w:rPr>
        <w:t>咨询反馈栏目</w:t>
      </w:r>
    </w:p>
    <w:p>
      <w:p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十</w:t>
      </w:r>
      <w:r>
        <w:rPr>
          <w:rFonts w:hint="eastAsia" w:ascii="Times New Roman" w:hAnsi="Times New Roman" w:eastAsia="黑体"/>
          <w:color w:val="auto"/>
          <w:sz w:val="28"/>
          <w:szCs w:val="28"/>
          <w:lang w:eastAsia="zh-CN"/>
        </w:rPr>
        <w:t>八</w:t>
      </w:r>
      <w:r>
        <w:rPr>
          <w:rFonts w:hint="eastAsia" w:ascii="Times New Roman" w:hAnsi="Times New Roman" w:eastAsia="黑体"/>
          <w:color w:val="auto"/>
          <w:sz w:val="28"/>
          <w:szCs w:val="28"/>
        </w:rPr>
        <w:t>、备注</w:t>
      </w:r>
    </w:p>
    <w:p>
      <w:pPr>
        <w:spacing w:line="600" w:lineRule="exact"/>
        <w:ind w:firstLine="560" w:firstLineChars="200"/>
        <w:rPr>
          <w:rFonts w:ascii="方正仿宋_GBK" w:hAnsi="方正仿宋_GBK" w:eastAsia="方正仿宋_GBK" w:cs="方正仿宋_GBK"/>
          <w:color w:val="auto"/>
          <w:sz w:val="28"/>
          <w:szCs w:val="28"/>
        </w:rPr>
      </w:pPr>
    </w:p>
    <w:p>
      <w:pPr>
        <w:spacing w:line="540" w:lineRule="exact"/>
        <w:outlineLvl w:val="1"/>
        <w:rPr>
          <w:rFonts w:ascii="Times New Roman" w:hAnsi="Times New Roman" w:eastAsia="黑体"/>
          <w:color w:val="auto"/>
          <w:sz w:val="28"/>
          <w:szCs w:val="28"/>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r>
        <w:rPr>
          <w:color w:val="auto"/>
        </w:rPr>
        <w:br w:type="page"/>
      </w:r>
    </w:p>
    <w:p>
      <w:pPr>
        <w:jc w:val="center"/>
        <w:rPr>
          <w:rFonts w:ascii="方正小标宋_GBK" w:hAnsi="方正小标宋_GBK" w:eastAsia="方正小标宋_GBK" w:cs="方正小标宋_GBK"/>
          <w:color w:val="auto"/>
          <w:sz w:val="40"/>
          <w:szCs w:val="40"/>
        </w:rPr>
      </w:pPr>
      <w:r>
        <w:rPr>
          <w:rFonts w:hint="eastAsia" w:ascii="方正小标宋_GBK" w:hAnsi="方正小标宋_GBK" w:eastAsia="方正小标宋_GBK" w:cs="方正小标宋_GBK"/>
          <w:color w:val="auto"/>
          <w:sz w:val="40"/>
          <w:szCs w:val="40"/>
        </w:rPr>
        <w:t>省级分局和计划单列市分局办理的货物贸易外汇存放境外外汇账户变更</w:t>
      </w:r>
    </w:p>
    <w:p>
      <w:pPr>
        <w:jc w:val="center"/>
        <w:rPr>
          <w:rFonts w:ascii="方正小标宋_GBK" w:hAnsi="方正小标宋_GBK" w:eastAsia="方正小标宋_GBK" w:cs="方正小标宋_GBK"/>
          <w:color w:val="auto"/>
          <w:sz w:val="40"/>
          <w:szCs w:val="40"/>
        </w:rPr>
      </w:pPr>
      <w:r>
        <w:rPr>
          <w:rFonts w:hint="eastAsia" w:ascii="方正小标宋_GBK" w:hAnsi="方正小标宋_GBK" w:eastAsia="方正小标宋_GBK" w:cs="方正小标宋_GBK"/>
          <w:color w:val="auto"/>
          <w:sz w:val="40"/>
          <w:szCs w:val="40"/>
        </w:rPr>
        <w:t>【00017110300102】</w:t>
      </w:r>
    </w:p>
    <w:p>
      <w:pPr>
        <w:numPr>
          <w:ilvl w:val="0"/>
          <w:numId w:val="2"/>
        </w:num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基本要素</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1.</w:t>
      </w:r>
      <w:r>
        <w:rPr>
          <w:rFonts w:ascii="Times New Roman" w:hAnsi="Times New Roman" w:eastAsia="仿宋GB2312"/>
          <w:b/>
          <w:bCs/>
          <w:color w:val="auto"/>
          <w:sz w:val="28"/>
          <w:szCs w:val="28"/>
        </w:rPr>
        <w:t>行政许可事项名称</w:t>
      </w:r>
      <w:r>
        <w:rPr>
          <w:rFonts w:hint="eastAsia" w:ascii="Times New Roman" w:hAnsi="Times New Roman" w:eastAsia="仿宋GB2312"/>
          <w:b/>
          <w:bCs/>
          <w:color w:val="auto"/>
          <w:sz w:val="28"/>
          <w:szCs w:val="28"/>
        </w:rPr>
        <w:t>及编码</w:t>
      </w:r>
    </w:p>
    <w:p>
      <w:pPr>
        <w:spacing w:line="360" w:lineRule="auto"/>
        <w:ind w:firstLine="560" w:firstLineChars="200"/>
        <w:rPr>
          <w:rFonts w:ascii="仿宋" w:hAnsi="仿宋" w:eastAsia="仿宋" w:cs="仿宋"/>
          <w:color w:val="auto"/>
          <w:sz w:val="28"/>
          <w:szCs w:val="28"/>
        </w:rPr>
      </w:pPr>
      <w:r>
        <w:rPr>
          <w:rFonts w:hint="eastAsia" w:ascii="方正仿宋_GBK" w:hAnsi="方正仿宋_GBK" w:eastAsia="方正仿宋_GBK" w:cs="方正仿宋_GBK"/>
          <w:color w:val="auto"/>
          <w:sz w:val="28"/>
          <w:szCs w:val="28"/>
        </w:rPr>
        <w:t>经常项目外汇存放境外核准【00017110300Y】</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2.</w:t>
      </w:r>
      <w:r>
        <w:rPr>
          <w:rFonts w:ascii="Times New Roman" w:hAnsi="Times New Roman" w:eastAsia="仿宋GB2312"/>
          <w:b/>
          <w:bCs/>
          <w:color w:val="auto"/>
          <w:sz w:val="28"/>
          <w:szCs w:val="28"/>
        </w:rPr>
        <w:t>行政许可</w:t>
      </w:r>
      <w:r>
        <w:rPr>
          <w:rFonts w:hint="eastAsia" w:ascii="Times New Roman" w:hAnsi="Times New Roman" w:eastAsia="仿宋GB2312"/>
          <w:b/>
          <w:bCs/>
          <w:color w:val="auto"/>
          <w:sz w:val="28"/>
          <w:szCs w:val="28"/>
        </w:rPr>
        <w:t>事项子项名称及编码</w:t>
      </w:r>
    </w:p>
    <w:p>
      <w:pPr>
        <w:spacing w:line="360" w:lineRule="auto"/>
        <w:ind w:firstLine="560" w:firstLineChars="200"/>
        <w:rPr>
          <w:rFonts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省级分局和计划单列市分局办理的货物贸易外汇存放境外核准【000171103001】</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3.行政许可事项业务办理项名称及编码</w:t>
      </w:r>
    </w:p>
    <w:p>
      <w:pPr>
        <w:spacing w:line="360" w:lineRule="auto"/>
        <w:ind w:firstLine="560" w:firstLineChars="200"/>
        <w:rPr>
          <w:rFonts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省级分局和计划单列市分局办理的货物贸易外汇存放境外外汇账户变更(00017110300102)</w:t>
      </w:r>
    </w:p>
    <w:p>
      <w:pPr>
        <w:spacing w:line="360" w:lineRule="auto"/>
        <w:ind w:firstLine="562" w:firstLineChars="200"/>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4.设定依据</w:t>
      </w:r>
    </w:p>
    <w:p>
      <w:pPr>
        <w:spacing w:line="540" w:lineRule="exact"/>
        <w:ind w:firstLine="560" w:firstLineChars="200"/>
        <w:outlineLvl w:val="2"/>
        <w:rPr>
          <w:rFonts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（1）《中华人民共和国外汇管理条例》第九条</w:t>
      </w:r>
    </w:p>
    <w:p>
      <w:pPr>
        <w:spacing w:line="540" w:lineRule="exact"/>
        <w:ind w:firstLine="560" w:firstLineChars="200"/>
        <w:outlineLvl w:val="2"/>
        <w:rPr>
          <w:rFonts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（2）《国务院对确需保留的行政审批项目设定行政许可的决定》</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5.实施依据</w:t>
      </w:r>
    </w:p>
    <w:p>
      <w:pPr>
        <w:spacing w:line="540" w:lineRule="exact"/>
        <w:ind w:firstLine="560" w:firstLineChars="200"/>
        <w:outlineLvl w:val="2"/>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（1）《经常项目外汇业务指引（2020年版）》（汇发〔2020〕14号文印发）第一百六十一条</w:t>
      </w:r>
    </w:p>
    <w:p>
      <w:pPr>
        <w:spacing w:line="540" w:lineRule="exact"/>
        <w:ind w:firstLine="560" w:firstLineChars="200"/>
        <w:outlineLvl w:val="2"/>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（2）《国家外汇管理局行政许可实施办法》（国家外汇管理局公告2021年第1号）</w:t>
      </w:r>
    </w:p>
    <w:p>
      <w:pPr>
        <w:spacing w:line="540" w:lineRule="exact"/>
        <w:ind w:firstLine="560" w:firstLineChars="200"/>
        <w:outlineLvl w:val="2"/>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（3）《经常项目外汇业务指引（2020年版）》（汇发〔2020〕14号文印发）第一百六十二条</w:t>
      </w:r>
    </w:p>
    <w:p>
      <w:pPr>
        <w:spacing w:line="540" w:lineRule="exact"/>
        <w:ind w:firstLine="560" w:firstLineChars="200"/>
        <w:outlineLvl w:val="2"/>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（4）《经常项目外汇业务指引（2020年版）》（汇发〔2020〕14号文印发）第一百六十三条</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6.监管依据</w:t>
      </w:r>
    </w:p>
    <w:p>
      <w:pPr>
        <w:spacing w:line="540" w:lineRule="exact"/>
        <w:ind w:firstLine="560" w:firstLineChars="200"/>
        <w:outlineLvl w:val="2"/>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（1）《中华人民共和国外汇管理条例》</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7.</w:t>
      </w:r>
      <w:r>
        <w:rPr>
          <w:rFonts w:ascii="Times New Roman" w:hAnsi="Times New Roman" w:eastAsia="仿宋GB2312"/>
          <w:b/>
          <w:bCs/>
          <w:color w:val="auto"/>
          <w:sz w:val="28"/>
          <w:szCs w:val="28"/>
        </w:rPr>
        <w:t>实施机关</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国家外汇局省级分局和计划单列市分局</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8.</w:t>
      </w:r>
      <w:r>
        <w:rPr>
          <w:rFonts w:ascii="Times New Roman" w:hAnsi="Times New Roman" w:eastAsia="仿宋GB2312"/>
          <w:b/>
          <w:bCs/>
          <w:color w:val="auto"/>
          <w:sz w:val="28"/>
          <w:szCs w:val="28"/>
        </w:rPr>
        <w:t>审批层级</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国家级</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9.行使</w:t>
      </w:r>
      <w:r>
        <w:rPr>
          <w:rFonts w:ascii="Times New Roman" w:hAnsi="Times New Roman" w:eastAsia="仿宋GB2312"/>
          <w:b/>
          <w:bCs/>
          <w:color w:val="auto"/>
          <w:sz w:val="28"/>
          <w:szCs w:val="28"/>
        </w:rPr>
        <w:t>层级</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省级/直属</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10.</w:t>
      </w:r>
      <w:r>
        <w:rPr>
          <w:rFonts w:ascii="Times New Roman" w:hAnsi="Times New Roman" w:eastAsia="仿宋GB2312"/>
          <w:b/>
          <w:bCs/>
          <w:color w:val="auto"/>
          <w:sz w:val="28"/>
          <w:szCs w:val="28"/>
        </w:rPr>
        <w:t>是否由审批机关受理</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是</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11.</w:t>
      </w:r>
      <w:r>
        <w:rPr>
          <w:rFonts w:ascii="Times New Roman" w:hAnsi="Times New Roman" w:eastAsia="仿宋GB2312"/>
          <w:b/>
          <w:bCs/>
          <w:color w:val="auto"/>
          <w:sz w:val="28"/>
          <w:szCs w:val="28"/>
        </w:rPr>
        <w:t>受理层级</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省级</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12.</w:t>
      </w:r>
      <w:r>
        <w:rPr>
          <w:rFonts w:ascii="Times New Roman" w:hAnsi="Times New Roman" w:eastAsia="仿宋GB2312"/>
          <w:b/>
          <w:bCs/>
          <w:color w:val="auto"/>
          <w:sz w:val="28"/>
          <w:szCs w:val="28"/>
        </w:rPr>
        <w:t>是否存在初审环节</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否</w:t>
      </w:r>
    </w:p>
    <w:p>
      <w:pPr>
        <w:spacing w:line="600" w:lineRule="exact"/>
        <w:ind w:firstLine="562" w:firstLineChars="200"/>
        <w:rPr>
          <w:rFonts w:ascii="Times New Roman" w:hAnsi="Times New Roman" w:eastAsia="仿宋GB2312"/>
          <w:color w:val="auto"/>
          <w:sz w:val="28"/>
          <w:szCs w:val="28"/>
          <w:highlight w:val="yellow"/>
        </w:rPr>
      </w:pPr>
      <w:r>
        <w:rPr>
          <w:rFonts w:hint="eastAsia" w:ascii="Times New Roman" w:hAnsi="Times New Roman" w:eastAsia="仿宋GB2312"/>
          <w:b/>
          <w:bCs/>
          <w:color w:val="auto"/>
          <w:sz w:val="28"/>
          <w:szCs w:val="28"/>
        </w:rPr>
        <w:t>13.</w:t>
      </w:r>
      <w:r>
        <w:rPr>
          <w:rFonts w:ascii="Times New Roman" w:hAnsi="Times New Roman" w:eastAsia="仿宋GB2312"/>
          <w:b/>
          <w:bCs/>
          <w:color w:val="auto"/>
          <w:sz w:val="28"/>
          <w:szCs w:val="28"/>
        </w:rPr>
        <w:t>初审层级</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无</w:t>
      </w:r>
    </w:p>
    <w:p>
      <w:pPr>
        <w:spacing w:line="600" w:lineRule="exact"/>
        <w:ind w:firstLine="562" w:firstLineChars="200"/>
        <w:jc w:val="left"/>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14.</w:t>
      </w:r>
      <w:r>
        <w:rPr>
          <w:rFonts w:ascii="Times New Roman" w:hAnsi="Times New Roman" w:eastAsia="仿宋GB2312"/>
          <w:b/>
          <w:bCs/>
          <w:color w:val="auto"/>
          <w:sz w:val="28"/>
          <w:szCs w:val="28"/>
        </w:rPr>
        <w:t>对应政务服务事项国家级基本目录名称</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货物贸易外汇收入存放境外外汇账户审批</w:t>
      </w:r>
    </w:p>
    <w:p>
      <w:pPr>
        <w:numPr>
          <w:ilvl w:val="0"/>
          <w:numId w:val="2"/>
        </w:num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行政许可事项类型</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条件型</w:t>
      </w:r>
    </w:p>
    <w:p>
      <w:pPr>
        <w:numPr>
          <w:ilvl w:val="0"/>
          <w:numId w:val="2"/>
        </w:num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行政许可条件</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1.准予行政许可的条件</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企业提高存放境外规模、境内企业集团调整参与成员公司的。</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2.</w:t>
      </w:r>
      <w:r>
        <w:rPr>
          <w:rFonts w:ascii="Times New Roman" w:hAnsi="Times New Roman" w:eastAsia="仿宋GB2312"/>
          <w:b/>
          <w:bCs/>
          <w:color w:val="auto"/>
          <w:sz w:val="28"/>
          <w:szCs w:val="28"/>
        </w:rPr>
        <w:t>规定行政许可条件的依据</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（1）《经常项目外汇业务指引（2020年版）》（汇发〔2020〕14号文印发）第一百六十三条……企业提高存放境外规模、境内企业集团调整参与成员公司的，应持书面申请向所在地外汇局申请变更登记……。</w:t>
      </w:r>
    </w:p>
    <w:p>
      <w:pPr>
        <w:numPr>
          <w:ilvl w:val="0"/>
          <w:numId w:val="2"/>
        </w:numPr>
        <w:spacing w:line="540" w:lineRule="exact"/>
        <w:outlineLvl w:val="1"/>
        <w:rPr>
          <w:rFonts w:ascii="Times New Roman" w:hAnsi="Times New Roman" w:eastAsia="黑体"/>
          <w:color w:val="auto"/>
          <w:sz w:val="28"/>
          <w:szCs w:val="28"/>
        </w:rPr>
      </w:pPr>
      <w:r>
        <w:rPr>
          <w:rFonts w:ascii="Times New Roman" w:hAnsi="Times New Roman" w:eastAsia="黑体"/>
          <w:color w:val="auto"/>
          <w:sz w:val="28"/>
          <w:szCs w:val="28"/>
        </w:rPr>
        <w:t>行政许可服务对象类型</w:t>
      </w:r>
      <w:r>
        <w:rPr>
          <w:rFonts w:hint="eastAsia" w:ascii="Times New Roman" w:hAnsi="Times New Roman" w:eastAsia="黑体"/>
          <w:color w:val="auto"/>
          <w:sz w:val="28"/>
          <w:szCs w:val="28"/>
        </w:rPr>
        <w:t>与改革举措</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1.服务对象类型：</w:t>
      </w:r>
      <w:r>
        <w:rPr>
          <w:rFonts w:ascii="方正仿宋_GBK" w:hAnsi="方正仿宋_GBK" w:eastAsia="方正仿宋_GBK" w:cs="方正仿宋_GBK"/>
          <w:color w:val="auto"/>
          <w:sz w:val="28"/>
          <w:szCs w:val="28"/>
        </w:rPr>
        <w:t>企业法人,事业单位法人,社会组织法人,非法人企业,行政机关,其他组织</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2.是否为涉企许可事项：</w:t>
      </w:r>
      <w:r>
        <w:rPr>
          <w:rFonts w:ascii="方正仿宋_GBK" w:hAnsi="方正仿宋_GBK" w:eastAsia="方正仿宋_GBK" w:cs="方正仿宋_GBK"/>
          <w:color w:val="auto"/>
          <w:sz w:val="28"/>
          <w:szCs w:val="28"/>
        </w:rPr>
        <w:t>否</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3.涉企经营许可事项名称：</w:t>
      </w:r>
      <w:r>
        <w:rPr>
          <w:rFonts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4.许可证件名称：</w:t>
      </w:r>
      <w:r>
        <w:rPr>
          <w:rFonts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5.改革方式：</w:t>
      </w:r>
      <w:r>
        <w:rPr>
          <w:rFonts w:ascii="方正仿宋_GBK" w:hAnsi="方正仿宋_GBK" w:eastAsia="方正仿宋_GBK" w:cs="方正仿宋_GBK"/>
          <w:color w:val="auto"/>
          <w:sz w:val="28"/>
          <w:szCs w:val="28"/>
        </w:rPr>
        <w:t>无</w:t>
      </w:r>
    </w:p>
    <w:p>
      <w:pPr>
        <w:spacing w:line="540" w:lineRule="exact"/>
        <w:ind w:firstLine="562" w:firstLineChars="200"/>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 xml:space="preserve">6.具体改革举措: </w:t>
      </w:r>
      <w:r>
        <w:rPr>
          <w:rFonts w:ascii="方正仿宋_GBK" w:hAnsi="方正仿宋_GBK" w:eastAsia="方正仿宋_GBK" w:cs="方正仿宋_GBK"/>
          <w:color w:val="auto"/>
          <w:sz w:val="28"/>
          <w:szCs w:val="28"/>
        </w:rPr>
        <w:t>无</w:t>
      </w:r>
    </w:p>
    <w:p>
      <w:pPr>
        <w:spacing w:line="540" w:lineRule="exact"/>
        <w:ind w:firstLine="562" w:firstLineChars="200"/>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7.加强事中事后监管措施</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（1）开展“双随机、一公开”监管，依法查处违规行为，适时公开相关案例。（2）依法及时处理投诉举报。（3）开展数据统计与监测，掌握外汇业务情况。</w:t>
      </w:r>
    </w:p>
    <w:p>
      <w:pPr>
        <w:numPr>
          <w:ilvl w:val="0"/>
          <w:numId w:val="2"/>
        </w:num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申请材料</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1.申请材料名称</w:t>
      </w:r>
    </w:p>
    <w:p>
      <w:pPr>
        <w:spacing w:line="600" w:lineRule="exact"/>
        <w:ind w:firstLine="560" w:firstLineChars="200"/>
        <w:rPr>
          <w:rFonts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书面申请原件1份。</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2.</w:t>
      </w:r>
      <w:r>
        <w:rPr>
          <w:rFonts w:ascii="Times New Roman" w:hAnsi="Times New Roman" w:eastAsia="仿宋GB2312"/>
          <w:b/>
          <w:bCs/>
          <w:color w:val="auto"/>
          <w:sz w:val="28"/>
          <w:szCs w:val="28"/>
        </w:rPr>
        <w:t>规定申请材料的依据</w:t>
      </w:r>
    </w:p>
    <w:p>
      <w:pPr>
        <w:spacing w:line="600" w:lineRule="exact"/>
        <w:ind w:firstLine="560" w:firstLineChars="200"/>
        <w:rPr>
          <w:rFonts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（1）《经常项目外汇业务指引（2020年版）》（汇发〔2020〕14号文印发）第一百六十三条……企业提高存放境外规模、境内企业集团调整参与成员公司的，应持书面申请书向所在地外汇局申请变更登记。</w:t>
      </w:r>
    </w:p>
    <w:p>
      <w:pPr>
        <w:numPr>
          <w:ilvl w:val="0"/>
          <w:numId w:val="2"/>
        </w:num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中介服务</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1.有无法定中介服务事项：</w:t>
      </w:r>
      <w:r>
        <w:rPr>
          <w:rFonts w:ascii="方正仿宋_GBK" w:hAnsi="方正仿宋_GBK" w:eastAsia="方正仿宋_GBK" w:cs="方正仿宋_GBK"/>
          <w:color w:val="auto"/>
          <w:sz w:val="28"/>
          <w:szCs w:val="28"/>
        </w:rPr>
        <w:t>无</w:t>
      </w:r>
    </w:p>
    <w:p>
      <w:pPr>
        <w:spacing w:line="600" w:lineRule="exact"/>
        <w:ind w:firstLine="562" w:firstLineChars="200"/>
        <w:rPr>
          <w:rFonts w:ascii="方正仿宋_GBK" w:hAnsi="方正仿宋_GBK" w:eastAsia="方正仿宋_GBK" w:cs="方正仿宋_GBK"/>
          <w:color w:val="auto"/>
          <w:sz w:val="28"/>
          <w:szCs w:val="28"/>
        </w:rPr>
      </w:pPr>
      <w:r>
        <w:rPr>
          <w:rFonts w:hint="eastAsia" w:ascii="Times New Roman" w:hAnsi="Times New Roman" w:eastAsia="仿宋GB2312"/>
          <w:b/>
          <w:bCs/>
          <w:color w:val="auto"/>
          <w:sz w:val="28"/>
          <w:szCs w:val="28"/>
        </w:rPr>
        <w:t>2.</w:t>
      </w:r>
      <w:r>
        <w:rPr>
          <w:rFonts w:ascii="Times New Roman" w:hAnsi="Times New Roman" w:eastAsia="仿宋GB2312"/>
          <w:b/>
          <w:bCs/>
          <w:color w:val="auto"/>
          <w:sz w:val="28"/>
          <w:szCs w:val="28"/>
        </w:rPr>
        <w:t>中介服务事项名称</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3.</w:t>
      </w:r>
      <w:r>
        <w:rPr>
          <w:rFonts w:ascii="Times New Roman" w:hAnsi="Times New Roman" w:eastAsia="仿宋GB2312"/>
          <w:b/>
          <w:bCs/>
          <w:color w:val="auto"/>
          <w:sz w:val="28"/>
          <w:szCs w:val="28"/>
        </w:rPr>
        <w:t>设定中介服务事项的依据</w:t>
      </w:r>
      <w:r>
        <w:rPr>
          <w:rFonts w:hint="eastAsia" w:ascii="Times New Roman" w:hAnsi="Times New Roman" w:eastAsia="仿宋GB2312"/>
          <w:b/>
          <w:bCs/>
          <w:color w:val="auto"/>
          <w:sz w:val="28"/>
          <w:szCs w:val="28"/>
        </w:rPr>
        <w:t xml:space="preserve">: </w:t>
      </w:r>
      <w:r>
        <w:rPr>
          <w:rFonts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4.</w:t>
      </w:r>
      <w:r>
        <w:rPr>
          <w:rFonts w:ascii="Times New Roman" w:hAnsi="Times New Roman" w:eastAsia="仿宋GB2312"/>
          <w:b/>
          <w:bCs/>
          <w:color w:val="auto"/>
          <w:sz w:val="28"/>
          <w:szCs w:val="28"/>
        </w:rPr>
        <w:t>提供中介服务的机构</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5.</w:t>
      </w:r>
      <w:r>
        <w:rPr>
          <w:rFonts w:ascii="Times New Roman" w:hAnsi="Times New Roman" w:eastAsia="仿宋GB2312"/>
          <w:b/>
          <w:bCs/>
          <w:color w:val="auto"/>
          <w:sz w:val="28"/>
          <w:szCs w:val="28"/>
        </w:rPr>
        <w:t>中介服务事项的收费性质</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无</w:t>
      </w:r>
    </w:p>
    <w:p>
      <w:pPr>
        <w:numPr>
          <w:ilvl w:val="0"/>
          <w:numId w:val="2"/>
        </w:num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审批程序</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1.办理行政许可的程序环节</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申请人申请；</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审批机构受理/不予受理；</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审批机构审查；</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决定作出许可决定书/不予许可决定书。</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2.规定行政许可程序的依据</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《国家外汇管理局行政许可实施办法》（国家外汇管理局公告2021年第1号）第十条外汇局收到行政许可申请后，应区分下列情况分别作出处理：</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（一）申请事项属于本局职责范围，但依法不需要取得行政许可的，应即时告知申请人不受理，出具不予受理行政许可通知书；</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（二）申请事项不属于本局职责范围，应即时作出不予受理的决定，出具不予受理行政许可通知书，并告知申请人向有关行政机关申请；</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申请材料存在文字笔误等可当场更正的错误的，应允许申请人当场更正，并告知其在修改处签字或盖章确认；</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《国家外汇管理局行政许可实施办法》（国家外汇管理局公告2021年第1号）第十四条外汇局对行政许可申请审查后，应区分下列情况分别作出处理：</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（二）申请不符合法定条件、拟不予行政许可的，应出具不予行政许可决定书，并说明不予行政许可的理由，告知申请人享有依法申请行政复议的权利。</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3.</w:t>
      </w:r>
      <w:r>
        <w:rPr>
          <w:rFonts w:ascii="Times New Roman" w:hAnsi="Times New Roman" w:eastAsia="仿宋GB2312"/>
          <w:b/>
          <w:bCs/>
          <w:color w:val="auto"/>
          <w:sz w:val="28"/>
          <w:szCs w:val="28"/>
        </w:rPr>
        <w:t>是否需要现场勘验</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否</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4.</w:t>
      </w:r>
      <w:r>
        <w:rPr>
          <w:rFonts w:ascii="Times New Roman" w:hAnsi="Times New Roman" w:eastAsia="仿宋GB2312"/>
          <w:b/>
          <w:bCs/>
          <w:color w:val="auto"/>
          <w:sz w:val="28"/>
          <w:szCs w:val="28"/>
        </w:rPr>
        <w:t>是否需要组织听证</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否</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5.</w:t>
      </w:r>
      <w:r>
        <w:rPr>
          <w:rFonts w:ascii="Times New Roman" w:hAnsi="Times New Roman" w:eastAsia="仿宋GB2312"/>
          <w:b/>
          <w:bCs/>
          <w:color w:val="auto"/>
          <w:sz w:val="28"/>
          <w:szCs w:val="28"/>
        </w:rPr>
        <w:t>是否需要招标、拍卖、挂牌交易</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否</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6.</w:t>
      </w:r>
      <w:r>
        <w:rPr>
          <w:rFonts w:ascii="Times New Roman" w:hAnsi="Times New Roman" w:eastAsia="仿宋GB2312"/>
          <w:b/>
          <w:bCs/>
          <w:color w:val="auto"/>
          <w:sz w:val="28"/>
          <w:szCs w:val="28"/>
        </w:rPr>
        <w:t>是否需要检验、检测、检疫</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否</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7.</w:t>
      </w:r>
      <w:r>
        <w:rPr>
          <w:rFonts w:ascii="Times New Roman" w:hAnsi="Times New Roman" w:eastAsia="仿宋GB2312"/>
          <w:b/>
          <w:bCs/>
          <w:color w:val="auto"/>
          <w:sz w:val="28"/>
          <w:szCs w:val="28"/>
        </w:rPr>
        <w:t>是否需要鉴定</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否</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8.</w:t>
      </w:r>
      <w:r>
        <w:rPr>
          <w:rFonts w:ascii="Times New Roman" w:hAnsi="Times New Roman" w:eastAsia="仿宋GB2312"/>
          <w:b/>
          <w:bCs/>
          <w:color w:val="auto"/>
          <w:sz w:val="28"/>
          <w:szCs w:val="28"/>
        </w:rPr>
        <w:t>是否需要专家评审</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否</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9.</w:t>
      </w:r>
      <w:r>
        <w:rPr>
          <w:rFonts w:ascii="Times New Roman" w:hAnsi="Times New Roman" w:eastAsia="仿宋GB2312"/>
          <w:b/>
          <w:bCs/>
          <w:color w:val="auto"/>
          <w:sz w:val="28"/>
          <w:szCs w:val="28"/>
        </w:rPr>
        <w:t>是否需要向社会公示</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否</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10.</w:t>
      </w:r>
      <w:r>
        <w:rPr>
          <w:rFonts w:ascii="Times New Roman" w:hAnsi="Times New Roman" w:eastAsia="仿宋GB2312"/>
          <w:b/>
          <w:bCs/>
          <w:color w:val="auto"/>
          <w:sz w:val="28"/>
          <w:szCs w:val="28"/>
        </w:rPr>
        <w:t>是否实行告知承诺办理</w:t>
      </w:r>
      <w:r>
        <w:rPr>
          <w:rFonts w:hint="eastAsia" w:ascii="Times New Roman" w:hAnsi="Times New Roman" w:eastAsia="仿宋GB2312"/>
          <w:b/>
          <w:bCs/>
          <w:color w:val="auto"/>
          <w:sz w:val="28"/>
          <w:szCs w:val="28"/>
        </w:rPr>
        <w:t>：</w:t>
      </w:r>
      <w:r>
        <w:rPr>
          <w:rFonts w:ascii="方正仿宋_GBK" w:hAnsi="方正仿宋_GBK" w:eastAsia="方正仿宋_GBK" w:cs="方正仿宋_GBK"/>
          <w:color w:val="auto"/>
          <w:sz w:val="28"/>
          <w:szCs w:val="28"/>
        </w:rPr>
        <w:t>否</w:t>
      </w:r>
    </w:p>
    <w:p>
      <w:pPr>
        <w:spacing w:line="600" w:lineRule="exact"/>
        <w:ind w:firstLine="562" w:firstLineChars="200"/>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11.审批机关是否委托服务机构开展技术性服务：</w:t>
      </w:r>
      <w:r>
        <w:rPr>
          <w:rFonts w:hint="eastAsia" w:ascii="方正仿宋_GBK" w:hAnsi="方正仿宋_GBK" w:eastAsia="方正仿宋_GBK" w:cs="方正仿宋_GBK"/>
          <w:color w:val="auto"/>
          <w:sz w:val="28"/>
          <w:szCs w:val="28"/>
        </w:rPr>
        <w:t>否</w:t>
      </w:r>
    </w:p>
    <w:p>
      <w:pPr>
        <w:numPr>
          <w:ilvl w:val="0"/>
          <w:numId w:val="2"/>
        </w:num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受理和审批时限</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1.承诺受理时限：</w:t>
      </w:r>
      <w:r>
        <w:rPr>
          <w:rFonts w:ascii="方正仿宋_GBK" w:hAnsi="方正仿宋_GBK" w:eastAsia="方正仿宋_GBK" w:cs="方正仿宋_GBK"/>
          <w:color w:val="auto"/>
          <w:sz w:val="28"/>
          <w:szCs w:val="28"/>
        </w:rPr>
        <w:t>5个工作日</w:t>
      </w:r>
    </w:p>
    <w:p>
      <w:pPr>
        <w:spacing w:line="540" w:lineRule="exact"/>
        <w:ind w:firstLine="562" w:firstLineChars="200"/>
        <w:outlineLvl w:val="2"/>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2.法定审批时限：</w:t>
      </w:r>
      <w:r>
        <w:rPr>
          <w:rFonts w:hint="eastAsia" w:ascii="方正仿宋_GBK" w:hAnsi="方正仿宋_GBK" w:eastAsia="方正仿宋_GBK" w:cs="方正仿宋_GBK"/>
          <w:color w:val="auto"/>
          <w:sz w:val="28"/>
          <w:szCs w:val="28"/>
        </w:rPr>
        <w:t>20个工作日</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3.规定法定审批时限依据</w:t>
      </w:r>
    </w:p>
    <w:p>
      <w:pPr>
        <w:spacing w:line="600" w:lineRule="exact"/>
        <w:ind w:firstLine="560" w:firstLineChars="200"/>
        <w:rPr>
          <w:rFonts w:ascii="Times New Roman" w:hAnsi="Times New Roman" w:eastAsia="仿宋GB2312"/>
          <w:color w:val="auto"/>
          <w:sz w:val="32"/>
          <w:szCs w:val="32"/>
        </w:rPr>
      </w:pPr>
      <w:r>
        <w:rPr>
          <w:rFonts w:ascii="方正仿宋_GBK" w:hAnsi="方正仿宋_GBK" w:eastAsia="方正仿宋_GBK" w:cs="方正仿宋_GBK"/>
          <w:color w:val="auto"/>
          <w:sz w:val="28"/>
          <w:szCs w:val="28"/>
        </w:rPr>
        <w:t>（1）《国家外汇管理局行政许可实施办法》（国家外汇管理局公告2021年第1号）第十五条外汇局应根据以下要求确保行政许可依法按时完成：</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（一）能当场作出决定的，应当场作出行政许可决定。当场作出行政许可决定的，可不出具行政许可受理通知书；</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ascii="Times New Roman" w:hAnsi="Times New Roman" w:eastAsia="仿宋GB2312"/>
          <w:color w:val="auto"/>
          <w:sz w:val="32"/>
          <w:szCs w:val="32"/>
        </w:rPr>
      </w:pPr>
      <w:r>
        <w:rPr>
          <w:rFonts w:ascii="方正仿宋_GBK" w:hAnsi="方正仿宋_GBK" w:eastAsia="方正仿宋_GBK" w:cs="方正仿宋_GBK"/>
          <w:color w:val="auto"/>
          <w:sz w:val="28"/>
          <w:szCs w:val="28"/>
        </w:rPr>
        <w:t>各级外汇局对行政许可办理时限具有对外承诺的，应按照其承诺的时限完成；对外承诺的时限应短于20个工作日。</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4.承诺审批时限：</w:t>
      </w:r>
      <w:r>
        <w:rPr>
          <w:rFonts w:ascii="方正仿宋_GBK" w:hAnsi="方正仿宋_GBK" w:eastAsia="方正仿宋_GBK" w:cs="方正仿宋_GBK"/>
          <w:color w:val="auto"/>
          <w:sz w:val="28"/>
          <w:szCs w:val="28"/>
        </w:rPr>
        <w:t>20个工作日</w:t>
      </w:r>
    </w:p>
    <w:p>
      <w:pPr>
        <w:numPr>
          <w:ilvl w:val="0"/>
          <w:numId w:val="2"/>
        </w:num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收费</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1.办理行政许可是否收费：</w:t>
      </w:r>
      <w:r>
        <w:rPr>
          <w:rFonts w:hint="eastAsia" w:ascii="方正仿宋_GBK" w:hAnsi="方正仿宋_GBK" w:eastAsia="方正仿宋_GBK" w:cs="方正仿宋_GBK"/>
          <w:color w:val="auto"/>
          <w:sz w:val="28"/>
          <w:szCs w:val="28"/>
        </w:rPr>
        <w:t>否</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 xml:space="preserve">2.收费项目的名称、收费项目的标准、设定收费项目的依据、规定收费标准的依据: </w:t>
      </w:r>
      <w:r>
        <w:rPr>
          <w:rFonts w:hint="eastAsia" w:ascii="方正仿宋_GBK" w:hAnsi="方正仿宋_GBK" w:eastAsia="方正仿宋_GBK" w:cs="方正仿宋_GBK"/>
          <w:color w:val="auto"/>
          <w:sz w:val="28"/>
          <w:szCs w:val="28"/>
        </w:rPr>
        <w:t>无</w:t>
      </w:r>
    </w:p>
    <w:p>
      <w:pPr>
        <w:numPr>
          <w:ilvl w:val="0"/>
          <w:numId w:val="2"/>
        </w:num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行政许可证件</w:t>
      </w:r>
    </w:p>
    <w:p>
      <w:pPr>
        <w:spacing w:line="540" w:lineRule="exact"/>
        <w:ind w:firstLine="562" w:firstLineChars="200"/>
        <w:outlineLvl w:val="2"/>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1.审批结果类型：</w:t>
      </w:r>
      <w:r>
        <w:rPr>
          <w:rFonts w:ascii="方正仿宋_GBK" w:hAnsi="方正仿宋_GBK" w:eastAsia="方正仿宋_GBK" w:cs="方正仿宋_GBK"/>
          <w:color w:val="auto"/>
          <w:sz w:val="28"/>
          <w:szCs w:val="28"/>
        </w:rPr>
        <w:t>批文</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2.审批结果名称：</w:t>
      </w:r>
      <w:r>
        <w:rPr>
          <w:rFonts w:hint="eastAsia" w:ascii="方正仿宋_GBK" w:hAnsi="方正仿宋_GBK" w:eastAsia="方正仿宋_GBK" w:cs="方正仿宋_GBK"/>
          <w:color w:val="auto"/>
          <w:sz w:val="28"/>
          <w:szCs w:val="28"/>
        </w:rPr>
        <w:t>《出口收入存放境外登记表》</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3.审批结果的有效期限：</w:t>
      </w:r>
      <w:r>
        <w:rPr>
          <w:rFonts w:hint="eastAsia" w:ascii="方正仿宋_GBK" w:hAnsi="方正仿宋_GBK" w:eastAsia="方正仿宋_GBK" w:cs="方正仿宋_GBK"/>
          <w:color w:val="auto"/>
          <w:sz w:val="28"/>
          <w:szCs w:val="28"/>
        </w:rPr>
        <w:t>无期限</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 xml:space="preserve">4.规定审批结果有效期限的依据: </w:t>
      </w:r>
      <w:r>
        <w:rPr>
          <w:rFonts w:hint="eastAsia"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5.是否需要办理审批结果变更手续：</w:t>
      </w:r>
      <w:r>
        <w:rPr>
          <w:rFonts w:ascii="方正仿宋_GBK" w:hAnsi="方正仿宋_GBK" w:eastAsia="方正仿宋_GBK" w:cs="方正仿宋_GBK"/>
          <w:color w:val="auto"/>
          <w:sz w:val="28"/>
          <w:szCs w:val="28"/>
        </w:rPr>
        <w:t>否</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 xml:space="preserve">6.办理审批结果变更手续的要求: </w:t>
      </w:r>
      <w:r>
        <w:rPr>
          <w:rFonts w:hint="eastAsia"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7.是否需要办理审批结果延续手续：</w:t>
      </w:r>
      <w:r>
        <w:rPr>
          <w:rFonts w:hint="eastAsia" w:ascii="方正仿宋_GBK" w:hAnsi="方正仿宋_GBK" w:eastAsia="方正仿宋_GBK" w:cs="方正仿宋_GBK"/>
          <w:color w:val="auto"/>
          <w:sz w:val="28"/>
          <w:szCs w:val="28"/>
        </w:rPr>
        <w:t>否</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 xml:space="preserve">8.办理审批结果延续手续的要求: </w:t>
      </w:r>
      <w:r>
        <w:rPr>
          <w:rFonts w:hint="eastAsia" w:ascii="方正仿宋_GBK" w:hAnsi="方正仿宋_GBK" w:eastAsia="方正仿宋_GBK" w:cs="方正仿宋_GBK"/>
          <w:color w:val="auto"/>
          <w:sz w:val="28"/>
          <w:szCs w:val="28"/>
        </w:rPr>
        <w:t>无</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 xml:space="preserve">9.审批结果的有效地域范围: </w:t>
      </w:r>
      <w:r>
        <w:rPr>
          <w:rFonts w:hint="eastAsia" w:ascii="方正仿宋_GBK" w:hAnsi="方正仿宋_GBK" w:eastAsia="方正仿宋_GBK" w:cs="方正仿宋_GBK"/>
          <w:color w:val="auto"/>
          <w:sz w:val="28"/>
          <w:szCs w:val="28"/>
        </w:rPr>
        <w:t>全国</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 xml:space="preserve">10.规定审批结果有效地域范围的依据: </w:t>
      </w:r>
      <w:r>
        <w:rPr>
          <w:rFonts w:hint="eastAsia" w:ascii="方正仿宋_GBK" w:hAnsi="方正仿宋_GBK" w:eastAsia="方正仿宋_GBK" w:cs="方正仿宋_GBK"/>
          <w:color w:val="auto"/>
          <w:sz w:val="28"/>
          <w:szCs w:val="28"/>
        </w:rPr>
        <w:t>无</w:t>
      </w:r>
    </w:p>
    <w:p>
      <w:pPr>
        <w:numPr>
          <w:ilvl w:val="0"/>
          <w:numId w:val="2"/>
        </w:num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行政许可数量限制</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1.有无行政许可数量限制：</w:t>
      </w:r>
      <w:r>
        <w:rPr>
          <w:rFonts w:hint="eastAsia" w:ascii="方正仿宋_GBK" w:hAnsi="方正仿宋_GBK" w:eastAsia="方正仿宋_GBK" w:cs="方正仿宋_GBK"/>
          <w:color w:val="auto"/>
          <w:sz w:val="28"/>
          <w:szCs w:val="28"/>
        </w:rPr>
        <w:t>无</w:t>
      </w:r>
    </w:p>
    <w:p>
      <w:pPr>
        <w:spacing w:line="540" w:lineRule="exact"/>
        <w:ind w:firstLine="562" w:firstLineChars="200"/>
        <w:outlineLvl w:val="2"/>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2.公布数量限制的方式：</w:t>
      </w:r>
      <w:r>
        <w:rPr>
          <w:rFonts w:hint="eastAsia" w:ascii="方正仿宋_GBK" w:hAnsi="方正仿宋_GBK" w:eastAsia="方正仿宋_GBK" w:cs="方正仿宋_GBK"/>
          <w:color w:val="auto"/>
          <w:sz w:val="28"/>
          <w:szCs w:val="28"/>
        </w:rPr>
        <w:t>无</w:t>
      </w:r>
    </w:p>
    <w:p>
      <w:pPr>
        <w:spacing w:line="540" w:lineRule="exact"/>
        <w:ind w:firstLine="562" w:firstLineChars="200"/>
        <w:outlineLvl w:val="2"/>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3.公布数量限制的周期：</w:t>
      </w:r>
      <w:r>
        <w:rPr>
          <w:rFonts w:hint="eastAsia"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4.在数量限制条件下实施行政许可的方式：</w:t>
      </w:r>
      <w:r>
        <w:rPr>
          <w:rFonts w:hint="eastAsia" w:ascii="方正仿宋_GBK" w:hAnsi="方正仿宋_GBK" w:eastAsia="方正仿宋_GBK" w:cs="方正仿宋_GBK"/>
          <w:color w:val="auto"/>
          <w:sz w:val="28"/>
          <w:szCs w:val="28"/>
        </w:rPr>
        <w:t>无</w:t>
      </w:r>
    </w:p>
    <w:p>
      <w:pPr>
        <w:spacing w:line="600" w:lineRule="exact"/>
        <w:ind w:firstLine="562" w:firstLineChars="200"/>
        <w:jc w:val="left"/>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 xml:space="preserve">5.规定在数量限制条件下实施行政许可方式的依据: </w:t>
      </w:r>
      <w:r>
        <w:rPr>
          <w:rFonts w:hint="eastAsia" w:ascii="方正仿宋_GBK" w:hAnsi="方正仿宋_GBK" w:eastAsia="方正仿宋_GBK" w:cs="方正仿宋_GBK"/>
          <w:color w:val="auto"/>
          <w:sz w:val="28"/>
          <w:szCs w:val="28"/>
        </w:rPr>
        <w:t>无</w:t>
      </w:r>
    </w:p>
    <w:p>
      <w:pPr>
        <w:numPr>
          <w:ilvl w:val="0"/>
          <w:numId w:val="2"/>
        </w:num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行政许可后年检</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1.有无年检要求：</w:t>
      </w:r>
      <w:r>
        <w:rPr>
          <w:rFonts w:hint="eastAsia" w:ascii="方正仿宋_GBK" w:hAnsi="方正仿宋_GBK" w:eastAsia="方正仿宋_GBK" w:cs="方正仿宋_GBK"/>
          <w:color w:val="auto"/>
          <w:sz w:val="28"/>
          <w:szCs w:val="28"/>
        </w:rPr>
        <w:t>无</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 xml:space="preserve">2.设定年检要求的依据: </w:t>
      </w:r>
      <w:r>
        <w:rPr>
          <w:rFonts w:hint="eastAsia" w:ascii="方正仿宋_GBK" w:hAnsi="方正仿宋_GBK" w:eastAsia="方正仿宋_GBK" w:cs="方正仿宋_GBK"/>
          <w:color w:val="auto"/>
          <w:sz w:val="28"/>
          <w:szCs w:val="28"/>
        </w:rPr>
        <w:t>无</w:t>
      </w:r>
    </w:p>
    <w:p>
      <w:pPr>
        <w:spacing w:line="540" w:lineRule="exact"/>
        <w:ind w:firstLine="562" w:firstLineChars="200"/>
        <w:outlineLvl w:val="2"/>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3.年检周期：</w:t>
      </w:r>
      <w:r>
        <w:rPr>
          <w:rFonts w:hint="eastAsia"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4.年检是否要求报送材料：</w:t>
      </w:r>
      <w:r>
        <w:rPr>
          <w:rFonts w:hint="eastAsia"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5.年检报送材料名称：</w:t>
      </w:r>
      <w:r>
        <w:rPr>
          <w:rFonts w:hint="eastAsia"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6.年检是否收费：</w:t>
      </w:r>
      <w:r>
        <w:rPr>
          <w:rFonts w:hint="eastAsia"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 xml:space="preserve">7.年检收费项目的名称、年检收费项目的标准、设定年检收费项目的依据、规定年检项目收费标准的依据: </w:t>
      </w:r>
      <w:r>
        <w:rPr>
          <w:rFonts w:hint="eastAsia" w:ascii="方正仿宋_GBK" w:hAnsi="方正仿宋_GBK" w:eastAsia="方正仿宋_GBK" w:cs="方正仿宋_GBK"/>
          <w:color w:val="auto"/>
          <w:sz w:val="28"/>
          <w:szCs w:val="28"/>
        </w:rPr>
        <w:t>无</w:t>
      </w:r>
    </w:p>
    <w:p>
      <w:pPr>
        <w:spacing w:line="540" w:lineRule="exact"/>
        <w:ind w:firstLine="562" w:firstLineChars="200"/>
        <w:outlineLvl w:val="2"/>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8.通过年检的证明或者标志：</w:t>
      </w:r>
      <w:r>
        <w:rPr>
          <w:rFonts w:hint="eastAsia" w:ascii="方正仿宋_GBK" w:hAnsi="方正仿宋_GBK" w:eastAsia="方正仿宋_GBK" w:cs="方正仿宋_GBK"/>
          <w:color w:val="auto"/>
          <w:sz w:val="28"/>
          <w:szCs w:val="28"/>
        </w:rPr>
        <w:t>无</w:t>
      </w:r>
    </w:p>
    <w:p>
      <w:pPr>
        <w:numPr>
          <w:ilvl w:val="0"/>
          <w:numId w:val="2"/>
        </w:num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行政许可后年报</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1.</w:t>
      </w:r>
      <w:r>
        <w:rPr>
          <w:rFonts w:ascii="Times New Roman" w:hAnsi="Times New Roman" w:eastAsia="仿宋GB2312"/>
          <w:b/>
          <w:bCs/>
          <w:color w:val="auto"/>
          <w:sz w:val="28"/>
          <w:szCs w:val="28"/>
        </w:rPr>
        <w:t>有无年报要求</w:t>
      </w:r>
      <w:r>
        <w:rPr>
          <w:rFonts w:hint="eastAsia" w:ascii="Times New Roman" w:hAnsi="Times New Roman" w:eastAsia="仿宋GB2312"/>
          <w:b/>
          <w:bCs/>
          <w:color w:val="auto"/>
          <w:sz w:val="28"/>
          <w:szCs w:val="28"/>
        </w:rPr>
        <w:t>：</w:t>
      </w:r>
      <w:r>
        <w:rPr>
          <w:rFonts w:hint="eastAsia"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2.</w:t>
      </w:r>
      <w:r>
        <w:rPr>
          <w:rFonts w:ascii="Times New Roman" w:hAnsi="Times New Roman" w:eastAsia="仿宋GB2312"/>
          <w:b/>
          <w:bCs/>
          <w:color w:val="auto"/>
          <w:sz w:val="28"/>
          <w:szCs w:val="28"/>
        </w:rPr>
        <w:t>年报报送材料名称</w:t>
      </w:r>
      <w:r>
        <w:rPr>
          <w:rFonts w:hint="eastAsia" w:ascii="Times New Roman" w:hAnsi="Times New Roman" w:eastAsia="仿宋GB2312"/>
          <w:b/>
          <w:bCs/>
          <w:color w:val="auto"/>
          <w:sz w:val="28"/>
          <w:szCs w:val="28"/>
        </w:rPr>
        <w:t>：</w:t>
      </w:r>
      <w:r>
        <w:rPr>
          <w:rFonts w:hint="eastAsia" w:ascii="方正仿宋_GBK" w:hAnsi="方正仿宋_GBK" w:eastAsia="方正仿宋_GBK" w:cs="方正仿宋_GBK"/>
          <w:color w:val="auto"/>
          <w:sz w:val="28"/>
          <w:szCs w:val="28"/>
        </w:rPr>
        <w:t>无</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3.</w:t>
      </w:r>
      <w:r>
        <w:rPr>
          <w:rFonts w:ascii="Times New Roman" w:hAnsi="Times New Roman" w:eastAsia="仿宋GB2312"/>
          <w:b/>
          <w:bCs/>
          <w:color w:val="auto"/>
          <w:sz w:val="28"/>
          <w:szCs w:val="28"/>
        </w:rPr>
        <w:t>设定年报要求的依据</w:t>
      </w:r>
      <w:r>
        <w:rPr>
          <w:rFonts w:hint="eastAsia" w:ascii="Times New Roman" w:hAnsi="Times New Roman" w:eastAsia="仿宋GB2312"/>
          <w:b/>
          <w:bCs/>
          <w:color w:val="auto"/>
          <w:sz w:val="28"/>
          <w:szCs w:val="28"/>
        </w:rPr>
        <w:t xml:space="preserve">: </w:t>
      </w:r>
      <w:r>
        <w:rPr>
          <w:rFonts w:hint="eastAsia" w:ascii="方正仿宋_GBK" w:hAnsi="方正仿宋_GBK" w:eastAsia="方正仿宋_GBK" w:cs="方正仿宋_GBK"/>
          <w:color w:val="auto"/>
          <w:sz w:val="28"/>
          <w:szCs w:val="28"/>
        </w:rPr>
        <w:t>无</w:t>
      </w:r>
    </w:p>
    <w:p>
      <w:pPr>
        <w:spacing w:line="600" w:lineRule="exact"/>
        <w:ind w:firstLine="562" w:firstLineChars="200"/>
        <w:rPr>
          <w:rFonts w:ascii="Times New Roman" w:hAnsi="Times New Roman" w:eastAsia="仿宋GB2312"/>
          <w:color w:val="auto"/>
          <w:sz w:val="28"/>
          <w:szCs w:val="28"/>
        </w:rPr>
      </w:pPr>
      <w:r>
        <w:rPr>
          <w:rFonts w:hint="eastAsia" w:ascii="Times New Roman" w:hAnsi="Times New Roman" w:eastAsia="仿宋GB2312"/>
          <w:b/>
          <w:bCs/>
          <w:color w:val="auto"/>
          <w:sz w:val="28"/>
          <w:szCs w:val="28"/>
        </w:rPr>
        <w:t>4.</w:t>
      </w:r>
      <w:r>
        <w:rPr>
          <w:rFonts w:ascii="Times New Roman" w:hAnsi="Times New Roman" w:eastAsia="仿宋GB2312"/>
          <w:b/>
          <w:bCs/>
          <w:color w:val="auto"/>
          <w:sz w:val="28"/>
          <w:szCs w:val="28"/>
        </w:rPr>
        <w:t>年报周期</w:t>
      </w:r>
      <w:r>
        <w:rPr>
          <w:rFonts w:hint="eastAsia" w:ascii="Times New Roman" w:hAnsi="Times New Roman" w:eastAsia="仿宋GB2312"/>
          <w:b/>
          <w:bCs/>
          <w:color w:val="auto"/>
          <w:sz w:val="28"/>
          <w:szCs w:val="28"/>
        </w:rPr>
        <w:t>：</w:t>
      </w:r>
      <w:r>
        <w:rPr>
          <w:rFonts w:hint="eastAsia" w:ascii="方正仿宋_GBK" w:hAnsi="方正仿宋_GBK" w:eastAsia="方正仿宋_GBK" w:cs="方正仿宋_GBK"/>
          <w:color w:val="auto"/>
          <w:sz w:val="28"/>
          <w:szCs w:val="28"/>
        </w:rPr>
        <w:t>无</w:t>
      </w:r>
    </w:p>
    <w:p>
      <w:pPr>
        <w:numPr>
          <w:ilvl w:val="0"/>
          <w:numId w:val="2"/>
        </w:num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监管主体</w:t>
      </w:r>
    </w:p>
    <w:p>
      <w:pPr>
        <w:spacing w:line="600" w:lineRule="exact"/>
        <w:ind w:firstLine="560" w:firstLineChars="200"/>
        <w:rPr>
          <w:rFonts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国家外汇局及其分局</w:t>
      </w:r>
    </w:p>
    <w:p>
      <w:pPr>
        <w:rPr>
          <w:rFonts w:ascii="方正仿宋_GBK" w:hAnsi="方正仿宋_GBK" w:eastAsia="方正仿宋_GBK" w:cs="方正仿宋_GBK"/>
          <w:color w:val="auto"/>
          <w:sz w:val="28"/>
          <w:szCs w:val="28"/>
        </w:rPr>
      </w:pPr>
      <w:r>
        <w:rPr>
          <w:rFonts w:hint="eastAsia" w:eastAsia="黑体"/>
          <w:color w:val="auto"/>
          <w:sz w:val="28"/>
          <w:szCs w:val="28"/>
        </w:rPr>
        <w:t>十五、</w:t>
      </w:r>
      <w:r>
        <w:rPr>
          <w:rFonts w:eastAsia="黑体"/>
          <w:color w:val="auto"/>
          <w:sz w:val="28"/>
          <w:szCs w:val="28"/>
        </w:rPr>
        <w:t>行政许可办理地址和时间</w:t>
      </w:r>
    </w:p>
    <w:p>
      <w:pPr>
        <w:spacing w:line="540" w:lineRule="exact"/>
        <w:ind w:firstLine="562" w:firstLineChars="200"/>
        <w:outlineLvl w:val="2"/>
        <w:rPr>
          <w:rFonts w:ascii="方正仿宋_GBK" w:hAnsi="方正仿宋_GBK" w:eastAsia="方正仿宋_GBK" w:cs="方正仿宋_GBK"/>
          <w:color w:val="auto"/>
          <w:sz w:val="28"/>
          <w:szCs w:val="28"/>
        </w:rPr>
      </w:pPr>
      <w:r>
        <w:rPr>
          <w:rFonts w:hint="eastAsia" w:eastAsia="仿宋GB2312"/>
          <w:b/>
          <w:bCs/>
          <w:color w:val="auto"/>
          <w:sz w:val="28"/>
          <w:szCs w:val="28"/>
        </w:rPr>
        <w:t>1.</w:t>
      </w:r>
      <w:r>
        <w:rPr>
          <w:rFonts w:hint="eastAsia" w:eastAsia="仿宋GB2312"/>
          <w:b/>
          <w:bCs/>
          <w:color w:val="auto"/>
          <w:sz w:val="28"/>
          <w:szCs w:val="28"/>
          <w:lang w:eastAsia="zh-CN"/>
        </w:rPr>
        <w:t>办理地址：广西南宁市青秀区滨湖路58号中国人民银行广西壮族自治区分行</w:t>
      </w:r>
      <w:r>
        <w:rPr>
          <w:rFonts w:hint="eastAsia" w:ascii="Calibri" w:hAnsi="Calibri" w:eastAsia="仿宋GB2312" w:cs="黑体"/>
          <w:b/>
          <w:bCs/>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color w:val="auto"/>
          <w:sz w:val="28"/>
          <w:szCs w:val="28"/>
        </w:rPr>
      </w:pPr>
      <w:r>
        <w:rPr>
          <w:rFonts w:hint="eastAsia" w:eastAsia="仿宋GB2312"/>
          <w:b/>
          <w:bCs/>
          <w:color w:val="auto"/>
          <w:sz w:val="28"/>
          <w:szCs w:val="28"/>
        </w:rPr>
        <w:t>2.办理时间：</w:t>
      </w:r>
      <w:r>
        <w:rPr>
          <w:rFonts w:hint="eastAsia" w:ascii="方正仿宋_GBK" w:hAnsi="方正仿宋_GBK" w:eastAsia="方正仿宋_GBK" w:cs="方正仿宋_GBK"/>
          <w:color w:val="auto"/>
          <w:sz w:val="28"/>
          <w:szCs w:val="28"/>
        </w:rPr>
        <w:t>工作日，上午：08:30-12:00，下午：</w:t>
      </w:r>
      <w:r>
        <w:rPr>
          <w:rFonts w:hint="eastAsia" w:ascii="方正仿宋_GBK" w:hAnsi="方正仿宋_GBK" w:eastAsia="方正仿宋_GBK" w:cs="方正仿宋_GBK"/>
          <w:color w:val="auto"/>
          <w:sz w:val="28"/>
          <w:szCs w:val="28"/>
          <w:lang w:val="en-US" w:eastAsia="zh-CN"/>
        </w:rPr>
        <w:t>14</w:t>
      </w:r>
      <w:r>
        <w:rPr>
          <w:rFonts w:hint="eastAsia" w:ascii="方正仿宋_GBK" w:hAnsi="方正仿宋_GBK" w:eastAsia="方正仿宋_GBK" w:cs="方正仿宋_GBK"/>
          <w:color w:val="auto"/>
          <w:sz w:val="28"/>
          <w:szCs w:val="28"/>
        </w:rPr>
        <w:t>:30-</w:t>
      </w:r>
      <w:r>
        <w:rPr>
          <w:rFonts w:hint="eastAsia" w:ascii="方正仿宋_GBK" w:hAnsi="方正仿宋_GBK" w:eastAsia="方正仿宋_GBK" w:cs="方正仿宋_GBK"/>
          <w:color w:val="auto"/>
          <w:sz w:val="28"/>
          <w:szCs w:val="28"/>
          <w:lang w:val="en-US" w:eastAsia="zh-CN"/>
        </w:rPr>
        <w:t>17</w:t>
      </w:r>
      <w:r>
        <w:rPr>
          <w:rFonts w:hint="eastAsia" w:ascii="方正仿宋_GBK" w:hAnsi="方正仿宋_GBK" w:eastAsia="方正仿宋_GBK" w:cs="方正仿宋_GBK"/>
          <w:color w:val="auto"/>
          <w:sz w:val="28"/>
          <w:szCs w:val="28"/>
        </w:rPr>
        <w:t xml:space="preserve">:30 </w:t>
      </w:r>
    </w:p>
    <w:p>
      <w:pPr>
        <w:rPr>
          <w:rFonts w:eastAsia="黑体"/>
          <w:color w:val="auto"/>
          <w:sz w:val="28"/>
          <w:szCs w:val="28"/>
        </w:rPr>
      </w:pPr>
      <w:r>
        <w:rPr>
          <w:rFonts w:hint="eastAsia" w:eastAsia="黑体"/>
          <w:color w:val="auto"/>
          <w:sz w:val="28"/>
          <w:szCs w:val="28"/>
        </w:rPr>
        <w:t>十六、</w:t>
      </w:r>
      <w:r>
        <w:rPr>
          <w:rFonts w:eastAsia="黑体"/>
          <w:color w:val="auto"/>
          <w:sz w:val="28"/>
          <w:szCs w:val="28"/>
        </w:rPr>
        <w:t>咨询途径</w:t>
      </w:r>
    </w:p>
    <w:p>
      <w:pPr>
        <w:spacing w:line="540" w:lineRule="exact"/>
        <w:ind w:firstLine="562" w:firstLineChars="200"/>
        <w:outlineLvl w:val="2"/>
        <w:rPr>
          <w:rFonts w:hint="eastAsia" w:ascii="方正仿宋_GBK" w:hAnsi="方正仿宋_GBK" w:eastAsia="方正仿宋_GBK" w:cs="方正仿宋_GBK"/>
          <w:color w:val="auto"/>
          <w:sz w:val="28"/>
          <w:szCs w:val="28"/>
          <w:lang w:eastAsia="zh-CN"/>
        </w:rPr>
      </w:pPr>
      <w:r>
        <w:rPr>
          <w:rFonts w:hint="eastAsia" w:eastAsia="仿宋GB2312"/>
          <w:b/>
          <w:bCs/>
          <w:color w:val="auto"/>
          <w:sz w:val="28"/>
          <w:szCs w:val="28"/>
          <w:lang w:eastAsia="zh-CN"/>
        </w:rPr>
        <w:t>1.窗口咨询地址：广西南宁市青秀区滨湖路58号中国人民银行广西壮族自治区分行</w:t>
      </w:r>
      <w:r>
        <w:rPr>
          <w:rFonts w:hint="eastAsia" w:ascii="Calibri" w:hAnsi="Calibri" w:eastAsia="仿宋GB2312" w:cs="黑体"/>
          <w:b/>
          <w:bCs/>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color w:val="auto"/>
          <w:sz w:val="28"/>
          <w:szCs w:val="28"/>
        </w:rPr>
      </w:pPr>
      <w:r>
        <w:rPr>
          <w:rFonts w:hint="eastAsia" w:eastAsia="仿宋GB2312"/>
          <w:b/>
          <w:bCs/>
          <w:color w:val="auto"/>
          <w:sz w:val="28"/>
          <w:szCs w:val="28"/>
        </w:rPr>
        <w:t>2.电话咨询号码：</w:t>
      </w:r>
      <w:r>
        <w:rPr>
          <w:rFonts w:hint="eastAsia" w:ascii="方正仿宋_GBK" w:hAnsi="方正仿宋_GBK" w:eastAsia="方正仿宋_GBK" w:cs="方正仿宋_GBK"/>
          <w:color w:val="auto"/>
          <w:sz w:val="28"/>
          <w:szCs w:val="28"/>
          <w:lang w:val="en-US" w:eastAsia="zh-CN"/>
        </w:rPr>
        <w:t>0771-6111201</w:t>
      </w:r>
    </w:p>
    <w:p>
      <w:pPr>
        <w:spacing w:line="540" w:lineRule="exact"/>
        <w:ind w:firstLine="562" w:firstLineChars="200"/>
        <w:outlineLvl w:val="2"/>
        <w:rPr>
          <w:rFonts w:eastAsia="仿宋GB2312"/>
          <w:b/>
          <w:bCs/>
          <w:color w:val="auto"/>
          <w:sz w:val="28"/>
          <w:szCs w:val="28"/>
        </w:rPr>
      </w:pPr>
      <w:r>
        <w:rPr>
          <w:rFonts w:hint="eastAsia" w:eastAsia="仿宋GB2312"/>
          <w:b/>
          <w:bCs/>
          <w:color w:val="auto"/>
          <w:sz w:val="28"/>
          <w:szCs w:val="28"/>
        </w:rPr>
        <w:t>3.咨询网址：</w:t>
      </w:r>
      <w:r>
        <w:rPr>
          <w:rFonts w:hint="eastAsia" w:ascii="方正仿宋_GBK" w:hAnsi="方正仿宋_GBK" w:eastAsia="方正仿宋_GBK" w:cs="方正仿宋_GBK"/>
          <w:color w:val="auto"/>
          <w:sz w:val="28"/>
          <w:szCs w:val="28"/>
          <w:lang w:eastAsia="zh-CN"/>
        </w:rPr>
        <w:t>国家外汇管理局广西壮族自治区分局官方网站（www.safe.gov.cn</w:t>
      </w:r>
      <w:r>
        <w:rPr>
          <w:rFonts w:hint="eastAsia" w:ascii="方正仿宋_GBK" w:hAnsi="方正仿宋_GBK" w:eastAsia="方正仿宋_GBK" w:cs="方正仿宋_GBK"/>
          <w:color w:val="auto"/>
          <w:sz w:val="28"/>
          <w:szCs w:val="28"/>
          <w:lang w:val="en-US" w:eastAsia="zh-CN"/>
        </w:rPr>
        <w:t>/guangxi/）</w:t>
      </w:r>
      <w:r>
        <w:rPr>
          <w:rFonts w:hint="eastAsia" w:ascii="方正仿宋_GBK" w:hAnsi="方正仿宋_GBK" w:eastAsia="方正仿宋_GBK" w:cs="方正仿宋_GBK"/>
          <w:color w:val="auto"/>
          <w:sz w:val="28"/>
          <w:szCs w:val="28"/>
          <w:lang w:eastAsia="zh-CN"/>
        </w:rPr>
        <w:t>咨询反馈栏目</w:t>
      </w:r>
    </w:p>
    <w:p>
      <w:pPr>
        <w:rPr>
          <w:rFonts w:eastAsia="仿宋GB2312"/>
          <w:b/>
          <w:bCs/>
          <w:color w:val="auto"/>
          <w:sz w:val="28"/>
          <w:szCs w:val="28"/>
        </w:rPr>
      </w:pPr>
      <w:r>
        <w:rPr>
          <w:rFonts w:hint="eastAsia" w:eastAsia="黑体"/>
          <w:color w:val="auto"/>
          <w:sz w:val="28"/>
          <w:szCs w:val="28"/>
        </w:rPr>
        <w:t>十七、监督投诉渠道</w:t>
      </w:r>
    </w:p>
    <w:p>
      <w:pPr>
        <w:spacing w:line="540" w:lineRule="exact"/>
        <w:ind w:firstLine="562" w:firstLineChars="200"/>
        <w:outlineLvl w:val="2"/>
        <w:rPr>
          <w:rFonts w:hint="eastAsia" w:ascii="方正仿宋_GBK" w:hAnsi="方正仿宋_GBK" w:eastAsia="方正仿宋_GBK" w:cs="方正仿宋_GBK"/>
          <w:color w:val="auto"/>
          <w:sz w:val="28"/>
          <w:szCs w:val="28"/>
          <w:lang w:val="en-US" w:eastAsia="zh-CN"/>
        </w:rPr>
      </w:pPr>
      <w:r>
        <w:rPr>
          <w:rFonts w:hint="eastAsia" w:eastAsia="仿宋GB2312"/>
          <w:b/>
          <w:bCs/>
          <w:color w:val="auto"/>
          <w:sz w:val="28"/>
          <w:szCs w:val="28"/>
        </w:rPr>
        <w:t>1.电话监督投诉：</w:t>
      </w:r>
      <w:r>
        <w:rPr>
          <w:rFonts w:hint="eastAsia" w:ascii="方正仿宋_GBK" w:hAnsi="方正仿宋_GBK" w:eastAsia="方正仿宋_GBK" w:cs="方正仿宋_GBK"/>
          <w:color w:val="auto"/>
          <w:sz w:val="28"/>
          <w:szCs w:val="28"/>
          <w:lang w:val="en-US" w:eastAsia="zh-CN"/>
        </w:rPr>
        <w:t>0771-6111357</w:t>
      </w:r>
    </w:p>
    <w:p>
      <w:pPr>
        <w:spacing w:line="540" w:lineRule="exact"/>
        <w:ind w:firstLine="562" w:firstLineChars="200"/>
        <w:outlineLvl w:val="2"/>
        <w:rPr>
          <w:rFonts w:hint="eastAsia" w:ascii="方正仿宋_GBK" w:hAnsi="方正仿宋_GBK" w:eastAsia="方正仿宋_GBK" w:cs="方正仿宋_GBK"/>
          <w:color w:val="auto"/>
          <w:sz w:val="28"/>
          <w:szCs w:val="28"/>
        </w:rPr>
      </w:pPr>
      <w:r>
        <w:rPr>
          <w:rFonts w:hint="eastAsia" w:eastAsia="仿宋GB2312"/>
          <w:b/>
          <w:bCs/>
          <w:color w:val="auto"/>
          <w:sz w:val="28"/>
          <w:szCs w:val="28"/>
          <w:lang w:val="en-US" w:eastAsia="zh-CN"/>
        </w:rPr>
        <w:t>2</w:t>
      </w:r>
      <w:r>
        <w:rPr>
          <w:rFonts w:hint="eastAsia" w:eastAsia="仿宋GB2312"/>
          <w:b/>
          <w:bCs/>
          <w:color w:val="auto"/>
          <w:sz w:val="28"/>
          <w:szCs w:val="28"/>
        </w:rPr>
        <w:t>.网络监督投诉网址：</w:t>
      </w:r>
      <w:r>
        <w:rPr>
          <w:rFonts w:hint="eastAsia" w:ascii="方正仿宋_GBK" w:hAnsi="方正仿宋_GBK" w:eastAsia="方正仿宋_GBK" w:cs="方正仿宋_GBK"/>
          <w:color w:val="auto"/>
          <w:sz w:val="28"/>
          <w:szCs w:val="28"/>
          <w:lang w:eastAsia="zh-CN"/>
        </w:rPr>
        <w:t>国家外汇管理局广西壮族自治区分局官方网站（www.safe.gov.cn</w:t>
      </w:r>
      <w:r>
        <w:rPr>
          <w:rFonts w:hint="eastAsia" w:ascii="方正仿宋_GBK" w:hAnsi="方正仿宋_GBK" w:eastAsia="方正仿宋_GBK" w:cs="方正仿宋_GBK"/>
          <w:color w:val="auto"/>
          <w:sz w:val="28"/>
          <w:szCs w:val="28"/>
          <w:lang w:val="en-US" w:eastAsia="zh-CN"/>
        </w:rPr>
        <w:t>/guangxi/）</w:t>
      </w:r>
      <w:r>
        <w:rPr>
          <w:rFonts w:hint="eastAsia" w:ascii="方正仿宋_GBK" w:hAnsi="方正仿宋_GBK" w:eastAsia="方正仿宋_GBK" w:cs="方正仿宋_GBK"/>
          <w:color w:val="auto"/>
          <w:sz w:val="28"/>
          <w:szCs w:val="28"/>
          <w:lang w:eastAsia="zh-CN"/>
        </w:rPr>
        <w:t>咨询反馈栏目</w:t>
      </w:r>
    </w:p>
    <w:p>
      <w:p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十</w:t>
      </w:r>
      <w:r>
        <w:rPr>
          <w:rFonts w:hint="eastAsia" w:ascii="Times New Roman" w:hAnsi="Times New Roman" w:eastAsia="黑体"/>
          <w:color w:val="auto"/>
          <w:sz w:val="28"/>
          <w:szCs w:val="28"/>
          <w:lang w:eastAsia="zh-CN"/>
        </w:rPr>
        <w:t>八</w:t>
      </w:r>
      <w:r>
        <w:rPr>
          <w:rFonts w:hint="eastAsia" w:ascii="Times New Roman" w:hAnsi="Times New Roman" w:eastAsia="黑体"/>
          <w:color w:val="auto"/>
          <w:sz w:val="28"/>
          <w:szCs w:val="28"/>
        </w:rPr>
        <w:t>、备注</w:t>
      </w:r>
    </w:p>
    <w:p>
      <w:pPr>
        <w:spacing w:line="600" w:lineRule="exact"/>
        <w:ind w:firstLine="560" w:firstLineChars="200"/>
        <w:rPr>
          <w:rFonts w:ascii="方正仿宋_GBK" w:hAnsi="方正仿宋_GBK" w:eastAsia="方正仿宋_GBK" w:cs="方正仿宋_GBK"/>
          <w:color w:val="auto"/>
          <w:sz w:val="28"/>
          <w:szCs w:val="28"/>
        </w:rPr>
      </w:pPr>
    </w:p>
    <w:p>
      <w:pPr>
        <w:spacing w:line="540" w:lineRule="exact"/>
        <w:outlineLvl w:val="1"/>
        <w:rPr>
          <w:rFonts w:ascii="Times New Roman" w:hAnsi="Times New Roman" w:eastAsia="黑体"/>
          <w:color w:val="auto"/>
          <w:sz w:val="28"/>
          <w:szCs w:val="28"/>
        </w:rPr>
      </w:pPr>
    </w:p>
    <w:p>
      <w:pPr>
        <w:rPr>
          <w:color w:val="auto"/>
        </w:rPr>
      </w:pPr>
    </w:p>
    <w:p>
      <w:pPr>
        <w:snapToGrid w:val="0"/>
        <w:spacing w:line="240" w:lineRule="atLeast"/>
        <w:jc w:val="left"/>
        <w:rPr>
          <w:rFonts w:ascii="Times New Roman" w:hAnsi="Times New Roman"/>
          <w:color w:val="auto"/>
          <w:szCs w:val="30"/>
        </w:rPr>
      </w:pPr>
      <w:r>
        <w:rPr>
          <w:rFonts w:ascii="Times New Roman" w:hAnsi="Times New Roman" w:cs="Times New Roman"/>
          <w:color w:val="auto"/>
        </w:rPr>
        <w:br w:type="page"/>
      </w:r>
      <w:r>
        <w:rPr>
          <w:rFonts w:hint="eastAsia" w:ascii="Times New Roman" w:hAnsi="Times New Roman" w:eastAsia="仿宋_GB2312" w:cs="Times New Roman"/>
          <w:color w:val="auto"/>
          <w:kern w:val="0"/>
          <w:sz w:val="30"/>
          <w:szCs w:val="30"/>
        </w:rPr>
        <w:t>材料示范文本</w:t>
      </w:r>
      <w:r>
        <w:rPr>
          <w:rFonts w:hint="eastAsia" w:ascii="Times New Roman" w:hAnsi="Times New Roman" w:eastAsia="仿宋_GB2312" w:cs="Times New Roman"/>
          <w:color w:val="auto"/>
          <w:kern w:val="0"/>
          <w:sz w:val="30"/>
          <w:szCs w:val="30"/>
          <w:lang w:eastAsia="zh-CN"/>
        </w:rPr>
        <w:t>：</w:t>
      </w:r>
    </w:p>
    <w:p>
      <w:pPr>
        <w:snapToGrid w:val="0"/>
        <w:spacing w:line="240" w:lineRule="atLeast"/>
        <w:jc w:val="center"/>
        <w:rPr>
          <w:rFonts w:ascii="Times New Roman" w:hAnsi="Times New Roman"/>
          <w:b/>
          <w:color w:val="auto"/>
          <w:szCs w:val="30"/>
        </w:rPr>
      </w:pPr>
    </w:p>
    <w:p>
      <w:pPr>
        <w:snapToGrid w:val="0"/>
        <w:spacing w:line="240" w:lineRule="atLeast"/>
        <w:jc w:val="center"/>
        <w:rPr>
          <w:rFonts w:ascii="Times New Roman" w:hAnsi="Times New Roman"/>
          <w:b/>
          <w:color w:val="auto"/>
          <w:szCs w:val="30"/>
        </w:rPr>
      </w:pPr>
      <w:r>
        <w:rPr>
          <w:rFonts w:hint="eastAsia" w:ascii="Times New Roman" w:hAnsi="Times New Roman"/>
          <w:b/>
          <w:color w:val="auto"/>
          <w:szCs w:val="30"/>
        </w:rPr>
        <w:t>出口收入存放境外登记表</w:t>
      </w:r>
    </w:p>
    <w:p>
      <w:pPr>
        <w:snapToGrid w:val="0"/>
        <w:spacing w:line="240" w:lineRule="atLeast"/>
        <w:rPr>
          <w:rFonts w:ascii="Times New Roman" w:hAnsi="Times New Roman"/>
          <w:b/>
          <w:color w:val="auto"/>
          <w:sz w:val="24"/>
        </w:rPr>
      </w:pPr>
    </w:p>
    <w:tbl>
      <w:tblPr>
        <w:tblStyle w:val="9"/>
        <w:tblW w:w="93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9"/>
        <w:gridCol w:w="2824"/>
        <w:gridCol w:w="1977"/>
        <w:gridCol w:w="2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jc w:val="center"/>
        </w:trPr>
        <w:tc>
          <w:tcPr>
            <w:tcW w:w="2519" w:type="dxa"/>
            <w:vAlign w:val="center"/>
          </w:tcPr>
          <w:p>
            <w:pPr>
              <w:snapToGrid w:val="0"/>
              <w:jc w:val="center"/>
              <w:rPr>
                <w:rFonts w:ascii="Times New Roman" w:hAnsi="Times New Roman"/>
                <w:color w:val="auto"/>
                <w:sz w:val="24"/>
              </w:rPr>
            </w:pPr>
            <w:r>
              <w:rPr>
                <w:rFonts w:hint="eastAsia" w:ascii="Times New Roman" w:hAnsi="Times New Roman"/>
                <w:color w:val="auto"/>
                <w:sz w:val="24"/>
              </w:rPr>
              <w:t>企业名称</w:t>
            </w:r>
          </w:p>
          <w:p>
            <w:pPr>
              <w:snapToGrid w:val="0"/>
              <w:jc w:val="center"/>
              <w:rPr>
                <w:rFonts w:ascii="Times New Roman" w:hAnsi="Times New Roman"/>
                <w:color w:val="auto"/>
                <w:sz w:val="24"/>
              </w:rPr>
            </w:pPr>
            <w:r>
              <w:rPr>
                <w:rFonts w:hint="eastAsia" w:ascii="Times New Roman" w:hAnsi="Times New Roman"/>
                <w:color w:val="auto"/>
                <w:sz w:val="24"/>
              </w:rPr>
              <w:t>（加盖企业公章）</w:t>
            </w:r>
          </w:p>
        </w:tc>
        <w:tc>
          <w:tcPr>
            <w:tcW w:w="2824" w:type="dxa"/>
            <w:vAlign w:val="center"/>
          </w:tcPr>
          <w:p>
            <w:pPr>
              <w:keepNext/>
              <w:keepLines/>
              <w:tabs>
                <w:tab w:val="right" w:leader="dot" w:pos="8296"/>
              </w:tabs>
              <w:snapToGrid w:val="0"/>
              <w:ind w:firstLine="723"/>
              <w:contextualSpacing/>
              <w:jc w:val="center"/>
              <w:outlineLvl w:val="0"/>
              <w:rPr>
                <w:rFonts w:ascii="Times New Roman" w:hAnsi="Times New Roman"/>
                <w:color w:val="auto"/>
                <w:sz w:val="24"/>
              </w:rPr>
            </w:pPr>
          </w:p>
        </w:tc>
        <w:tc>
          <w:tcPr>
            <w:tcW w:w="1977" w:type="dxa"/>
            <w:vAlign w:val="center"/>
          </w:tcPr>
          <w:p>
            <w:pPr>
              <w:snapToGrid w:val="0"/>
              <w:jc w:val="center"/>
              <w:rPr>
                <w:rFonts w:ascii="Times New Roman" w:hAnsi="Times New Roman"/>
                <w:color w:val="auto"/>
                <w:sz w:val="24"/>
              </w:rPr>
            </w:pPr>
            <w:r>
              <w:rPr>
                <w:rFonts w:hint="eastAsia" w:ascii="Times New Roman" w:hAnsi="Times New Roman"/>
                <w:color w:val="auto"/>
                <w:sz w:val="24"/>
              </w:rPr>
              <w:t>统一社会信用</w:t>
            </w:r>
          </w:p>
          <w:p>
            <w:pPr>
              <w:snapToGrid w:val="0"/>
              <w:jc w:val="center"/>
              <w:rPr>
                <w:rFonts w:ascii="Times New Roman" w:hAnsi="Times New Roman"/>
                <w:color w:val="auto"/>
                <w:sz w:val="24"/>
              </w:rPr>
            </w:pPr>
            <w:r>
              <w:rPr>
                <w:rFonts w:hint="eastAsia" w:ascii="Times New Roman" w:hAnsi="Times New Roman"/>
                <w:color w:val="auto"/>
                <w:sz w:val="24"/>
              </w:rPr>
              <w:t>代码</w:t>
            </w:r>
          </w:p>
        </w:tc>
        <w:tc>
          <w:tcPr>
            <w:tcW w:w="2063" w:type="dxa"/>
            <w:vAlign w:val="center"/>
          </w:tcPr>
          <w:p>
            <w:pPr>
              <w:keepNext/>
              <w:keepLines/>
              <w:tabs>
                <w:tab w:val="right" w:leader="dot" w:pos="8296"/>
              </w:tabs>
              <w:snapToGrid w:val="0"/>
              <w:ind w:firstLine="723"/>
              <w:contextualSpacing/>
              <w:jc w:val="center"/>
              <w:outlineLvl w:val="0"/>
              <w:rPr>
                <w:rFonts w:ascii="Times New Roman" w:hAnsi="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9383" w:type="dxa"/>
            <w:gridSpan w:val="4"/>
            <w:vAlign w:val="center"/>
          </w:tcPr>
          <w:p>
            <w:pPr>
              <w:snapToGrid w:val="0"/>
              <w:jc w:val="center"/>
              <w:rPr>
                <w:rFonts w:ascii="Times New Roman" w:hAnsi="Times New Roman"/>
                <w:b/>
                <w:color w:val="auto"/>
                <w:sz w:val="24"/>
              </w:rPr>
            </w:pPr>
            <w:r>
              <w:rPr>
                <w:rFonts w:hint="eastAsia" w:ascii="Times New Roman" w:hAnsi="Times New Roman"/>
                <w:b/>
                <w:color w:val="auto"/>
                <w:sz w:val="24"/>
              </w:rPr>
              <w:t>拟开户情况（企业填写）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8" w:hRule="atLeast"/>
          <w:jc w:val="center"/>
        </w:trPr>
        <w:tc>
          <w:tcPr>
            <w:tcW w:w="2519" w:type="dxa"/>
            <w:vAlign w:val="center"/>
          </w:tcPr>
          <w:p>
            <w:pPr>
              <w:snapToGrid w:val="0"/>
              <w:jc w:val="center"/>
              <w:rPr>
                <w:rFonts w:ascii="Times New Roman" w:hAnsi="Times New Roman"/>
                <w:color w:val="auto"/>
                <w:sz w:val="24"/>
              </w:rPr>
            </w:pPr>
            <w:r>
              <w:rPr>
                <w:rFonts w:hint="eastAsia" w:ascii="Times New Roman" w:hAnsi="Times New Roman"/>
                <w:color w:val="auto"/>
                <w:sz w:val="24"/>
              </w:rPr>
              <w:t>境外开户银行名称</w:t>
            </w:r>
          </w:p>
          <w:p>
            <w:pPr>
              <w:snapToGrid w:val="0"/>
              <w:jc w:val="center"/>
              <w:rPr>
                <w:rFonts w:ascii="Times New Roman" w:hAnsi="Times New Roman"/>
                <w:color w:val="auto"/>
                <w:sz w:val="24"/>
              </w:rPr>
            </w:pPr>
            <w:r>
              <w:rPr>
                <w:rFonts w:hint="eastAsia" w:ascii="Times New Roman" w:hAnsi="Times New Roman"/>
                <w:color w:val="auto"/>
                <w:sz w:val="24"/>
              </w:rPr>
              <w:t>（中文或英文）</w:t>
            </w:r>
          </w:p>
        </w:tc>
        <w:tc>
          <w:tcPr>
            <w:tcW w:w="6864" w:type="dxa"/>
            <w:gridSpan w:val="3"/>
            <w:vAlign w:val="center"/>
          </w:tcPr>
          <w:p>
            <w:pPr>
              <w:keepNext/>
              <w:keepLines/>
              <w:tabs>
                <w:tab w:val="right" w:leader="dot" w:pos="8296"/>
              </w:tabs>
              <w:snapToGrid w:val="0"/>
              <w:ind w:firstLine="723"/>
              <w:contextualSpacing/>
              <w:jc w:val="center"/>
              <w:outlineLvl w:val="0"/>
              <w:rPr>
                <w:rFonts w:ascii="Times New Roman" w:hAnsi="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2519" w:type="dxa"/>
            <w:vAlign w:val="center"/>
          </w:tcPr>
          <w:p>
            <w:pPr>
              <w:snapToGrid w:val="0"/>
              <w:jc w:val="center"/>
              <w:rPr>
                <w:rFonts w:ascii="Times New Roman" w:hAnsi="Times New Roman"/>
                <w:color w:val="auto"/>
                <w:sz w:val="24"/>
              </w:rPr>
            </w:pPr>
            <w:r>
              <w:rPr>
                <w:rFonts w:hint="eastAsia" w:ascii="Times New Roman" w:hAnsi="Times New Roman"/>
                <w:color w:val="auto"/>
                <w:sz w:val="24"/>
              </w:rPr>
              <w:t>境外开户银行代码（</w:t>
            </w:r>
            <w:r>
              <w:rPr>
                <w:rFonts w:ascii="Times New Roman" w:hAnsi="Times New Roman"/>
                <w:color w:val="auto"/>
                <w:sz w:val="24"/>
              </w:rPr>
              <w:t>SWIFT CODE</w:t>
            </w:r>
            <w:r>
              <w:rPr>
                <w:rFonts w:hint="eastAsia" w:ascii="Times New Roman" w:hAnsi="Times New Roman"/>
                <w:color w:val="auto"/>
                <w:sz w:val="24"/>
              </w:rPr>
              <w:t>或</w:t>
            </w:r>
          </w:p>
          <w:p>
            <w:pPr>
              <w:snapToGrid w:val="0"/>
              <w:jc w:val="center"/>
              <w:rPr>
                <w:rFonts w:ascii="Times New Roman" w:hAnsi="Times New Roman"/>
                <w:color w:val="auto"/>
                <w:sz w:val="24"/>
              </w:rPr>
            </w:pPr>
            <w:r>
              <w:rPr>
                <w:rFonts w:hint="eastAsia" w:ascii="Times New Roman" w:hAnsi="Times New Roman"/>
                <w:color w:val="auto"/>
                <w:sz w:val="24"/>
              </w:rPr>
              <w:t>金融机构标识码）</w:t>
            </w:r>
          </w:p>
        </w:tc>
        <w:tc>
          <w:tcPr>
            <w:tcW w:w="6864" w:type="dxa"/>
            <w:gridSpan w:val="3"/>
            <w:vAlign w:val="center"/>
          </w:tcPr>
          <w:p>
            <w:pPr>
              <w:keepNext/>
              <w:keepLines/>
              <w:tabs>
                <w:tab w:val="right" w:leader="dot" w:pos="8296"/>
              </w:tabs>
              <w:snapToGrid w:val="0"/>
              <w:ind w:firstLine="723"/>
              <w:contextualSpacing/>
              <w:jc w:val="center"/>
              <w:outlineLvl w:val="0"/>
              <w:rPr>
                <w:rFonts w:ascii="Times New Roman" w:hAnsi="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2" w:hRule="atLeast"/>
          <w:jc w:val="center"/>
        </w:trPr>
        <w:tc>
          <w:tcPr>
            <w:tcW w:w="2519" w:type="dxa"/>
            <w:vAlign w:val="center"/>
          </w:tcPr>
          <w:p>
            <w:pPr>
              <w:snapToGrid w:val="0"/>
              <w:jc w:val="center"/>
              <w:rPr>
                <w:rFonts w:ascii="Times New Roman" w:hAnsi="Times New Roman"/>
                <w:color w:val="auto"/>
                <w:sz w:val="24"/>
              </w:rPr>
            </w:pPr>
            <w:r>
              <w:rPr>
                <w:rFonts w:hint="eastAsia" w:ascii="Times New Roman" w:hAnsi="Times New Roman"/>
                <w:color w:val="auto"/>
                <w:sz w:val="24"/>
              </w:rPr>
              <w:t>境外开户户名</w:t>
            </w:r>
          </w:p>
          <w:p>
            <w:pPr>
              <w:snapToGrid w:val="0"/>
              <w:jc w:val="center"/>
              <w:rPr>
                <w:rFonts w:ascii="Times New Roman" w:hAnsi="Times New Roman"/>
                <w:color w:val="auto"/>
                <w:sz w:val="24"/>
              </w:rPr>
            </w:pPr>
            <w:r>
              <w:rPr>
                <w:rFonts w:hint="eastAsia" w:ascii="Times New Roman" w:hAnsi="Times New Roman"/>
                <w:color w:val="auto"/>
                <w:sz w:val="24"/>
              </w:rPr>
              <w:t>（中文或英文）</w:t>
            </w:r>
          </w:p>
        </w:tc>
        <w:tc>
          <w:tcPr>
            <w:tcW w:w="6864" w:type="dxa"/>
            <w:gridSpan w:val="3"/>
            <w:vAlign w:val="center"/>
          </w:tcPr>
          <w:p>
            <w:pPr>
              <w:keepNext/>
              <w:keepLines/>
              <w:tabs>
                <w:tab w:val="right" w:leader="dot" w:pos="8296"/>
              </w:tabs>
              <w:snapToGrid w:val="0"/>
              <w:ind w:firstLine="723"/>
              <w:contextualSpacing/>
              <w:jc w:val="center"/>
              <w:outlineLvl w:val="0"/>
              <w:rPr>
                <w:rFonts w:ascii="Times New Roman" w:hAnsi="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2519" w:type="dxa"/>
            <w:vAlign w:val="center"/>
          </w:tcPr>
          <w:p>
            <w:pPr>
              <w:snapToGrid w:val="0"/>
              <w:jc w:val="center"/>
              <w:rPr>
                <w:rFonts w:ascii="Times New Roman" w:hAnsi="Times New Roman"/>
                <w:color w:val="auto"/>
                <w:sz w:val="24"/>
              </w:rPr>
            </w:pPr>
            <w:r>
              <w:rPr>
                <w:rFonts w:hint="eastAsia" w:ascii="Times New Roman" w:hAnsi="Times New Roman"/>
                <w:color w:val="auto"/>
                <w:sz w:val="24"/>
              </w:rPr>
              <w:t>境外开户</w:t>
            </w:r>
          </w:p>
          <w:p>
            <w:pPr>
              <w:snapToGrid w:val="0"/>
              <w:jc w:val="center"/>
              <w:rPr>
                <w:rFonts w:ascii="Times New Roman" w:hAnsi="Times New Roman"/>
                <w:color w:val="auto"/>
                <w:sz w:val="24"/>
              </w:rPr>
            </w:pPr>
            <w:r>
              <w:rPr>
                <w:rFonts w:hint="eastAsia" w:ascii="Times New Roman" w:hAnsi="Times New Roman"/>
                <w:color w:val="auto"/>
                <w:sz w:val="24"/>
              </w:rPr>
              <w:t>国别或地区</w:t>
            </w:r>
          </w:p>
        </w:tc>
        <w:tc>
          <w:tcPr>
            <w:tcW w:w="6864" w:type="dxa"/>
            <w:gridSpan w:val="3"/>
            <w:vAlign w:val="center"/>
          </w:tcPr>
          <w:p>
            <w:pPr>
              <w:keepNext/>
              <w:keepLines/>
              <w:tabs>
                <w:tab w:val="right" w:leader="dot" w:pos="8296"/>
              </w:tabs>
              <w:snapToGrid w:val="0"/>
              <w:ind w:firstLine="723"/>
              <w:contextualSpacing/>
              <w:jc w:val="center"/>
              <w:outlineLvl w:val="0"/>
              <w:rPr>
                <w:rFonts w:ascii="Times New Roman" w:hAnsi="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2519" w:type="dxa"/>
            <w:vAlign w:val="center"/>
          </w:tcPr>
          <w:p>
            <w:pPr>
              <w:snapToGrid w:val="0"/>
              <w:jc w:val="center"/>
              <w:rPr>
                <w:rFonts w:ascii="Times New Roman" w:hAnsi="Times New Roman"/>
                <w:color w:val="auto"/>
                <w:sz w:val="24"/>
              </w:rPr>
            </w:pPr>
            <w:r>
              <w:rPr>
                <w:rFonts w:hint="eastAsia" w:ascii="Times New Roman" w:hAnsi="Times New Roman"/>
                <w:color w:val="auto"/>
                <w:sz w:val="24"/>
              </w:rPr>
              <w:t>境外开户银行地址</w:t>
            </w:r>
          </w:p>
          <w:p>
            <w:pPr>
              <w:snapToGrid w:val="0"/>
              <w:jc w:val="center"/>
              <w:rPr>
                <w:rFonts w:ascii="Times New Roman" w:hAnsi="Times New Roman"/>
                <w:color w:val="auto"/>
                <w:sz w:val="24"/>
              </w:rPr>
            </w:pPr>
            <w:r>
              <w:rPr>
                <w:rFonts w:hint="eastAsia" w:ascii="Times New Roman" w:hAnsi="Times New Roman"/>
                <w:color w:val="auto"/>
                <w:sz w:val="24"/>
              </w:rPr>
              <w:t>（中文或英文）</w:t>
            </w:r>
          </w:p>
        </w:tc>
        <w:tc>
          <w:tcPr>
            <w:tcW w:w="6864" w:type="dxa"/>
            <w:gridSpan w:val="3"/>
            <w:vAlign w:val="center"/>
          </w:tcPr>
          <w:p>
            <w:pPr>
              <w:keepNext/>
              <w:keepLines/>
              <w:tabs>
                <w:tab w:val="right" w:leader="dot" w:pos="8296"/>
              </w:tabs>
              <w:snapToGrid w:val="0"/>
              <w:ind w:firstLine="723"/>
              <w:contextualSpacing/>
              <w:jc w:val="center"/>
              <w:outlineLvl w:val="0"/>
              <w:rPr>
                <w:rFonts w:ascii="Times New Roman" w:hAnsi="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9383"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b/>
                <w:color w:val="auto"/>
                <w:sz w:val="24"/>
              </w:rPr>
            </w:pPr>
            <w:r>
              <w:rPr>
                <w:rFonts w:hint="eastAsia" w:ascii="Times New Roman" w:hAnsi="Times New Roman"/>
                <w:b/>
                <w:color w:val="auto"/>
                <w:sz w:val="24"/>
              </w:rPr>
              <w:t>外汇局登记情况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2" w:hRule="atLeast"/>
          <w:jc w:val="center"/>
        </w:trPr>
        <w:tc>
          <w:tcPr>
            <w:tcW w:w="9383"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olor w:val="auto"/>
                <w:sz w:val="24"/>
              </w:rPr>
            </w:pPr>
            <w:r>
              <w:rPr>
                <w:rFonts w:hint="eastAsia" w:ascii="Times New Roman" w:hAnsi="Times New Roman"/>
                <w:color w:val="auto"/>
                <w:sz w:val="24"/>
              </w:rPr>
              <w:t>□年度累计收入存放境外规模为。</w:t>
            </w:r>
          </w:p>
          <w:p>
            <w:pPr>
              <w:rPr>
                <w:rFonts w:ascii="Times New Roman" w:hAnsi="Times New Roman"/>
                <w:color w:val="auto"/>
                <w:sz w:val="24"/>
                <w:u w:val="single"/>
              </w:rPr>
            </w:pPr>
            <w:r>
              <w:rPr>
                <w:rFonts w:hint="eastAsia" w:ascii="Times New Roman" w:hAnsi="Times New Roman"/>
                <w:color w:val="auto"/>
                <w:sz w:val="24"/>
              </w:rPr>
              <w:t>□成员公司统一社会信用代码：</w:t>
            </w:r>
          </w:p>
          <w:p>
            <w:pPr>
              <w:rPr>
                <w:rFonts w:ascii="Times New Roman" w:hAnsi="Times New Roman"/>
                <w:color w:val="auto"/>
                <w:sz w:val="24"/>
              </w:rPr>
            </w:pPr>
            <w:r>
              <w:rPr>
                <w:rFonts w:hint="eastAsia" w:ascii="Times New Roman" w:hAnsi="Times New Roman"/>
                <w:color w:val="auto"/>
                <w:sz w:val="24"/>
              </w:rPr>
              <w:t>。</w:t>
            </w:r>
          </w:p>
          <w:p>
            <w:pPr>
              <w:rPr>
                <w:rFonts w:ascii="Times New Roman" w:hAnsi="Times New Roman"/>
                <w:color w:val="auto"/>
                <w:sz w:val="24"/>
              </w:rPr>
            </w:pPr>
            <w:r>
              <w:rPr>
                <w:rFonts w:hint="eastAsia" w:ascii="Times New Roman" w:hAnsi="Times New Roman"/>
                <w:color w:val="auto"/>
                <w:sz w:val="24"/>
              </w:rPr>
              <w:t>□同意企业在上述银行开立收入存放境外账户。</w:t>
            </w:r>
          </w:p>
          <w:p>
            <w:pPr>
              <w:rPr>
                <w:rFonts w:ascii="Times New Roman" w:hAnsi="Times New Roman"/>
                <w:color w:val="auto"/>
                <w:sz w:val="24"/>
                <w:u w:val="single"/>
              </w:rPr>
            </w:pPr>
            <w:r>
              <w:rPr>
                <w:rFonts w:hint="eastAsia" w:ascii="Times New Roman" w:hAnsi="Times New Roman"/>
                <w:color w:val="auto"/>
                <w:sz w:val="24"/>
              </w:rPr>
              <w:t>□其他：。</w:t>
            </w:r>
          </w:p>
          <w:p>
            <w:pPr>
              <w:keepNext/>
              <w:keepLines/>
              <w:snapToGrid w:val="0"/>
              <w:spacing w:before="260" w:after="260"/>
              <w:jc w:val="center"/>
              <w:outlineLvl w:val="2"/>
              <w:rPr>
                <w:rFonts w:ascii="Times New Roman" w:hAnsi="Times New Roman"/>
                <w:color w:val="auto"/>
                <w:sz w:val="24"/>
              </w:rPr>
            </w:pPr>
          </w:p>
          <w:p>
            <w:pPr>
              <w:rPr>
                <w:rFonts w:ascii="Times New Roman" w:hAnsi="Times New Roman"/>
                <w:color w:val="auto"/>
                <w:sz w:val="24"/>
              </w:rPr>
            </w:pPr>
            <w:r>
              <w:rPr>
                <w:rFonts w:hint="eastAsia" w:ascii="Times New Roman" w:hAnsi="Times New Roman"/>
                <w:color w:val="auto"/>
                <w:sz w:val="24"/>
              </w:rPr>
              <w:t>外汇局（盖章）</w:t>
            </w:r>
          </w:p>
          <w:p>
            <w:pPr>
              <w:jc w:val="center"/>
              <w:rPr>
                <w:rFonts w:ascii="Times New Roman" w:hAnsi="Times New Roman"/>
                <w:color w:val="auto"/>
                <w:sz w:val="24"/>
              </w:rPr>
            </w:pPr>
            <w:r>
              <w:rPr>
                <w:rFonts w:hint="eastAsia" w:ascii="Times New Roman" w:hAnsi="Times New Roman"/>
                <w:color w:val="auto"/>
                <w:sz w:val="24"/>
              </w:rPr>
              <w:t>经办人：复核人：</w:t>
            </w:r>
          </w:p>
          <w:p>
            <w:pPr>
              <w:jc w:val="center"/>
              <w:rPr>
                <w:rFonts w:ascii="Times New Roman" w:hAnsi="Times New Roman"/>
                <w:color w:val="auto"/>
                <w:sz w:val="24"/>
              </w:rPr>
            </w:pPr>
            <w:r>
              <w:rPr>
                <w:rFonts w:hint="eastAsia" w:ascii="Times New Roman" w:hAnsi="Times New Roman"/>
                <w:color w:val="auto"/>
                <w:sz w:val="24"/>
              </w:rPr>
              <w:t>联系电话：</w:t>
            </w:r>
          </w:p>
          <w:p>
            <w:pPr>
              <w:jc w:val="center"/>
              <w:rPr>
                <w:rFonts w:ascii="Times New Roman" w:hAnsi="Times New Roman"/>
                <w:color w:val="auto"/>
                <w:sz w:val="24"/>
              </w:rPr>
            </w:pPr>
            <w:r>
              <w:rPr>
                <w:rFonts w:hint="eastAsia" w:ascii="Times New Roman" w:hAnsi="Times New Roman"/>
                <w:color w:val="auto"/>
                <w:sz w:val="24"/>
              </w:rPr>
              <w:t>年月日</w:t>
            </w:r>
          </w:p>
        </w:tc>
      </w:tr>
    </w:tbl>
    <w:p>
      <w:pPr>
        <w:jc w:val="center"/>
        <w:rPr>
          <w:rFonts w:ascii="Times New Roman" w:hAnsi="Times New Roman"/>
          <w:color w:val="auto"/>
          <w:sz w:val="24"/>
        </w:rPr>
      </w:pPr>
      <w:r>
        <w:rPr>
          <w:rFonts w:hint="eastAsia" w:ascii="Times New Roman" w:hAnsi="Times New Roman"/>
          <w:color w:val="auto"/>
          <w:sz w:val="24"/>
        </w:rPr>
        <w:t>（一式两联第一联：企业留存联第二联：外汇局留存联）</w:t>
      </w:r>
    </w:p>
    <w:p>
      <w:pPr>
        <w:rPr>
          <w:rFonts w:ascii="Times New Roman" w:hAnsi="Times New Roman" w:cs="Times New Roman"/>
          <w:color w:val="auto"/>
        </w:rPr>
      </w:pPr>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Noto Sans Mono CJK JP Regular">
    <w:altName w:val="微软雅黑"/>
    <w:panose1 w:val="00000000000000000000"/>
    <w:charset w:val="00"/>
    <w:family w:val="auto"/>
    <w:pitch w:val="default"/>
    <w:sig w:usb0="00000000" w:usb1="00000000" w:usb2="00000000" w:usb3="00000000" w:csb0="00040001" w:csb1="00000000"/>
  </w:font>
  <w:font w:name="仿宋_GB2312">
    <w:altName w:val="仿宋"/>
    <w:panose1 w:val="02010609030101010101"/>
    <w:charset w:val="86"/>
    <w:family w:val="auto"/>
    <w:pitch w:val="default"/>
    <w:sig w:usb0="00000001" w:usb1="080E0000" w:usb2="00000000" w:usb3="00000000" w:csb0="00040000" w:csb1="00000000"/>
  </w:font>
  <w:font w:name="方正小标宋_GBK">
    <w:altName w:val="微软雅黑"/>
    <w:panose1 w:val="03000509000000000000"/>
    <w:charset w:val="86"/>
    <w:family w:val="auto"/>
    <w:pitch w:val="default"/>
    <w:sig w:usb0="00000001" w:usb1="080E0000" w:usb2="00000000" w:usb3="00000000" w:csb0="00040000" w:csb1="00000000"/>
  </w:font>
  <w:font w:name="仿宋GB2312">
    <w:altName w:val="仿宋"/>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jc w:val="center"/>
    </w:pPr>
    <w:r>
      <w:fldChar w:fldCharType="begin"/>
    </w:r>
    <w:r>
      <w:instrText xml:space="preserve"> PAGE   \* MERGEFORMAT </w:instrText>
    </w:r>
    <w:r>
      <w:fldChar w:fldCharType="separate"/>
    </w:r>
    <w:r>
      <w:rPr>
        <w:lang w:val="zh-CN"/>
      </w:rPr>
      <w:t>1</w:t>
    </w:r>
    <w:r>
      <w:rPr>
        <w:lang w:val="zh-CN"/>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jc w:val="center"/>
    </w:pPr>
    <w:r>
      <w:fldChar w:fldCharType="begin"/>
    </w:r>
    <w:r>
      <w:instrText xml:space="preserve"> PAGE   \* MERGEFORMAT </w:instrText>
    </w:r>
    <w:r>
      <w:fldChar w:fldCharType="separate"/>
    </w:r>
    <w:r>
      <w:rPr>
        <w:lang w:val="zh-CN"/>
      </w:rPr>
      <w:t>14</w:t>
    </w:r>
    <w:r>
      <w:rPr>
        <w:lang w:val="zh-CN"/>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717135258">
    <w:nsid w:val="6659679A"/>
    <w:multiLevelType w:val="singleLevel"/>
    <w:tmpl w:val="6659679A"/>
    <w:lvl w:ilvl="0" w:tentative="1">
      <w:start w:val="1"/>
      <w:numFmt w:val="chineseCounting"/>
      <w:suff w:val="nothing"/>
      <w:lvlText w:val="%1、"/>
      <w:lvlJc w:val="left"/>
      <w:rPr>
        <w:rFonts w:hint="eastAsia"/>
      </w:rPr>
    </w:lvl>
  </w:abstractNum>
  <w:abstractNum w:abstractNumId="4025682833">
    <w:nsid w:val="EFF30B91"/>
    <w:multiLevelType w:val="singleLevel"/>
    <w:tmpl w:val="EFF30B91"/>
    <w:lvl w:ilvl="0" w:tentative="1">
      <w:start w:val="1"/>
      <w:numFmt w:val="chineseCounting"/>
      <w:suff w:val="nothing"/>
      <w:lvlText w:val="%1、"/>
      <w:lvlJc w:val="left"/>
      <w:rPr>
        <w:rFonts w:hint="eastAsia"/>
      </w:rPr>
    </w:lvl>
  </w:abstractNum>
  <w:num w:numId="1">
    <w:abstractNumId w:val="4025682833"/>
  </w:num>
  <w:num w:numId="2">
    <w:abstractNumId w:val="17171352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GQ4YjIwYjI4ZmE4OWQ2YmE1MDViYjU3ZGNiYjhlODIifQ=="/>
  </w:docVars>
  <w:rsids>
    <w:rsidRoot w:val="009B19B3"/>
    <w:rsid w:val="000003C0"/>
    <w:rsid w:val="000021D6"/>
    <w:rsid w:val="00004BD5"/>
    <w:rsid w:val="00007A67"/>
    <w:rsid w:val="000233D5"/>
    <w:rsid w:val="00027E45"/>
    <w:rsid w:val="000351A4"/>
    <w:rsid w:val="00037A07"/>
    <w:rsid w:val="0004414D"/>
    <w:rsid w:val="00050681"/>
    <w:rsid w:val="00061C5F"/>
    <w:rsid w:val="000652D6"/>
    <w:rsid w:val="00070716"/>
    <w:rsid w:val="000B0E34"/>
    <w:rsid w:val="000D3467"/>
    <w:rsid w:val="000D61BB"/>
    <w:rsid w:val="000E2AD6"/>
    <w:rsid w:val="000E2D98"/>
    <w:rsid w:val="000E55BC"/>
    <w:rsid w:val="000E5910"/>
    <w:rsid w:val="000F1C17"/>
    <w:rsid w:val="000F24B5"/>
    <w:rsid w:val="00102A7C"/>
    <w:rsid w:val="00106460"/>
    <w:rsid w:val="001156C5"/>
    <w:rsid w:val="001172B3"/>
    <w:rsid w:val="00134BF3"/>
    <w:rsid w:val="00140DE8"/>
    <w:rsid w:val="001418D3"/>
    <w:rsid w:val="001437E6"/>
    <w:rsid w:val="00154329"/>
    <w:rsid w:val="00163202"/>
    <w:rsid w:val="001870AC"/>
    <w:rsid w:val="00193A89"/>
    <w:rsid w:val="00195B37"/>
    <w:rsid w:val="001A1E83"/>
    <w:rsid w:val="001A61DE"/>
    <w:rsid w:val="001C084E"/>
    <w:rsid w:val="001C2B84"/>
    <w:rsid w:val="001C3568"/>
    <w:rsid w:val="001C4BB1"/>
    <w:rsid w:val="001D095F"/>
    <w:rsid w:val="001D2DD9"/>
    <w:rsid w:val="001D56F0"/>
    <w:rsid w:val="001D5C07"/>
    <w:rsid w:val="001E37D7"/>
    <w:rsid w:val="001F1B4B"/>
    <w:rsid w:val="001F2A75"/>
    <w:rsid w:val="00212F1A"/>
    <w:rsid w:val="00215F91"/>
    <w:rsid w:val="002178A9"/>
    <w:rsid w:val="002226D7"/>
    <w:rsid w:val="0023361F"/>
    <w:rsid w:val="00233CB8"/>
    <w:rsid w:val="00233F9E"/>
    <w:rsid w:val="00235C6D"/>
    <w:rsid w:val="002453CB"/>
    <w:rsid w:val="00253212"/>
    <w:rsid w:val="00254875"/>
    <w:rsid w:val="00256B77"/>
    <w:rsid w:val="002654CB"/>
    <w:rsid w:val="00266E25"/>
    <w:rsid w:val="00273E50"/>
    <w:rsid w:val="002756E4"/>
    <w:rsid w:val="002A0834"/>
    <w:rsid w:val="002B0553"/>
    <w:rsid w:val="002B05F7"/>
    <w:rsid w:val="002B3F08"/>
    <w:rsid w:val="002B4E65"/>
    <w:rsid w:val="002C7EAF"/>
    <w:rsid w:val="002F2577"/>
    <w:rsid w:val="002F6202"/>
    <w:rsid w:val="00316E50"/>
    <w:rsid w:val="00316F0E"/>
    <w:rsid w:val="00321272"/>
    <w:rsid w:val="00325547"/>
    <w:rsid w:val="00326B8C"/>
    <w:rsid w:val="003314E4"/>
    <w:rsid w:val="00331E1E"/>
    <w:rsid w:val="003371EB"/>
    <w:rsid w:val="00337ED9"/>
    <w:rsid w:val="00345800"/>
    <w:rsid w:val="003508A5"/>
    <w:rsid w:val="00354A7C"/>
    <w:rsid w:val="00364BB9"/>
    <w:rsid w:val="00377012"/>
    <w:rsid w:val="00387FD0"/>
    <w:rsid w:val="00396CD5"/>
    <w:rsid w:val="003A1721"/>
    <w:rsid w:val="003A2E79"/>
    <w:rsid w:val="003A4630"/>
    <w:rsid w:val="003A496B"/>
    <w:rsid w:val="003B1325"/>
    <w:rsid w:val="003B6057"/>
    <w:rsid w:val="003C3480"/>
    <w:rsid w:val="003C5C1F"/>
    <w:rsid w:val="003D1EDA"/>
    <w:rsid w:val="003D1F9B"/>
    <w:rsid w:val="003D2BBB"/>
    <w:rsid w:val="003D3BB2"/>
    <w:rsid w:val="003D7B66"/>
    <w:rsid w:val="00404086"/>
    <w:rsid w:val="0040580D"/>
    <w:rsid w:val="00413782"/>
    <w:rsid w:val="00417C88"/>
    <w:rsid w:val="004311DF"/>
    <w:rsid w:val="00436919"/>
    <w:rsid w:val="00437717"/>
    <w:rsid w:val="0044021E"/>
    <w:rsid w:val="00445A64"/>
    <w:rsid w:val="0045411C"/>
    <w:rsid w:val="004573E4"/>
    <w:rsid w:val="00460F9A"/>
    <w:rsid w:val="004735FC"/>
    <w:rsid w:val="004924A7"/>
    <w:rsid w:val="004935B2"/>
    <w:rsid w:val="00497B08"/>
    <w:rsid w:val="00497FC6"/>
    <w:rsid w:val="004A6503"/>
    <w:rsid w:val="004B1BDA"/>
    <w:rsid w:val="004B3A9F"/>
    <w:rsid w:val="004C5477"/>
    <w:rsid w:val="004D3F83"/>
    <w:rsid w:val="004E4AD4"/>
    <w:rsid w:val="004E746C"/>
    <w:rsid w:val="004E7E2D"/>
    <w:rsid w:val="00512742"/>
    <w:rsid w:val="00512786"/>
    <w:rsid w:val="00514ABC"/>
    <w:rsid w:val="005263C0"/>
    <w:rsid w:val="00544909"/>
    <w:rsid w:val="00551A5A"/>
    <w:rsid w:val="0056706F"/>
    <w:rsid w:val="00567128"/>
    <w:rsid w:val="005845DF"/>
    <w:rsid w:val="00584DF2"/>
    <w:rsid w:val="0058649D"/>
    <w:rsid w:val="00593352"/>
    <w:rsid w:val="00595487"/>
    <w:rsid w:val="005A32AB"/>
    <w:rsid w:val="005A3A70"/>
    <w:rsid w:val="005A61D4"/>
    <w:rsid w:val="005B322C"/>
    <w:rsid w:val="005C4A17"/>
    <w:rsid w:val="005E1F6F"/>
    <w:rsid w:val="005E6464"/>
    <w:rsid w:val="005F1522"/>
    <w:rsid w:val="005F1DCD"/>
    <w:rsid w:val="005F3C89"/>
    <w:rsid w:val="005F5952"/>
    <w:rsid w:val="006017F9"/>
    <w:rsid w:val="00603617"/>
    <w:rsid w:val="00611E81"/>
    <w:rsid w:val="0064768C"/>
    <w:rsid w:val="006509E6"/>
    <w:rsid w:val="00654AA7"/>
    <w:rsid w:val="006553EF"/>
    <w:rsid w:val="006603EC"/>
    <w:rsid w:val="006667EE"/>
    <w:rsid w:val="006675D3"/>
    <w:rsid w:val="00673F17"/>
    <w:rsid w:val="00675C64"/>
    <w:rsid w:val="006847AE"/>
    <w:rsid w:val="00693E03"/>
    <w:rsid w:val="00696646"/>
    <w:rsid w:val="00696A7B"/>
    <w:rsid w:val="006B1D92"/>
    <w:rsid w:val="006B28AD"/>
    <w:rsid w:val="006B3076"/>
    <w:rsid w:val="006B5EF5"/>
    <w:rsid w:val="006B6370"/>
    <w:rsid w:val="006B71D2"/>
    <w:rsid w:val="006C4C39"/>
    <w:rsid w:val="006C5121"/>
    <w:rsid w:val="006D3427"/>
    <w:rsid w:val="006D6A5B"/>
    <w:rsid w:val="006E7C82"/>
    <w:rsid w:val="006F61C6"/>
    <w:rsid w:val="0071311B"/>
    <w:rsid w:val="007157B6"/>
    <w:rsid w:val="0072541C"/>
    <w:rsid w:val="00732949"/>
    <w:rsid w:val="0073340E"/>
    <w:rsid w:val="00735659"/>
    <w:rsid w:val="00735A28"/>
    <w:rsid w:val="007510E5"/>
    <w:rsid w:val="007544BC"/>
    <w:rsid w:val="007632A0"/>
    <w:rsid w:val="007634FF"/>
    <w:rsid w:val="0076451B"/>
    <w:rsid w:val="007704CD"/>
    <w:rsid w:val="0078686C"/>
    <w:rsid w:val="00795D93"/>
    <w:rsid w:val="007A1978"/>
    <w:rsid w:val="007B0E48"/>
    <w:rsid w:val="007B0EBE"/>
    <w:rsid w:val="007B6675"/>
    <w:rsid w:val="007D1D7B"/>
    <w:rsid w:val="007E7441"/>
    <w:rsid w:val="007F233E"/>
    <w:rsid w:val="0080044E"/>
    <w:rsid w:val="0081373A"/>
    <w:rsid w:val="00815287"/>
    <w:rsid w:val="00824D07"/>
    <w:rsid w:val="008269C3"/>
    <w:rsid w:val="00827911"/>
    <w:rsid w:val="00832D42"/>
    <w:rsid w:val="00833A95"/>
    <w:rsid w:val="00834DF4"/>
    <w:rsid w:val="00837990"/>
    <w:rsid w:val="00841DE9"/>
    <w:rsid w:val="00842C2F"/>
    <w:rsid w:val="00846D5D"/>
    <w:rsid w:val="00864463"/>
    <w:rsid w:val="00865B37"/>
    <w:rsid w:val="00871300"/>
    <w:rsid w:val="00871BB2"/>
    <w:rsid w:val="0087457D"/>
    <w:rsid w:val="008767C3"/>
    <w:rsid w:val="00876926"/>
    <w:rsid w:val="008A068A"/>
    <w:rsid w:val="008A0A76"/>
    <w:rsid w:val="008A53DB"/>
    <w:rsid w:val="008A6143"/>
    <w:rsid w:val="008A6DDB"/>
    <w:rsid w:val="008A6EEC"/>
    <w:rsid w:val="008B019D"/>
    <w:rsid w:val="008B4359"/>
    <w:rsid w:val="008C33D3"/>
    <w:rsid w:val="008D285E"/>
    <w:rsid w:val="008E0D30"/>
    <w:rsid w:val="008E324F"/>
    <w:rsid w:val="008E57E6"/>
    <w:rsid w:val="008E6700"/>
    <w:rsid w:val="008F3E08"/>
    <w:rsid w:val="008F5475"/>
    <w:rsid w:val="00916523"/>
    <w:rsid w:val="009245CA"/>
    <w:rsid w:val="009347F8"/>
    <w:rsid w:val="009379DE"/>
    <w:rsid w:val="00945AC3"/>
    <w:rsid w:val="009516B1"/>
    <w:rsid w:val="009545B6"/>
    <w:rsid w:val="009568D7"/>
    <w:rsid w:val="00960764"/>
    <w:rsid w:val="009640DB"/>
    <w:rsid w:val="00966422"/>
    <w:rsid w:val="00970C40"/>
    <w:rsid w:val="009732FA"/>
    <w:rsid w:val="00976900"/>
    <w:rsid w:val="00977A16"/>
    <w:rsid w:val="00981057"/>
    <w:rsid w:val="00984619"/>
    <w:rsid w:val="009849B6"/>
    <w:rsid w:val="00985C45"/>
    <w:rsid w:val="00986690"/>
    <w:rsid w:val="0098731F"/>
    <w:rsid w:val="009976AB"/>
    <w:rsid w:val="009A32EE"/>
    <w:rsid w:val="009A6053"/>
    <w:rsid w:val="009B0566"/>
    <w:rsid w:val="009B19B3"/>
    <w:rsid w:val="009B4EC4"/>
    <w:rsid w:val="009D2CA3"/>
    <w:rsid w:val="009D7865"/>
    <w:rsid w:val="009F0EE6"/>
    <w:rsid w:val="00A011E0"/>
    <w:rsid w:val="00A019DC"/>
    <w:rsid w:val="00A053EC"/>
    <w:rsid w:val="00A20682"/>
    <w:rsid w:val="00A20869"/>
    <w:rsid w:val="00A21B4B"/>
    <w:rsid w:val="00A23CC9"/>
    <w:rsid w:val="00A31633"/>
    <w:rsid w:val="00A333A8"/>
    <w:rsid w:val="00A33C4E"/>
    <w:rsid w:val="00A42BA0"/>
    <w:rsid w:val="00A437F1"/>
    <w:rsid w:val="00A4638A"/>
    <w:rsid w:val="00A56380"/>
    <w:rsid w:val="00A724BB"/>
    <w:rsid w:val="00A76F2C"/>
    <w:rsid w:val="00A828DC"/>
    <w:rsid w:val="00A85917"/>
    <w:rsid w:val="00A86C39"/>
    <w:rsid w:val="00AA2782"/>
    <w:rsid w:val="00AB1454"/>
    <w:rsid w:val="00AC2C69"/>
    <w:rsid w:val="00AD6356"/>
    <w:rsid w:val="00AD7F95"/>
    <w:rsid w:val="00AE1454"/>
    <w:rsid w:val="00AE1E55"/>
    <w:rsid w:val="00AF3753"/>
    <w:rsid w:val="00AF57E1"/>
    <w:rsid w:val="00B03FA1"/>
    <w:rsid w:val="00B047C5"/>
    <w:rsid w:val="00B063D5"/>
    <w:rsid w:val="00B11981"/>
    <w:rsid w:val="00B14564"/>
    <w:rsid w:val="00B150F1"/>
    <w:rsid w:val="00B1706B"/>
    <w:rsid w:val="00B241DC"/>
    <w:rsid w:val="00B24922"/>
    <w:rsid w:val="00B327C8"/>
    <w:rsid w:val="00B35ADB"/>
    <w:rsid w:val="00B37501"/>
    <w:rsid w:val="00B43476"/>
    <w:rsid w:val="00B44E28"/>
    <w:rsid w:val="00B525C6"/>
    <w:rsid w:val="00B61130"/>
    <w:rsid w:val="00B614A1"/>
    <w:rsid w:val="00B73A28"/>
    <w:rsid w:val="00B84802"/>
    <w:rsid w:val="00B87216"/>
    <w:rsid w:val="00B94AEF"/>
    <w:rsid w:val="00BA5B48"/>
    <w:rsid w:val="00BB3C0B"/>
    <w:rsid w:val="00BB6FB7"/>
    <w:rsid w:val="00BB71AE"/>
    <w:rsid w:val="00BC4ACD"/>
    <w:rsid w:val="00BD1960"/>
    <w:rsid w:val="00BE47E8"/>
    <w:rsid w:val="00BF58A4"/>
    <w:rsid w:val="00BF69EA"/>
    <w:rsid w:val="00C01288"/>
    <w:rsid w:val="00C20EC9"/>
    <w:rsid w:val="00C266D2"/>
    <w:rsid w:val="00C26BC0"/>
    <w:rsid w:val="00C314B5"/>
    <w:rsid w:val="00C31ECE"/>
    <w:rsid w:val="00C34F82"/>
    <w:rsid w:val="00C4111F"/>
    <w:rsid w:val="00C5180B"/>
    <w:rsid w:val="00C545CE"/>
    <w:rsid w:val="00C5521A"/>
    <w:rsid w:val="00C57574"/>
    <w:rsid w:val="00C659B4"/>
    <w:rsid w:val="00C66EDA"/>
    <w:rsid w:val="00C71261"/>
    <w:rsid w:val="00C903FE"/>
    <w:rsid w:val="00C90E8C"/>
    <w:rsid w:val="00C95743"/>
    <w:rsid w:val="00CA4D41"/>
    <w:rsid w:val="00CA5928"/>
    <w:rsid w:val="00CB1ED8"/>
    <w:rsid w:val="00CB751C"/>
    <w:rsid w:val="00CC02F5"/>
    <w:rsid w:val="00CC2FE6"/>
    <w:rsid w:val="00CD6F3B"/>
    <w:rsid w:val="00CE1482"/>
    <w:rsid w:val="00CE55F6"/>
    <w:rsid w:val="00CF249D"/>
    <w:rsid w:val="00CF5E83"/>
    <w:rsid w:val="00D007CE"/>
    <w:rsid w:val="00D01106"/>
    <w:rsid w:val="00D07C35"/>
    <w:rsid w:val="00D143B3"/>
    <w:rsid w:val="00D16C12"/>
    <w:rsid w:val="00D224E4"/>
    <w:rsid w:val="00D3006E"/>
    <w:rsid w:val="00D327EC"/>
    <w:rsid w:val="00D3615F"/>
    <w:rsid w:val="00D402BA"/>
    <w:rsid w:val="00D408D0"/>
    <w:rsid w:val="00D55E8C"/>
    <w:rsid w:val="00D80592"/>
    <w:rsid w:val="00D81AB8"/>
    <w:rsid w:val="00D85E50"/>
    <w:rsid w:val="00D92ED1"/>
    <w:rsid w:val="00DA5B01"/>
    <w:rsid w:val="00DB2D9A"/>
    <w:rsid w:val="00DD10B4"/>
    <w:rsid w:val="00DD4792"/>
    <w:rsid w:val="00DD6A30"/>
    <w:rsid w:val="00DE791B"/>
    <w:rsid w:val="00DF15BD"/>
    <w:rsid w:val="00DF7356"/>
    <w:rsid w:val="00E02AE9"/>
    <w:rsid w:val="00E049C8"/>
    <w:rsid w:val="00E129F8"/>
    <w:rsid w:val="00E144BB"/>
    <w:rsid w:val="00E27EE9"/>
    <w:rsid w:val="00E30DEB"/>
    <w:rsid w:val="00E33EFE"/>
    <w:rsid w:val="00E430A6"/>
    <w:rsid w:val="00E46A26"/>
    <w:rsid w:val="00E505E0"/>
    <w:rsid w:val="00E55B0D"/>
    <w:rsid w:val="00E61CED"/>
    <w:rsid w:val="00E645AF"/>
    <w:rsid w:val="00E75B2F"/>
    <w:rsid w:val="00E77119"/>
    <w:rsid w:val="00E92470"/>
    <w:rsid w:val="00E955CC"/>
    <w:rsid w:val="00EA12C1"/>
    <w:rsid w:val="00EA2A2D"/>
    <w:rsid w:val="00EA3634"/>
    <w:rsid w:val="00EA5CDF"/>
    <w:rsid w:val="00EA6B80"/>
    <w:rsid w:val="00EB156E"/>
    <w:rsid w:val="00EB574D"/>
    <w:rsid w:val="00EB6DFA"/>
    <w:rsid w:val="00EC0133"/>
    <w:rsid w:val="00EC36EB"/>
    <w:rsid w:val="00EC7A79"/>
    <w:rsid w:val="00ED3C09"/>
    <w:rsid w:val="00EE1E1E"/>
    <w:rsid w:val="00EE29F0"/>
    <w:rsid w:val="00EE36F3"/>
    <w:rsid w:val="00EE69DD"/>
    <w:rsid w:val="00EF5BC8"/>
    <w:rsid w:val="00F005E2"/>
    <w:rsid w:val="00F10FD7"/>
    <w:rsid w:val="00F16F75"/>
    <w:rsid w:val="00F201F4"/>
    <w:rsid w:val="00F21D92"/>
    <w:rsid w:val="00F32657"/>
    <w:rsid w:val="00F36247"/>
    <w:rsid w:val="00F405D0"/>
    <w:rsid w:val="00F4072A"/>
    <w:rsid w:val="00F416D6"/>
    <w:rsid w:val="00F424E1"/>
    <w:rsid w:val="00F45FB3"/>
    <w:rsid w:val="00F50CE9"/>
    <w:rsid w:val="00F52218"/>
    <w:rsid w:val="00F53245"/>
    <w:rsid w:val="00F5552D"/>
    <w:rsid w:val="00F61D32"/>
    <w:rsid w:val="00F622F9"/>
    <w:rsid w:val="00F62A8B"/>
    <w:rsid w:val="00F6439F"/>
    <w:rsid w:val="00F8030E"/>
    <w:rsid w:val="00F8305D"/>
    <w:rsid w:val="00F85E60"/>
    <w:rsid w:val="00F87754"/>
    <w:rsid w:val="00FA48B7"/>
    <w:rsid w:val="00FC6843"/>
    <w:rsid w:val="00FC754C"/>
    <w:rsid w:val="00FD19D2"/>
    <w:rsid w:val="00FF083E"/>
    <w:rsid w:val="00FF35CC"/>
    <w:rsid w:val="0224099A"/>
    <w:rsid w:val="02961C63"/>
    <w:rsid w:val="067F2731"/>
    <w:rsid w:val="0CE919B0"/>
    <w:rsid w:val="0EEC5902"/>
    <w:rsid w:val="0F946FD9"/>
    <w:rsid w:val="0FAF3253"/>
    <w:rsid w:val="11311F96"/>
    <w:rsid w:val="17046B3B"/>
    <w:rsid w:val="1CDB3593"/>
    <w:rsid w:val="20603A0B"/>
    <w:rsid w:val="2406637B"/>
    <w:rsid w:val="254914F1"/>
    <w:rsid w:val="31E737FB"/>
    <w:rsid w:val="36A130A2"/>
    <w:rsid w:val="37130C08"/>
    <w:rsid w:val="38513A6E"/>
    <w:rsid w:val="3996388A"/>
    <w:rsid w:val="3C0D722D"/>
    <w:rsid w:val="3DF9176C"/>
    <w:rsid w:val="3F5E7477"/>
    <w:rsid w:val="3F821FA5"/>
    <w:rsid w:val="408940CF"/>
    <w:rsid w:val="40922C25"/>
    <w:rsid w:val="41505B03"/>
    <w:rsid w:val="41F44A83"/>
    <w:rsid w:val="43B50191"/>
    <w:rsid w:val="43F40AC5"/>
    <w:rsid w:val="447B0B22"/>
    <w:rsid w:val="447D46FE"/>
    <w:rsid w:val="46505364"/>
    <w:rsid w:val="47616255"/>
    <w:rsid w:val="48892395"/>
    <w:rsid w:val="4D154BD9"/>
    <w:rsid w:val="4FCA2B9D"/>
    <w:rsid w:val="51AE3A7D"/>
    <w:rsid w:val="52566D98"/>
    <w:rsid w:val="5658251B"/>
    <w:rsid w:val="5D95430B"/>
    <w:rsid w:val="5DA614D2"/>
    <w:rsid w:val="618D7B3F"/>
    <w:rsid w:val="619A694B"/>
    <w:rsid w:val="63F03E69"/>
    <w:rsid w:val="689D5A4F"/>
    <w:rsid w:val="6C6D76D3"/>
    <w:rsid w:val="6CD4630E"/>
    <w:rsid w:val="73433371"/>
    <w:rsid w:val="74ED147C"/>
    <w:rsid w:val="767E2767"/>
    <w:rsid w:val="76D760E6"/>
    <w:rsid w:val="78513D0F"/>
    <w:rsid w:val="7A4479DC"/>
    <w:rsid w:val="7C300A71"/>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Style w:val="9"/>
      <w:tblLayout w:type="fixed"/>
      <w:tblCellMar>
        <w:top w:w="0" w:type="dxa"/>
        <w:left w:w="108" w:type="dxa"/>
        <w:bottom w:w="0" w:type="dxa"/>
        <w:right w:w="108" w:type="dxa"/>
      </w:tblCellMar>
    </w:tblPr>
    <w:tcPr>
      <w:textDirection w:val="lrTb"/>
    </w:tcPr>
  </w:style>
  <w:style w:type="paragraph" w:styleId="2">
    <w:name w:val="Body Text"/>
    <w:basedOn w:val="1"/>
    <w:unhideWhenUsed/>
    <w:qFormat/>
    <w:uiPriority w:val="99"/>
    <w:pPr>
      <w:ind w:left="1360"/>
    </w:pPr>
    <w:rPr>
      <w:sz w:val="30"/>
      <w:szCs w:val="30"/>
    </w:rPr>
  </w:style>
  <w:style w:type="paragraph" w:styleId="3">
    <w:name w:val="toc 3"/>
    <w:basedOn w:val="1"/>
    <w:next w:val="1"/>
    <w:unhideWhenUsed/>
    <w:qFormat/>
    <w:uiPriority w:val="39"/>
    <w:pPr>
      <w:ind w:left="840" w:leftChars="400"/>
    </w:pPr>
  </w:style>
  <w:style w:type="paragraph" w:styleId="4">
    <w:name w:val="Balloon Text"/>
    <w:basedOn w:val="1"/>
    <w:link w:val="17"/>
    <w:unhideWhenUsed/>
    <w:qFormat/>
    <w:uiPriority w:val="99"/>
    <w:rPr>
      <w:sz w:val="18"/>
      <w:szCs w:val="18"/>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nhideWhenUsed/>
    <w:qFormat/>
    <w:uiPriority w:val="99"/>
    <w:rPr>
      <w:color w:val="0000FF"/>
      <w:u w:val="single"/>
    </w:rPr>
  </w:style>
  <w:style w:type="table" w:styleId="10">
    <w:name w:val="Table Grid"/>
    <w:basedOn w:val="9"/>
    <w:qFormat/>
    <w:uiPriority w:val="59"/>
    <w:pPr/>
    <w:tblPr>
      <w:tblStyle w:val="9"/>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cPr>
      <w:textDirection w:val="lrTb"/>
    </w:tcPr>
  </w:style>
  <w:style w:type="paragraph" w:customStyle="1" w:styleId="11">
    <w:name w:val="List Paragraph"/>
    <w:basedOn w:val="1"/>
    <w:qFormat/>
    <w:uiPriority w:val="34"/>
    <w:pPr>
      <w:ind w:firstLine="420" w:firstLineChars="200"/>
    </w:pPr>
  </w:style>
  <w:style w:type="paragraph" w:customStyle="1" w:styleId="12">
    <w:name w:val="Revision"/>
    <w:hidden/>
    <w:semiHidden/>
    <w:qFormat/>
    <w:uiPriority w:val="99"/>
    <w:rPr>
      <w:rFonts w:ascii="Calibri" w:hAnsi="Calibri" w:eastAsia="宋体" w:cs="黑体"/>
      <w:kern w:val="2"/>
      <w:sz w:val="21"/>
      <w:szCs w:val="22"/>
      <w:lang w:val="en-US" w:eastAsia="zh-CN" w:bidi="ar-SA"/>
    </w:rPr>
  </w:style>
  <w:style w:type="paragraph" w:customStyle="1" w:styleId="13">
    <w:name w:val="Heading 1"/>
    <w:basedOn w:val="1"/>
    <w:qFormat/>
    <w:uiPriority w:val="1"/>
    <w:pPr>
      <w:spacing w:line="541" w:lineRule="exact"/>
      <w:ind w:left="1919" w:right="2017"/>
      <w:jc w:val="center"/>
      <w:outlineLvl w:val="1"/>
    </w:pPr>
    <w:rPr>
      <w:rFonts w:ascii="Noto Sans Mono CJK JP Regular" w:hAnsi="Noto Sans Mono CJK JP Regular" w:eastAsia="Noto Sans Mono CJK JP Regular" w:cs="Noto Sans Mono CJK JP Regular"/>
      <w:sz w:val="36"/>
      <w:szCs w:val="36"/>
    </w:rPr>
  </w:style>
  <w:style w:type="paragraph" w:customStyle="1" w:styleId="14">
    <w:name w:val="Table Paragraph"/>
    <w:basedOn w:val="1"/>
    <w:qFormat/>
    <w:uiPriority w:val="1"/>
  </w:style>
  <w:style w:type="character" w:customStyle="1" w:styleId="15">
    <w:name w:val="页眉 Char"/>
    <w:basedOn w:val="7"/>
    <w:link w:val="6"/>
    <w:qFormat/>
    <w:uiPriority w:val="99"/>
    <w:rPr>
      <w:sz w:val="18"/>
      <w:szCs w:val="18"/>
    </w:rPr>
  </w:style>
  <w:style w:type="character" w:customStyle="1" w:styleId="16">
    <w:name w:val="页脚 Char"/>
    <w:basedOn w:val="7"/>
    <w:link w:val="5"/>
    <w:qFormat/>
    <w:uiPriority w:val="99"/>
    <w:rPr>
      <w:sz w:val="18"/>
      <w:szCs w:val="18"/>
    </w:rPr>
  </w:style>
  <w:style w:type="character" w:customStyle="1" w:styleId="17">
    <w:name w:val="批注框文本 Char"/>
    <w:basedOn w:val="7"/>
    <w:link w:val="4"/>
    <w:semiHidden/>
    <w:qFormat/>
    <w:uiPriority w:val="99"/>
    <w:rPr>
      <w:sz w:val="18"/>
      <w:szCs w:val="18"/>
    </w:rPr>
  </w:style>
  <w:style w:type="character" w:customStyle="1" w:styleId="18">
    <w:name w:val="mini-outputtext"/>
    <w:basedOn w:val="7"/>
    <w:qFormat/>
    <w:uiPriority w:val="0"/>
    <w:rPr/>
  </w:style>
  <w:style w:type="table" w:customStyle="1" w:styleId="19">
    <w:name w:val="Table Normal"/>
    <w:unhideWhenUsed/>
    <w:qFormat/>
    <w:uiPriority w:val="2"/>
    <w:tblPr>
      <w:tblStyle w:val="9"/>
      <w:tblLayout w:type="fixed"/>
      <w:tblCellMar>
        <w:top w:w="0" w:type="dxa"/>
        <w:left w:w="0" w:type="dxa"/>
        <w:bottom w:w="0" w:type="dxa"/>
        <w:right w:w="0" w:type="dxa"/>
      </w:tblCellMar>
    </w:tblPr>
    <w:tcPr>
      <w:textDirection w:val="lrTb"/>
    </w:tcPr>
  </w:style>
</w:style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3085</Words>
  <Characters>3324</Characters>
  <Lines>41</Lines>
  <Paragraphs>11</Paragraphs>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2020-04-22T08:12:00Z</dcterms:created>
  <dc:creator>吴</dc:creator>
  <cp:lastModifiedBy>pbcnn</cp:lastModifiedBy>
  <cp:lastPrinted>2020-05-08T08:38:00Z</cp:lastPrinted>
  <dcterms:modified xsi:type="dcterms:W3CDTF">2024-10-14T03:02:48Z</dcterms:modified>
  <dc:title>编号：57001-2              </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y fmtid="{D5CDD505-2E9C-101B-9397-08002B2CF9AE}" pid="3" name="ICV">
    <vt:lpwstr>41EB7B71D6874A148DAE8EB2DC04A1FE_12</vt:lpwstr>
  </property>
</Properties>
</file>