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right="300"/>
        <w:jc w:val="left"/>
        <w:rPr>
          <w:rFonts w:hint="eastAsia"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编号：0001711020</w:t>
      </w: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10</w:t>
      </w:r>
      <w:r>
        <w:rPr>
          <w:rFonts w:hint="eastAsia" w:ascii="黑体" w:hAnsi="黑体" w:eastAsia="黑体" w:cs="黑体"/>
          <w:color w:val="auto"/>
          <w:sz w:val="30"/>
          <w:szCs w:val="30"/>
        </w:rPr>
        <w:t xml:space="preserve">             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“</w:t>
      </w:r>
      <w:r>
        <w:rPr>
          <w:rFonts w:hint="eastAsia" w:ascii="Times New Roman" w:hAnsi="Times New Roman" w:eastAsia="黑体" w:cs="Times New Roman"/>
          <w:color w:val="auto"/>
          <w:sz w:val="52"/>
          <w:szCs w:val="52"/>
        </w:rPr>
        <w:t>省级分局和计划单列市</w:t>
      </w:r>
      <w:r>
        <w:rPr>
          <w:rFonts w:hint="default" w:ascii="Times New Roman" w:hAnsi="Times New Roman" w:eastAsia="黑体" w:cs="Times New Roman"/>
          <w:color w:val="auto"/>
          <w:sz w:val="52"/>
          <w:szCs w:val="52"/>
          <w:lang w:val="en-US" w:eastAsia="zh-CN"/>
        </w:rPr>
        <w:t>分局办理的发生90天以上（不含）延期收、付款的B类企业经常项目收支登记</w:t>
      </w:r>
      <w:r>
        <w:rPr>
          <w:rFonts w:ascii="Times New Roman" w:hAnsi="Times New Roman" w:eastAsia="黑体" w:cs="Times New Roman"/>
          <w:color w:val="auto"/>
          <w:sz w:val="52"/>
          <w:szCs w:val="52"/>
        </w:rPr>
        <w:t xml:space="preserve">” </w:t>
      </w:r>
    </w:p>
    <w:p>
      <w:pPr>
        <w:ind w:right="300"/>
        <w:jc w:val="center"/>
        <w:rPr>
          <w:rFonts w:ascii="Times New Roman" w:hAnsi="Times New Roman" w:eastAsia="黑体" w:cs="Times New Roman"/>
          <w:color w:val="auto"/>
          <w:sz w:val="52"/>
          <w:szCs w:val="52"/>
        </w:rPr>
      </w:pPr>
      <w:r>
        <w:rPr>
          <w:rFonts w:ascii="Times New Roman" w:hAnsi="Times New Roman" w:eastAsia="黑体" w:cs="Times New Roman"/>
          <w:color w:val="auto"/>
          <w:sz w:val="52"/>
          <w:szCs w:val="52"/>
        </w:rPr>
        <w:t>行政审批服务指南</w:t>
      </w: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color w:val="auto"/>
          <w:sz w:val="30"/>
          <w:szCs w:val="30"/>
        </w:rPr>
      </w:pPr>
    </w:p>
    <w:p>
      <w:pPr>
        <w:ind w:right="300"/>
        <w:jc w:val="center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  <w:t>国家外汇管理局广西壮族自治区分局</w:t>
      </w:r>
    </w:p>
    <w:p>
      <w:pPr>
        <w:pStyle w:val="12"/>
        <w:widowControl w:val="0"/>
        <w:wordWrap/>
        <w:autoSpaceDE w:val="0"/>
        <w:autoSpaceDN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40"/>
          <w:szCs w:val="40"/>
          <w:lang w:val="en-US" w:eastAsia="zh-CN"/>
        </w:rPr>
      </w:pPr>
    </w:p>
    <w:p>
      <w:pPr>
        <w:ind w:right="300"/>
        <w:rPr>
          <w:rFonts w:ascii="Times New Roman" w:hAnsi="Times New Roman" w:eastAsia="仿宋_GB2312" w:cs="Times New Roman"/>
          <w:color w:val="auto"/>
          <w:sz w:val="30"/>
          <w:szCs w:val="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30"/>
          <w:szCs w:val="30"/>
        </w:rPr>
        <w:t xml:space="preserve">    </w:t>
      </w: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经常项目特定收支业务核准【00017110200Y】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省级分局和计划单列市分局办理的发生90天以上（不含）延期收、付款的B类企业经常项目收支登记【000171102010】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3.行政许可事项业务办理项名称及编码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1.省级分局和计划单列市分局办理的发生90天以上（不含）延期收、付款的B类企业经常项目收支登记(00017110201001)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（1）《国务院对确需保留的行政审批项目设定行政许可的决定》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（1）《经常项目外汇业务指引（2020年版）》（汇发〔2020〕14号文印发）第三十四条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（2）《国家外汇管理局关于进一步优化贸易外汇业务管理的通知》（汇发〔2024〕11号文印发）</w:t>
      </w:r>
      <w:bookmarkStart w:id="6" w:name="_GoBack"/>
      <w:bookmarkEnd w:id="6"/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3</w:t>
      </w:r>
      <w:r>
        <w:rPr>
          <w:rFonts w:ascii="方正仿宋_GBK" w:hAnsi="方正仿宋_GBK" w:eastAsia="方正仿宋_GBK" w:cs="方正仿宋_GBK"/>
          <w:sz w:val="28"/>
          <w:szCs w:val="28"/>
        </w:rPr>
        <w:t>）《国家外汇管理局行政许可实施办法》（国家外汇管理局公告2021年第1号）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（1）《中华人民共和国外汇管理条例》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实施机关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国家外汇局省级分局和计划单列市分局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审批层级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国家级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9.行使</w:t>
      </w:r>
      <w:r>
        <w:rPr>
          <w:rFonts w:ascii="Times New Roman" w:hAnsi="Times New Roman" w:eastAsia="仿宋GB2312"/>
          <w:b/>
          <w:bCs/>
          <w:sz w:val="28"/>
          <w:szCs w:val="28"/>
        </w:rPr>
        <w:t>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省级/直属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是否由审批机关受理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ascii="Times New Roman" w:hAnsi="Times New Roman" w:eastAsia="仿宋GB2312"/>
          <w:b/>
          <w:bCs/>
          <w:sz w:val="28"/>
          <w:szCs w:val="28"/>
        </w:rPr>
        <w:t>受理层级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省级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是否存在初审环节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ascii="Times New Roman" w:hAnsi="Times New Roman" w:eastAsia="仿宋GB2312"/>
          <w:b/>
          <w:bCs/>
          <w:sz w:val="28"/>
          <w:szCs w:val="28"/>
        </w:rPr>
        <w:t>初审层级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ascii="Times New Roman" w:hAnsi="Times New Roman" w:eastAsia="仿宋GB2312"/>
          <w:b/>
          <w:bCs/>
          <w:sz w:val="28"/>
          <w:szCs w:val="28"/>
        </w:rPr>
        <w:t>对应政务服务事项国家级基本目录名称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进口付汇事前审核,出口收汇事前审核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15.要素统一情况：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全部要素全国统一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1.准予行政许可的条件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基于真实合规的交易背景，且在分类监管有效期内，此前导致降级的情况已改善或纠正,且没有发生应被列入B类或C类企业情形的，需要办理发生90天以上（不含）延期收、付款的被列入6个月后的B类企业。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（1）《经常项目外汇业务指引（2020年版）》（汇发〔2020〕14号文印发）第三十四条B类企业在分类监管有效期内的货物贸易外汇收支业务应按照……下列要求办理：……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四）企业原则上不得办理90天以上（不含）的延期付款业务、不得签订包含90天以上(不含)收汇条款的出口合同;在分类监管有效期内,此前导致降级的情况已改善或纠正,且没有发生应被列入B类或C类企业情形的B类企业,自列入B类之日起6个月后,可经外汇局登记办理该业务……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四、</w:t>
      </w:r>
      <w:r>
        <w:rPr>
          <w:rFonts w:ascii="Times New Roman" w:hAnsi="Times New Roman" w:eastAsia="黑体"/>
          <w:sz w:val="28"/>
          <w:szCs w:val="28"/>
        </w:rPr>
        <w:t>行政许可服务对象类型</w:t>
      </w:r>
      <w:r>
        <w:rPr>
          <w:rFonts w:hint="eastAsia" w:ascii="Times New Roman" w:hAnsi="Times New Roman" w:eastAsia="黑体"/>
          <w:sz w:val="28"/>
          <w:szCs w:val="28"/>
        </w:rPr>
        <w:t>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1.服务对象类型：</w:t>
      </w:r>
      <w:r>
        <w:rPr>
          <w:rFonts w:ascii="方正仿宋_GBK" w:hAnsi="方正仿宋_GBK" w:eastAsia="方正仿宋_GBK" w:cs="方正仿宋_GBK"/>
          <w:sz w:val="28"/>
          <w:szCs w:val="28"/>
        </w:rPr>
        <w:t>企业法人,事业单位法人,社会组织法人,非法人企业,行政机关,其他组织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2.是否为涉企许可事项：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3.涉企经营许可事项名称：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4.许可证件名称：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5.改革方式：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6.具体改革举措: 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（1）开展“双随机、一公开”监管，依法查处违规行为，适时公开相关案例。（2）依法及时处理投诉举报。（3）开展数据统计与监测，掌握外汇业务情况。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(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1)加盖公章的书面申请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原件1份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(2)以信用证、托收方式结算的,提交合同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(3)以预付、预收贷款方式结算的,提交合同和发票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(4)以其他方式结算的、提交报关单和合同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(5)收付汇与进出口主体不一致业务，还应区分情况提交捐赠协议、相关部门出具的分立，合并证明文件或其他相关材料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(6)发生90天以上延期收款、付款的,还应提交需延期的证明材料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(7)出口贸易融资放款还应提交与金融机构签订的协议和发票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;</w:t>
      </w:r>
    </w:p>
    <w:p>
      <w:pPr>
        <w:spacing w:line="600" w:lineRule="exact"/>
        <w:ind w:firstLine="560" w:firstLineChars="200"/>
        <w:outlineLvl w:val="9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(8)外币现钞结汇金额达到规定入境申报金额的，还应提交经海关签章的《中华人民共和国海关进境旅客行李物品申报单》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原件或加盖公章的复印件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（1）《经常项目外汇业务指引（2020年版）》（汇发〔2020〕14号文印发）第三十四条B类企业在分类监管有效期内的货物贸易外汇收支业务应按照……下列要求办理：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一）以信用证、托收方式结算的，除按国际惯例审核有关商业单证外，还应审核合同；以预付货款、预收货款结算的，应审核合同和发票；以其他方式结算的，应审核相应的报关单和合同，货物不报关的，企业可提供运输单据等其他证明材料代替报关单……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val="en-US" w:eastAsia="zh-CN"/>
        </w:rPr>
        <w:t>（2）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《国家外汇管理局关于进一步优化贸易外汇业务管理的通知》（汇发〔2024〕11号文印发）附件3《货物贸易外汇登记有关业务办理材料》:“....企业到所在地外汇局办理B类企业超可收/付汇额度或90天以上(不含)延期收/付款的贸易外汇收支登记，以及C类企业贸易外汇收支登记时,需提交以下材料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1.加盖公章的书面申请(内容包括但不限于说明需登记的事项、具体内容和原因);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2.以信用证、托收方式结算的,提交合同: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3.以预付、预收贷款方式结算的,提交合同和发票;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4.以其他方式结算的,提交报关单和合同。货物不报关的可提供运输单据等其他证明材料代替报关单;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5.收付汇与进出口主体不一致业务，还应区分情况提交捐赠协议、相关部门出具的分立、合并证明文件或其他相关材料；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6.发生90天以上延期收款、付款的，还应提交需延期的证明材料；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7.出口贸易融资放款还应提交与金融机构签订的协议和发票;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  <w:t>8.外币现钞结汇金额达到规定入境申报金额的，还应提交经海关签章的《中华人民共和国海关进境旅客行李物品申报单》。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1.有无法定中介服务事项：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提供中介服务的机构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中介服务事项的收费性质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审批机构受理/不予受理；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审批机构审查；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决定作出许可决定书/不予许可决定书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（1）《国家外汇管理局行政许可实施办法》（国家外汇管理局公告2021年第1号）第十条外汇局收到行政许可申请后，应区分下列情况分别作出处理：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（一）申请事项属于本局职责范围，但依法不需要取得行政许可的，应即时告知申请人不受理，出具不予受理行政许可通知书；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（二）申请事项不属于本局职责范围，应即时作出不予受理的决定，出具不予受理行政许可通知书，并告知申请人向有关行政机关申请；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三）申请事项属于本局职责范围，但申请材料不齐全或不符合法定形式的，应当场或在收到申请材料之日起5个工作日内作出要求申请人补正材料的决定，出具补正告知书，一次性告知申请人需要补正的全部内容；逾期不告知的，自收到申请材料之日起即为受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人拒不补正，或者自补正告知书送达之日起30日内未能提交全部且符合法定形式的补正材料的，应不予受理，出具不予受理行政许可通知书；申请材料存在文字笔误等可当场更正的错误的，应允许申请人当场更正，并告知其在修改处签字或盖章确认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（四）申请事项属于本局职责范围，申请材料齐全、符合法定形式，或者申请人按照要求提交全部补正申请材料的，应受理行政许可申请，出具行政许可受理通知书。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（2）《国家外汇管理局行政许可实施办法》（国家外汇管理局公告2021年第1号）第十四条外汇局对行政许可申请审查后，应区分下列情况分别作出处理：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（一）申请符合法定条件、拟准予行政许可的，应出具准予行政许可的书面决定。准予行政许可的书面决定应载明名称、出具单位、被许可人姓名或名称、行政许可事项、颁发日期、有效期（如有）等；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（二）申请不符合法定条件、拟不予行政许可的，应出具不予行政许可决定书，并说明不予行政许可的理由，告知申请人享有依法申请行政复议的权利。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是否需要现场勘验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是否需要组织听证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是否需要招标、拍卖、挂牌交易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是否需要检验、检测、检疫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是否需要鉴定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是否需要专家评审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是否需要向社会公示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是否实行告知承诺办理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1.承诺受理时限：</w:t>
      </w:r>
      <w:r>
        <w:rPr>
          <w:rFonts w:ascii="方正仿宋_GBK" w:hAnsi="方正仿宋_GBK" w:eastAsia="方正仿宋_GBK" w:cs="方正仿宋_GBK"/>
          <w:sz w:val="28"/>
          <w:szCs w:val="28"/>
        </w:rPr>
        <w:t>5个工作日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（1）《国家外汇管理局行政许可实施办法》（国家外汇管理局公告2021年第1号）第十五条外汇局应根据以下要求确保行政许可依法按时完成：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（一）能当场作出决定的，应当场作出行政许可决定。当场作出行政许可决定的，可不出具行政许可受理通知书；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二）不能当场作出决定的，应自受理之日起20个工作日内作出决定；20个工作日内不能作出决定的，经本级外汇局局长或者主管副局长批准，可延长10个工作日，并向申请人出具延长行政许可办理期限通知书，说明延长期限的理由。行政许可办理期限只能延长一次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外汇局征求其他部门意见的时间计算在以上办理时限内；依法需要听证、检验、检测、鉴定、专家评审等的时间，不计算在上述办理时限内。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各级外汇局对行政许可办理时限具有对外承诺的，应按照其承诺的时限完成；对外承诺的时限应短于20个工作日。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4.承诺审批时限：</w:t>
      </w:r>
      <w:r>
        <w:rPr>
          <w:rFonts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2.收费项目的名称、收费项目的标准、设定收费项目的依据、规定收费标准的依据: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1.审批结果类型：</w:t>
      </w:r>
      <w:r>
        <w:rPr>
          <w:rFonts w:ascii="方正仿宋_GBK" w:hAnsi="方正仿宋_GBK" w:eastAsia="方正仿宋_GBK" w:cs="方正仿宋_GBK"/>
          <w:sz w:val="28"/>
          <w:szCs w:val="28"/>
        </w:rPr>
        <w:t>批文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《贸易外汇业务登记表》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原则上不超过1个月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4.规定审批结果有效期限的依据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（1）国家外汇管理局关于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进一步优化贸易外汇业务管理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的通知》（汇发〔20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〕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号）附件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《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贸易外汇业务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登记表》的有效期原则上不超过1个月。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5.是否需要办理审批结果变更手续：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6.办理审批结果变更手续的要求: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8.办理审批结果延续手续的要求: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9.审批结果的有效地域范围: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10.规定审批结果有效地域范围的依据: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5.规定在数量限制条件下实施行政许可方式的依据: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2.设定年检要求的依据: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7.年检收费项目的名称、年检收费项目的标准、设定年检收费项目的依据、规定年检项目收费标准的依据: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有无年报要求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年报报送材料名称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设定年报要求的依据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 xml:space="preserve">: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年报周期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国家外汇局及其分局</w:t>
      </w:r>
    </w:p>
    <w:p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黑体"/>
          <w:sz w:val="28"/>
          <w:szCs w:val="28"/>
        </w:rPr>
        <w:t>十五、</w:t>
      </w:r>
      <w:r>
        <w:rPr>
          <w:rFonts w:eastAsia="黑体"/>
          <w:sz w:val="28"/>
          <w:szCs w:val="28"/>
        </w:rPr>
        <w:t>行政许可办理地址和时间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eastAsia="仿宋GB2312"/>
          <w:b/>
          <w:bCs/>
          <w:color w:val="auto"/>
          <w:sz w:val="28"/>
          <w:szCs w:val="28"/>
        </w:rPr>
        <w:t>1.</w:t>
      </w: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办理地址：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2.办理时间：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工作日，上午：08:30-12:00，下午：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:30-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:30 </w:t>
      </w:r>
    </w:p>
    <w:p>
      <w:pPr>
        <w:rPr>
          <w:rFonts w:eastAsia="黑体"/>
          <w:sz w:val="28"/>
          <w:szCs w:val="28"/>
        </w:rPr>
      </w:pPr>
      <w:bookmarkStart w:id="0" w:name="_Toc32164"/>
      <w:bookmarkStart w:id="1" w:name="_Toc27624"/>
      <w:bookmarkStart w:id="2" w:name="_Toc22902"/>
      <w:bookmarkStart w:id="3" w:name="_Toc12947"/>
      <w:bookmarkStart w:id="4" w:name="_Toc26066"/>
      <w:bookmarkStart w:id="5" w:name="_Toc29697"/>
      <w:r>
        <w:rPr>
          <w:rFonts w:hint="eastAsia" w:eastAsia="黑体"/>
          <w:sz w:val="28"/>
          <w:szCs w:val="28"/>
        </w:rPr>
        <w:t>十六、</w:t>
      </w:r>
      <w:r>
        <w:rPr>
          <w:rFonts w:eastAsia="黑体"/>
          <w:sz w:val="28"/>
          <w:szCs w:val="28"/>
        </w:rPr>
        <w:t>咨询途径</w:t>
      </w:r>
      <w:bookmarkEnd w:id="0"/>
      <w:bookmarkEnd w:id="1"/>
      <w:bookmarkEnd w:id="2"/>
      <w:bookmarkEnd w:id="3"/>
      <w:bookmarkEnd w:id="4"/>
      <w:bookmarkEnd w:id="5"/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</w:pPr>
      <w:r>
        <w:rPr>
          <w:rFonts w:hint="eastAsia" w:eastAsia="仿宋GB2312"/>
          <w:b/>
          <w:bCs/>
          <w:color w:val="auto"/>
          <w:sz w:val="28"/>
          <w:szCs w:val="28"/>
          <w:lang w:eastAsia="zh-CN"/>
        </w:rPr>
        <w:t>1.窗口咨询地址：</w:t>
      </w:r>
      <w:r>
        <w:rPr>
          <w:rFonts w:hint="eastAsia" w:ascii="方正仿宋_GBK" w:hAnsi="方正仿宋_GBK" w:eastAsia="方正仿宋_GBK" w:cs="方正仿宋_GBK"/>
          <w:color w:val="auto"/>
          <w:sz w:val="28"/>
          <w:szCs w:val="28"/>
          <w:lang w:eastAsia="zh-CN"/>
        </w:rPr>
        <w:t>广西南宁市青秀区滨湖路58号中国人民银行广西壮族自治区分行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8楼811号办公室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2.电话咨询号码：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0771-6111201</w:t>
      </w:r>
    </w:p>
    <w:p>
      <w:pPr>
        <w:spacing w:line="540" w:lineRule="exact"/>
        <w:ind w:firstLine="562" w:firstLineChars="200"/>
        <w:outlineLvl w:val="2"/>
        <w:rPr>
          <w:rFonts w:eastAsia="仿宋GB2312"/>
          <w:b/>
          <w:bCs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</w:rPr>
        <w:t>3.咨询网址：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rPr>
          <w:rFonts w:eastAsia="仿宋GB2312"/>
          <w:b/>
          <w:bCs/>
          <w:sz w:val="28"/>
          <w:szCs w:val="28"/>
        </w:rPr>
      </w:pPr>
      <w:r>
        <w:rPr>
          <w:rFonts w:hint="eastAsia" w:eastAsia="黑体"/>
          <w:sz w:val="28"/>
          <w:szCs w:val="28"/>
        </w:rPr>
        <w:t>十七、监督投诉渠道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eastAsia="仿宋GB2312"/>
          <w:b/>
          <w:bCs/>
          <w:sz w:val="28"/>
          <w:szCs w:val="28"/>
        </w:rPr>
        <w:t>1.电话监督投诉：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0771-6111357</w:t>
      </w:r>
    </w:p>
    <w:p>
      <w:pPr>
        <w:spacing w:line="540" w:lineRule="exact"/>
        <w:ind w:firstLine="562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eastAsia="仿宋GB2312"/>
          <w:b/>
          <w:bCs/>
          <w:sz w:val="28"/>
          <w:szCs w:val="28"/>
          <w:lang w:val="en-US" w:eastAsia="zh-CN"/>
        </w:rPr>
        <w:t>2</w:t>
      </w:r>
      <w:r>
        <w:rPr>
          <w:rFonts w:hint="eastAsia" w:eastAsia="仿宋GB2312"/>
          <w:b/>
          <w:bCs/>
          <w:sz w:val="28"/>
          <w:szCs w:val="28"/>
        </w:rPr>
        <w:t>.网络监督投诉网址：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国家外汇管理局广西壮族自治区分局官方网站（www.safe.gov.cn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/guangxi/）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咨询反馈栏目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八</w:t>
      </w:r>
      <w:r>
        <w:rPr>
          <w:rFonts w:hint="eastAsia" w:ascii="Times New Roman" w:hAnsi="Times New Roman" w:eastAsia="黑体"/>
          <w:sz w:val="28"/>
          <w:szCs w:val="28"/>
        </w:rPr>
        <w:t>、备注</w:t>
      </w:r>
    </w:p>
    <w:p/>
    <w:p>
      <w:pPr>
        <w:rPr>
          <w:rFonts w:ascii="Times New Roman" w:hAnsi="Times New Roman" w:cs="Times New Roman"/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Noto Sans Mono CJK JP Regular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GB2312">
    <w:altName w:val="仿宋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GQ4YjIwYjI4ZmE4OWQ2YmE1MDViYjU3ZGNiYjhlODIifQ=="/>
  </w:docVars>
  <w:rsids>
    <w:rsidRoot w:val="009B19B3"/>
    <w:rsid w:val="000003C0"/>
    <w:rsid w:val="000021D6"/>
    <w:rsid w:val="00004BD5"/>
    <w:rsid w:val="00007A67"/>
    <w:rsid w:val="000233D5"/>
    <w:rsid w:val="00027E45"/>
    <w:rsid w:val="000351A4"/>
    <w:rsid w:val="00037A07"/>
    <w:rsid w:val="0004414D"/>
    <w:rsid w:val="00050681"/>
    <w:rsid w:val="00061C5F"/>
    <w:rsid w:val="000652D6"/>
    <w:rsid w:val="00070716"/>
    <w:rsid w:val="000B0E34"/>
    <w:rsid w:val="000D3467"/>
    <w:rsid w:val="000D61BB"/>
    <w:rsid w:val="000E2AD6"/>
    <w:rsid w:val="000E2D98"/>
    <w:rsid w:val="000E55BC"/>
    <w:rsid w:val="000E5910"/>
    <w:rsid w:val="000F1C17"/>
    <w:rsid w:val="000F24B5"/>
    <w:rsid w:val="00102A7C"/>
    <w:rsid w:val="00106460"/>
    <w:rsid w:val="001156C5"/>
    <w:rsid w:val="001172B3"/>
    <w:rsid w:val="00134BF3"/>
    <w:rsid w:val="00140DE8"/>
    <w:rsid w:val="001418D3"/>
    <w:rsid w:val="001437E6"/>
    <w:rsid w:val="00154329"/>
    <w:rsid w:val="00163202"/>
    <w:rsid w:val="001870AC"/>
    <w:rsid w:val="00193A89"/>
    <w:rsid w:val="00195B37"/>
    <w:rsid w:val="001A1E83"/>
    <w:rsid w:val="001A61DE"/>
    <w:rsid w:val="001C084E"/>
    <w:rsid w:val="001C2B84"/>
    <w:rsid w:val="001C3568"/>
    <w:rsid w:val="001C4BB1"/>
    <w:rsid w:val="001D095F"/>
    <w:rsid w:val="001D2DD9"/>
    <w:rsid w:val="001D56F0"/>
    <w:rsid w:val="001D5C07"/>
    <w:rsid w:val="001E37D7"/>
    <w:rsid w:val="001F1B4B"/>
    <w:rsid w:val="001F2A75"/>
    <w:rsid w:val="00212F1A"/>
    <w:rsid w:val="00215F91"/>
    <w:rsid w:val="002178A9"/>
    <w:rsid w:val="002226D7"/>
    <w:rsid w:val="0023361F"/>
    <w:rsid w:val="00233CB8"/>
    <w:rsid w:val="00233F9E"/>
    <w:rsid w:val="00235C6D"/>
    <w:rsid w:val="002453CB"/>
    <w:rsid w:val="00253212"/>
    <w:rsid w:val="00254875"/>
    <w:rsid w:val="00256B77"/>
    <w:rsid w:val="002654CB"/>
    <w:rsid w:val="00266E25"/>
    <w:rsid w:val="00273E50"/>
    <w:rsid w:val="002756E4"/>
    <w:rsid w:val="002A0834"/>
    <w:rsid w:val="002B0553"/>
    <w:rsid w:val="002B05F7"/>
    <w:rsid w:val="002B3F08"/>
    <w:rsid w:val="002B4E65"/>
    <w:rsid w:val="002C7EAF"/>
    <w:rsid w:val="002F2577"/>
    <w:rsid w:val="002F6202"/>
    <w:rsid w:val="00316E50"/>
    <w:rsid w:val="00316F0E"/>
    <w:rsid w:val="00321272"/>
    <w:rsid w:val="00325547"/>
    <w:rsid w:val="00326B8C"/>
    <w:rsid w:val="003314E4"/>
    <w:rsid w:val="00331E1E"/>
    <w:rsid w:val="003371EB"/>
    <w:rsid w:val="00337ED9"/>
    <w:rsid w:val="00345800"/>
    <w:rsid w:val="003508A5"/>
    <w:rsid w:val="00354A7C"/>
    <w:rsid w:val="00364BB9"/>
    <w:rsid w:val="00377012"/>
    <w:rsid w:val="00387FD0"/>
    <w:rsid w:val="00396CD5"/>
    <w:rsid w:val="003A1721"/>
    <w:rsid w:val="003A2E79"/>
    <w:rsid w:val="003A4630"/>
    <w:rsid w:val="003A496B"/>
    <w:rsid w:val="003B1325"/>
    <w:rsid w:val="003B6057"/>
    <w:rsid w:val="003C3480"/>
    <w:rsid w:val="003C5C1F"/>
    <w:rsid w:val="003D1EDA"/>
    <w:rsid w:val="003D1F9B"/>
    <w:rsid w:val="003D2BBB"/>
    <w:rsid w:val="003D3BB2"/>
    <w:rsid w:val="003D7B66"/>
    <w:rsid w:val="00404086"/>
    <w:rsid w:val="0040580D"/>
    <w:rsid w:val="00413782"/>
    <w:rsid w:val="00417C88"/>
    <w:rsid w:val="004311DF"/>
    <w:rsid w:val="00436919"/>
    <w:rsid w:val="00437717"/>
    <w:rsid w:val="0044021E"/>
    <w:rsid w:val="00445A64"/>
    <w:rsid w:val="0045411C"/>
    <w:rsid w:val="004573E4"/>
    <w:rsid w:val="00460F9A"/>
    <w:rsid w:val="004735FC"/>
    <w:rsid w:val="004924A7"/>
    <w:rsid w:val="004935B2"/>
    <w:rsid w:val="00497B08"/>
    <w:rsid w:val="00497FC6"/>
    <w:rsid w:val="004A6503"/>
    <w:rsid w:val="004B1BDA"/>
    <w:rsid w:val="004B3A9F"/>
    <w:rsid w:val="004C5477"/>
    <w:rsid w:val="004D3F83"/>
    <w:rsid w:val="004E4AD4"/>
    <w:rsid w:val="004E746C"/>
    <w:rsid w:val="004E7E2D"/>
    <w:rsid w:val="00512742"/>
    <w:rsid w:val="00512786"/>
    <w:rsid w:val="00514ABC"/>
    <w:rsid w:val="005263C0"/>
    <w:rsid w:val="00544909"/>
    <w:rsid w:val="00551A5A"/>
    <w:rsid w:val="0056706F"/>
    <w:rsid w:val="00567128"/>
    <w:rsid w:val="005845DF"/>
    <w:rsid w:val="00584DF2"/>
    <w:rsid w:val="0058649D"/>
    <w:rsid w:val="00593352"/>
    <w:rsid w:val="00595487"/>
    <w:rsid w:val="005A32AB"/>
    <w:rsid w:val="005A3A70"/>
    <w:rsid w:val="005A61D4"/>
    <w:rsid w:val="005B322C"/>
    <w:rsid w:val="005C4A17"/>
    <w:rsid w:val="005E1F6F"/>
    <w:rsid w:val="005E6464"/>
    <w:rsid w:val="005F1522"/>
    <w:rsid w:val="005F1DCD"/>
    <w:rsid w:val="005F3C89"/>
    <w:rsid w:val="005F5952"/>
    <w:rsid w:val="006017F9"/>
    <w:rsid w:val="00603617"/>
    <w:rsid w:val="00611E81"/>
    <w:rsid w:val="0064768C"/>
    <w:rsid w:val="006509E6"/>
    <w:rsid w:val="00654AA7"/>
    <w:rsid w:val="006553EF"/>
    <w:rsid w:val="006603EC"/>
    <w:rsid w:val="006667EE"/>
    <w:rsid w:val="006675D3"/>
    <w:rsid w:val="00673F17"/>
    <w:rsid w:val="00675C64"/>
    <w:rsid w:val="006847AE"/>
    <w:rsid w:val="00693E03"/>
    <w:rsid w:val="00696646"/>
    <w:rsid w:val="00696A7B"/>
    <w:rsid w:val="006B1D92"/>
    <w:rsid w:val="006B28AD"/>
    <w:rsid w:val="006B3076"/>
    <w:rsid w:val="006B5EF5"/>
    <w:rsid w:val="006B6370"/>
    <w:rsid w:val="006B71D2"/>
    <w:rsid w:val="006C4C39"/>
    <w:rsid w:val="006C5121"/>
    <w:rsid w:val="006D3427"/>
    <w:rsid w:val="006D6A5B"/>
    <w:rsid w:val="006E7C82"/>
    <w:rsid w:val="006F61C6"/>
    <w:rsid w:val="0071311B"/>
    <w:rsid w:val="007157B6"/>
    <w:rsid w:val="0072541C"/>
    <w:rsid w:val="00732949"/>
    <w:rsid w:val="0073340E"/>
    <w:rsid w:val="00735659"/>
    <w:rsid w:val="00735A28"/>
    <w:rsid w:val="007510E5"/>
    <w:rsid w:val="007544BC"/>
    <w:rsid w:val="007632A0"/>
    <w:rsid w:val="007634FF"/>
    <w:rsid w:val="0076451B"/>
    <w:rsid w:val="007704CD"/>
    <w:rsid w:val="0078686C"/>
    <w:rsid w:val="00795D93"/>
    <w:rsid w:val="007A1978"/>
    <w:rsid w:val="007B0E48"/>
    <w:rsid w:val="007B0EBE"/>
    <w:rsid w:val="007B6675"/>
    <w:rsid w:val="007D1D7B"/>
    <w:rsid w:val="007E7441"/>
    <w:rsid w:val="007F233E"/>
    <w:rsid w:val="0080044E"/>
    <w:rsid w:val="0081373A"/>
    <w:rsid w:val="00815287"/>
    <w:rsid w:val="00824D07"/>
    <w:rsid w:val="008269C3"/>
    <w:rsid w:val="00827911"/>
    <w:rsid w:val="00832D42"/>
    <w:rsid w:val="00833A95"/>
    <w:rsid w:val="00834DF4"/>
    <w:rsid w:val="00837990"/>
    <w:rsid w:val="00841DE9"/>
    <w:rsid w:val="00842C2F"/>
    <w:rsid w:val="00846D5D"/>
    <w:rsid w:val="00864463"/>
    <w:rsid w:val="00865B37"/>
    <w:rsid w:val="00871300"/>
    <w:rsid w:val="00871BB2"/>
    <w:rsid w:val="0087457D"/>
    <w:rsid w:val="008767C3"/>
    <w:rsid w:val="00876926"/>
    <w:rsid w:val="008A068A"/>
    <w:rsid w:val="008A0A76"/>
    <w:rsid w:val="008A53DB"/>
    <w:rsid w:val="008A6143"/>
    <w:rsid w:val="008A6DDB"/>
    <w:rsid w:val="008A6EEC"/>
    <w:rsid w:val="008B019D"/>
    <w:rsid w:val="008B4359"/>
    <w:rsid w:val="008C33D3"/>
    <w:rsid w:val="008D285E"/>
    <w:rsid w:val="008E0D30"/>
    <w:rsid w:val="008E324F"/>
    <w:rsid w:val="008E57E6"/>
    <w:rsid w:val="008E6700"/>
    <w:rsid w:val="008F3E08"/>
    <w:rsid w:val="008F5475"/>
    <w:rsid w:val="00916523"/>
    <w:rsid w:val="009245CA"/>
    <w:rsid w:val="009347F8"/>
    <w:rsid w:val="009379DE"/>
    <w:rsid w:val="00945AC3"/>
    <w:rsid w:val="009516B1"/>
    <w:rsid w:val="009545B6"/>
    <w:rsid w:val="009568D7"/>
    <w:rsid w:val="00960764"/>
    <w:rsid w:val="009640DB"/>
    <w:rsid w:val="00966422"/>
    <w:rsid w:val="00970C40"/>
    <w:rsid w:val="009732FA"/>
    <w:rsid w:val="00976900"/>
    <w:rsid w:val="00977A16"/>
    <w:rsid w:val="00981057"/>
    <w:rsid w:val="00984619"/>
    <w:rsid w:val="009849B6"/>
    <w:rsid w:val="00985C45"/>
    <w:rsid w:val="00986690"/>
    <w:rsid w:val="0098731F"/>
    <w:rsid w:val="009976AB"/>
    <w:rsid w:val="009A32EE"/>
    <w:rsid w:val="009A6053"/>
    <w:rsid w:val="009B0566"/>
    <w:rsid w:val="009B19B3"/>
    <w:rsid w:val="009B4EC4"/>
    <w:rsid w:val="009D2CA3"/>
    <w:rsid w:val="009D7865"/>
    <w:rsid w:val="009F0EE6"/>
    <w:rsid w:val="00A011E0"/>
    <w:rsid w:val="00A019DC"/>
    <w:rsid w:val="00A053EC"/>
    <w:rsid w:val="00A20682"/>
    <w:rsid w:val="00A20869"/>
    <w:rsid w:val="00A21B4B"/>
    <w:rsid w:val="00A23CC9"/>
    <w:rsid w:val="00A31633"/>
    <w:rsid w:val="00A333A8"/>
    <w:rsid w:val="00A33C4E"/>
    <w:rsid w:val="00A42BA0"/>
    <w:rsid w:val="00A437F1"/>
    <w:rsid w:val="00A4638A"/>
    <w:rsid w:val="00A56380"/>
    <w:rsid w:val="00A724BB"/>
    <w:rsid w:val="00A76F2C"/>
    <w:rsid w:val="00A828DC"/>
    <w:rsid w:val="00A85917"/>
    <w:rsid w:val="00A86C39"/>
    <w:rsid w:val="00AA2782"/>
    <w:rsid w:val="00AB1454"/>
    <w:rsid w:val="00AC2C69"/>
    <w:rsid w:val="00AD6356"/>
    <w:rsid w:val="00AD7F95"/>
    <w:rsid w:val="00AE1454"/>
    <w:rsid w:val="00AE1E55"/>
    <w:rsid w:val="00AF3753"/>
    <w:rsid w:val="00AF57E1"/>
    <w:rsid w:val="00B03FA1"/>
    <w:rsid w:val="00B047C5"/>
    <w:rsid w:val="00B063D5"/>
    <w:rsid w:val="00B11981"/>
    <w:rsid w:val="00B14564"/>
    <w:rsid w:val="00B150F1"/>
    <w:rsid w:val="00B1706B"/>
    <w:rsid w:val="00B241DC"/>
    <w:rsid w:val="00B24922"/>
    <w:rsid w:val="00B327C8"/>
    <w:rsid w:val="00B35ADB"/>
    <w:rsid w:val="00B37501"/>
    <w:rsid w:val="00B43476"/>
    <w:rsid w:val="00B44E28"/>
    <w:rsid w:val="00B525C6"/>
    <w:rsid w:val="00B61130"/>
    <w:rsid w:val="00B614A1"/>
    <w:rsid w:val="00B73A28"/>
    <w:rsid w:val="00B84802"/>
    <w:rsid w:val="00B87216"/>
    <w:rsid w:val="00B94AEF"/>
    <w:rsid w:val="00BA5B48"/>
    <w:rsid w:val="00BB3C0B"/>
    <w:rsid w:val="00BB6FB7"/>
    <w:rsid w:val="00BB71AE"/>
    <w:rsid w:val="00BC4ACD"/>
    <w:rsid w:val="00BD1960"/>
    <w:rsid w:val="00BE47E8"/>
    <w:rsid w:val="00BF58A4"/>
    <w:rsid w:val="00BF69EA"/>
    <w:rsid w:val="00C01288"/>
    <w:rsid w:val="00C20EC9"/>
    <w:rsid w:val="00C266D2"/>
    <w:rsid w:val="00C26BC0"/>
    <w:rsid w:val="00C314B5"/>
    <w:rsid w:val="00C31ECE"/>
    <w:rsid w:val="00C34F82"/>
    <w:rsid w:val="00C4111F"/>
    <w:rsid w:val="00C5180B"/>
    <w:rsid w:val="00C545CE"/>
    <w:rsid w:val="00C5521A"/>
    <w:rsid w:val="00C57574"/>
    <w:rsid w:val="00C659B4"/>
    <w:rsid w:val="00C66EDA"/>
    <w:rsid w:val="00C71261"/>
    <w:rsid w:val="00C903FE"/>
    <w:rsid w:val="00C90E8C"/>
    <w:rsid w:val="00C95743"/>
    <w:rsid w:val="00CA4D41"/>
    <w:rsid w:val="00CA5928"/>
    <w:rsid w:val="00CB1ED8"/>
    <w:rsid w:val="00CB751C"/>
    <w:rsid w:val="00CC02F5"/>
    <w:rsid w:val="00CC2FE6"/>
    <w:rsid w:val="00CD6F3B"/>
    <w:rsid w:val="00CE1482"/>
    <w:rsid w:val="00CE55F6"/>
    <w:rsid w:val="00CF249D"/>
    <w:rsid w:val="00CF5E83"/>
    <w:rsid w:val="00D007CE"/>
    <w:rsid w:val="00D01106"/>
    <w:rsid w:val="00D07C35"/>
    <w:rsid w:val="00D143B3"/>
    <w:rsid w:val="00D16C12"/>
    <w:rsid w:val="00D224E4"/>
    <w:rsid w:val="00D3006E"/>
    <w:rsid w:val="00D327EC"/>
    <w:rsid w:val="00D3615F"/>
    <w:rsid w:val="00D402BA"/>
    <w:rsid w:val="00D408D0"/>
    <w:rsid w:val="00D55E8C"/>
    <w:rsid w:val="00D80592"/>
    <w:rsid w:val="00D81AB8"/>
    <w:rsid w:val="00D85E50"/>
    <w:rsid w:val="00D92ED1"/>
    <w:rsid w:val="00DA5B01"/>
    <w:rsid w:val="00DB2D9A"/>
    <w:rsid w:val="00DD10B4"/>
    <w:rsid w:val="00DD4792"/>
    <w:rsid w:val="00DD6A30"/>
    <w:rsid w:val="00DE791B"/>
    <w:rsid w:val="00DF15BD"/>
    <w:rsid w:val="00DF7356"/>
    <w:rsid w:val="00E02AE9"/>
    <w:rsid w:val="00E049C8"/>
    <w:rsid w:val="00E129F8"/>
    <w:rsid w:val="00E144BB"/>
    <w:rsid w:val="00E27EE9"/>
    <w:rsid w:val="00E30DEB"/>
    <w:rsid w:val="00E33EFE"/>
    <w:rsid w:val="00E430A6"/>
    <w:rsid w:val="00E46A26"/>
    <w:rsid w:val="00E505E0"/>
    <w:rsid w:val="00E55B0D"/>
    <w:rsid w:val="00E61CED"/>
    <w:rsid w:val="00E645AF"/>
    <w:rsid w:val="00E75B2F"/>
    <w:rsid w:val="00E77119"/>
    <w:rsid w:val="00E92470"/>
    <w:rsid w:val="00E955CC"/>
    <w:rsid w:val="00EA12C1"/>
    <w:rsid w:val="00EA2A2D"/>
    <w:rsid w:val="00EA3634"/>
    <w:rsid w:val="00EA5CDF"/>
    <w:rsid w:val="00EA6B80"/>
    <w:rsid w:val="00EB156E"/>
    <w:rsid w:val="00EB574D"/>
    <w:rsid w:val="00EB6DFA"/>
    <w:rsid w:val="00EC0133"/>
    <w:rsid w:val="00EC36EB"/>
    <w:rsid w:val="00EC7A79"/>
    <w:rsid w:val="00ED3C09"/>
    <w:rsid w:val="00EE1E1E"/>
    <w:rsid w:val="00EE29F0"/>
    <w:rsid w:val="00EE36F3"/>
    <w:rsid w:val="00EE69DD"/>
    <w:rsid w:val="00EF5BC8"/>
    <w:rsid w:val="00F005E2"/>
    <w:rsid w:val="00F10FD7"/>
    <w:rsid w:val="00F16F75"/>
    <w:rsid w:val="00F201F4"/>
    <w:rsid w:val="00F21D92"/>
    <w:rsid w:val="00F32657"/>
    <w:rsid w:val="00F36247"/>
    <w:rsid w:val="00F405D0"/>
    <w:rsid w:val="00F4072A"/>
    <w:rsid w:val="00F416D6"/>
    <w:rsid w:val="00F424E1"/>
    <w:rsid w:val="00F45FB3"/>
    <w:rsid w:val="00F50CE9"/>
    <w:rsid w:val="00F52218"/>
    <w:rsid w:val="00F53245"/>
    <w:rsid w:val="00F5552D"/>
    <w:rsid w:val="00F61D32"/>
    <w:rsid w:val="00F622F9"/>
    <w:rsid w:val="00F62A8B"/>
    <w:rsid w:val="00F6439F"/>
    <w:rsid w:val="00F8030E"/>
    <w:rsid w:val="00F8305D"/>
    <w:rsid w:val="00F85E60"/>
    <w:rsid w:val="00F87754"/>
    <w:rsid w:val="00FA48B7"/>
    <w:rsid w:val="00FC6843"/>
    <w:rsid w:val="00FC754C"/>
    <w:rsid w:val="00FD19D2"/>
    <w:rsid w:val="00FF083E"/>
    <w:rsid w:val="00FF35CC"/>
    <w:rsid w:val="02961C63"/>
    <w:rsid w:val="063127A4"/>
    <w:rsid w:val="067F2731"/>
    <w:rsid w:val="07FC73E7"/>
    <w:rsid w:val="0AFE2A19"/>
    <w:rsid w:val="0C6F66F8"/>
    <w:rsid w:val="0CDF410C"/>
    <w:rsid w:val="0EEC5902"/>
    <w:rsid w:val="0FAF3253"/>
    <w:rsid w:val="11311F96"/>
    <w:rsid w:val="14753A4D"/>
    <w:rsid w:val="17046B3B"/>
    <w:rsid w:val="19B9018E"/>
    <w:rsid w:val="1C383E27"/>
    <w:rsid w:val="1C4F5A1B"/>
    <w:rsid w:val="1CB62C04"/>
    <w:rsid w:val="1CDB3593"/>
    <w:rsid w:val="1E9B7A75"/>
    <w:rsid w:val="1F1D7775"/>
    <w:rsid w:val="238E0B99"/>
    <w:rsid w:val="2406637B"/>
    <w:rsid w:val="254914F1"/>
    <w:rsid w:val="2A4D5B61"/>
    <w:rsid w:val="2A783CEB"/>
    <w:rsid w:val="36A130A2"/>
    <w:rsid w:val="38953EFB"/>
    <w:rsid w:val="3996388A"/>
    <w:rsid w:val="3B2D465E"/>
    <w:rsid w:val="3DF9176C"/>
    <w:rsid w:val="3F821FA5"/>
    <w:rsid w:val="408940CF"/>
    <w:rsid w:val="40C06849"/>
    <w:rsid w:val="41F44A83"/>
    <w:rsid w:val="43F40AC5"/>
    <w:rsid w:val="447B0B22"/>
    <w:rsid w:val="471E74DB"/>
    <w:rsid w:val="47616255"/>
    <w:rsid w:val="48892395"/>
    <w:rsid w:val="52566D98"/>
    <w:rsid w:val="561E61E2"/>
    <w:rsid w:val="56E31333"/>
    <w:rsid w:val="577932F4"/>
    <w:rsid w:val="5DA614D2"/>
    <w:rsid w:val="63191F10"/>
    <w:rsid w:val="66BB2822"/>
    <w:rsid w:val="6A2F37BA"/>
    <w:rsid w:val="6C6D76D3"/>
    <w:rsid w:val="6EB37A33"/>
    <w:rsid w:val="75F416EB"/>
    <w:rsid w:val="75F87F05"/>
    <w:rsid w:val="7B2A790B"/>
    <w:rsid w:val="7C4D6CF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59"/>
    <w:pPr/>
    <w:tblPr>
      <w:tblStyle w:val="8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Revision"/>
    <w:hidden/>
    <w:semiHidden/>
    <w:qFormat/>
    <w:uiPriority w:val="99"/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2">
    <w:name w:val="Heading 1"/>
    <w:basedOn w:val="1"/>
    <w:qFormat/>
    <w:uiPriority w:val="1"/>
    <w:pPr>
      <w:spacing w:line="541" w:lineRule="exact"/>
      <w:ind w:left="1919" w:right="2017"/>
      <w:jc w:val="center"/>
      <w:outlineLvl w:val="1"/>
    </w:pPr>
    <w:rPr>
      <w:rFonts w:ascii="Noto Sans Mono CJK JP Regular" w:hAnsi="Noto Sans Mono CJK JP Regular" w:eastAsia="Noto Sans Mono CJK JP Regular" w:cs="Noto Sans Mono CJK JP Regular"/>
      <w:sz w:val="36"/>
      <w:szCs w:val="36"/>
    </w:rPr>
  </w:style>
  <w:style w:type="character" w:customStyle="1" w:styleId="13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mini-outputtext"/>
    <w:basedOn w:val="6"/>
    <w:qFormat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2304</Words>
  <Characters>2517</Characters>
  <Lines>41</Lines>
  <Paragraphs>11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2020-04-22T08:12:00Z</dcterms:created>
  <dc:creator>吴</dc:creator>
  <cp:lastModifiedBy>陆妙芳</cp:lastModifiedBy>
  <cp:lastPrinted>2020-05-08T08:38:00Z</cp:lastPrinted>
  <dcterms:modified xsi:type="dcterms:W3CDTF">2026-07-09T02:28:01Z</dcterms:modified>
  <dc:title>编号：57001-2           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609DA56A81274F539BF26AAA0D85DD3C_12</vt:lpwstr>
  </property>
</Properties>
</file>