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r>
        <w:rPr>
          <w:rFonts w:hint="eastAsia" w:ascii="黑体" w:hAnsi="黑体" w:eastAsia="黑体" w:cs="黑体"/>
          <w:color w:val="auto"/>
          <w:sz w:val="30"/>
          <w:szCs w:val="30"/>
        </w:rPr>
        <w:t>编号：0001711020</w:t>
      </w:r>
      <w:r>
        <w:rPr>
          <w:rFonts w:hint="eastAsia" w:ascii="黑体" w:hAnsi="黑体" w:eastAsia="黑体" w:cs="黑体"/>
          <w:color w:val="auto"/>
          <w:sz w:val="30"/>
          <w:szCs w:val="30"/>
          <w:lang w:val="en-US" w:eastAsia="zh-CN"/>
        </w:rPr>
        <w:t>04</w:t>
      </w:r>
      <w:r>
        <w:rPr>
          <w:rFonts w:hint="eastAsia" w:ascii="黑体" w:hAnsi="黑体" w:eastAsia="黑体" w:cs="黑体"/>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省级分局和计划单列市分局</w:t>
      </w:r>
      <w:r>
        <w:rPr>
          <w:rFonts w:hint="default" w:ascii="Times New Roman" w:hAnsi="Times New Roman" w:eastAsia="黑体" w:cs="Times New Roman"/>
          <w:color w:val="auto"/>
          <w:sz w:val="52"/>
          <w:szCs w:val="52"/>
          <w:lang w:val="en-US" w:eastAsia="zh-CN"/>
        </w:rPr>
        <w:t>办理的企业经常项目资金集中和轧差结算收支业务登记</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2"/>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ind w:right="300"/>
        <w:jc w:val="center"/>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sectPr>
          <w:footerReference r:id="rId4" w:type="default"/>
          <w:pgSz w:w="11906" w:h="16838"/>
          <w:pgMar w:top="1440" w:right="1800" w:bottom="1440" w:left="1800" w:header="851" w:footer="992" w:gutter="0"/>
          <w:cols w:space="720" w:num="1"/>
          <w:docGrid w:type="lines" w:linePitch="312" w:charSpace="0"/>
        </w:sectPr>
      </w:pPr>
    </w:p>
    <w:p>
      <w:pPr>
        <w:jc w:val="center"/>
        <w:rPr>
          <w:rFonts w:ascii="方正小标宋_GBK" w:hAnsi="方正小标宋_GBK" w:eastAsia="方正小标宋_GBK" w:cs="方正小标宋_GBK"/>
          <w:sz w:val="40"/>
          <w:szCs w:val="40"/>
        </w:rPr>
      </w:pPr>
      <w:r>
        <w:rPr>
          <w:rFonts w:ascii="Times New Roman" w:hAnsi="Times New Roman" w:eastAsia="黑体" w:cs="Times New Roman"/>
          <w:color w:val="auto"/>
          <w:sz w:val="30"/>
          <w:szCs w:val="30"/>
        </w:rPr>
        <w:t xml:space="preserve"> </w:t>
      </w:r>
      <w:r>
        <w:rPr>
          <w:rFonts w:hint="eastAsia" w:ascii="方正小标宋_GBK" w:hAnsi="方正小标宋_GBK" w:eastAsia="方正小标宋_GBK" w:cs="方正小标宋_GBK"/>
          <w:sz w:val="40"/>
          <w:szCs w:val="40"/>
        </w:rPr>
        <w:t>省级分局和计划单列市分局办理的经常项目资金集中和轧差结算收支业务新办</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【00017110200402】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省级分局和计划单列市分局办理的企业经常项目资金集中和轧差结算收支业务登记【000171102004】</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省级分局和计划单列市分局办理的经常项目资金集中和轧差结算收支业务新办(00017110200402)</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（1）《经常项目外汇业务指引（2020年版）》（汇发〔2020〕14号文印发）第一百四十三条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（2）《跨国公司跨境资金集中运营管理规定》（汇发〔2019〕7号文印发）第</w:t>
      </w:r>
      <w:r>
        <w:rPr>
          <w:rFonts w:hint="eastAsia" w:ascii="方正仿宋_GBK" w:hAnsi="方正仿宋_GBK" w:eastAsia="方正仿宋_GBK" w:cs="方正仿宋_GBK"/>
          <w:sz w:val="28"/>
          <w:szCs w:val="28"/>
          <w:lang w:eastAsia="zh-CN"/>
        </w:rPr>
        <w:t>五</w:t>
      </w:r>
      <w:r>
        <w:rPr>
          <w:rFonts w:ascii="方正仿宋_GBK" w:hAnsi="方正仿宋_GBK" w:eastAsia="方正仿宋_GBK" w:cs="方正仿宋_GBK"/>
          <w:sz w:val="28"/>
          <w:szCs w:val="28"/>
        </w:rPr>
        <w:t>条</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《跨国公司跨境资金集中运营管理规定》（汇发〔2019〕7号文印发）第</w:t>
      </w:r>
      <w:r>
        <w:rPr>
          <w:rFonts w:hint="eastAsia" w:ascii="方正仿宋_GBK" w:hAnsi="方正仿宋_GBK" w:eastAsia="方正仿宋_GBK" w:cs="方正仿宋_GBK"/>
          <w:sz w:val="28"/>
          <w:szCs w:val="28"/>
          <w:lang w:eastAsia="zh-CN"/>
        </w:rPr>
        <w:t>七</w:t>
      </w:r>
      <w:r>
        <w:rPr>
          <w:rFonts w:ascii="方正仿宋_GBK" w:hAnsi="方正仿宋_GBK" w:eastAsia="方正仿宋_GBK" w:cs="方正仿宋_GBK"/>
          <w:sz w:val="28"/>
          <w:szCs w:val="28"/>
        </w:rPr>
        <w:t>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《中国人民银行 国家外汇管理局关于跨国公司本外币一体化资金池业务有关事宜的通知</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（银发2025〕251号）第</w:t>
      </w:r>
      <w:r>
        <w:rPr>
          <w:rFonts w:hint="eastAsia" w:ascii="方正仿宋_GBK" w:hAnsi="方正仿宋_GBK" w:eastAsia="方正仿宋_GBK" w:cs="方正仿宋_GBK"/>
          <w:sz w:val="28"/>
          <w:szCs w:val="28"/>
          <w:lang w:eastAsia="zh-CN"/>
        </w:rPr>
        <w:t>三</w:t>
      </w:r>
      <w:r>
        <w:rPr>
          <w:rFonts w:hint="eastAsia" w:ascii="方正仿宋_GBK" w:hAnsi="方正仿宋_GBK" w:eastAsia="方正仿宋_GBK" w:cs="方正仿宋_GBK"/>
          <w:sz w:val="28"/>
          <w:szCs w:val="28"/>
        </w:rPr>
        <w:t>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《中国人民银行 国家外汇管理局关于跨国公司本外币一体化资金池业务有关事宜的通知</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（银发2025〕251号）第</w:t>
      </w:r>
      <w:r>
        <w:rPr>
          <w:rFonts w:hint="eastAsia" w:ascii="方正仿宋_GBK" w:hAnsi="方正仿宋_GBK" w:eastAsia="方正仿宋_GBK" w:cs="方正仿宋_GBK"/>
          <w:sz w:val="28"/>
          <w:szCs w:val="28"/>
          <w:lang w:eastAsia="zh-CN"/>
        </w:rPr>
        <w:t>五</w:t>
      </w:r>
      <w:r>
        <w:rPr>
          <w:rFonts w:hint="eastAsia" w:ascii="方正仿宋_GBK" w:hAnsi="方正仿宋_GBK" w:eastAsia="方正仿宋_GBK" w:cs="方正仿宋_GBK"/>
          <w:sz w:val="28"/>
          <w:szCs w:val="28"/>
        </w:rPr>
        <w:t>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w:t>
      </w:r>
      <w:r>
        <w:rPr>
          <w:rFonts w:ascii="方正仿宋_GBK" w:hAnsi="方正仿宋_GBK" w:eastAsia="方正仿宋_GBK" w:cs="方正仿宋_GBK"/>
          <w:sz w:val="28"/>
          <w:szCs w:val="28"/>
        </w:rPr>
        <w:t>《国家外汇管理局行政许可实施办法》（国家外汇管理局公告2021年第1号）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①若</w:t>
      </w:r>
      <w:r>
        <w:rPr>
          <w:rFonts w:ascii="方正仿宋_GBK" w:hAnsi="方正仿宋_GBK" w:eastAsia="方正仿宋_GBK" w:cs="方正仿宋_GBK"/>
          <w:sz w:val="28"/>
          <w:szCs w:val="28"/>
        </w:rPr>
        <w:t>申请主体</w:t>
      </w:r>
      <w:r>
        <w:rPr>
          <w:rFonts w:hint="eastAsia" w:ascii="方正仿宋_GBK" w:hAnsi="方正仿宋_GBK" w:eastAsia="方正仿宋_GBK" w:cs="方正仿宋_GBK"/>
          <w:sz w:val="28"/>
          <w:szCs w:val="28"/>
          <w:lang w:eastAsia="zh-CN"/>
        </w:rPr>
        <w:t>申请开展跨国公司跨境资金集中运营业务，</w:t>
      </w:r>
      <w:r>
        <w:rPr>
          <w:rFonts w:ascii="方正仿宋_GBK" w:hAnsi="方正仿宋_GBK" w:eastAsia="方正仿宋_GBK" w:cs="方正仿宋_GBK"/>
          <w:sz w:val="28"/>
          <w:szCs w:val="28"/>
        </w:rPr>
        <w:t>办理经常项目资金集中收付和轧差结算收支业务的申请主体为跨国公司主办企业，且需满足以下要求：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具备真实业务需求；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具有完善的跨境资金管理架构、内控制度；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建立相应的内部管理电子系统；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企业上年度本外币国际收支规模超过1亿美元，自由贸易试验区企业上年度本外币国际收支规模超过5000万美元（参加跨境资金集中运营业务的境内成员企业合并计算）；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近三年无重大外汇违法违规行为（成立不满三年的企业，自成立之日起无重大外汇违规行为）；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主办企业和境内成员企业如为贸易外汇收支名录内企业，货物贸易分类结果应为A类。</w:t>
      </w:r>
    </w:p>
    <w:p>
      <w:pPr>
        <w:widowControl w:val="0"/>
        <w:wordWrap/>
        <w:adjustRightInd/>
        <w:snapToGrid/>
        <w:spacing w:line="600" w:lineRule="exact"/>
        <w:ind w:left="0" w:leftChars="0" w:right="0" w:firstLine="560" w:firstLineChars="200"/>
        <w:jc w:val="both"/>
        <w:textAlignment w:val="auto"/>
        <w:outlineLvl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②</w:t>
      </w:r>
      <w:r>
        <w:rPr>
          <w:rFonts w:hint="eastAsia" w:ascii="方正仿宋_GBK" w:hAnsi="方正仿宋_GBK" w:eastAsia="方正仿宋_GBK" w:cs="方正仿宋_GBK"/>
          <w:sz w:val="28"/>
          <w:szCs w:val="28"/>
        </w:rPr>
        <w:t>若</w:t>
      </w:r>
      <w:r>
        <w:rPr>
          <w:rFonts w:hint="eastAsia" w:ascii="方正仿宋_GBK" w:hAnsi="方正仿宋_GBK" w:eastAsia="方正仿宋_GBK" w:cs="方正仿宋_GBK"/>
          <w:sz w:val="28"/>
          <w:szCs w:val="28"/>
          <w:lang w:eastAsia="zh-CN"/>
        </w:rPr>
        <w:t>申请主体</w:t>
      </w:r>
      <w:r>
        <w:rPr>
          <w:rFonts w:hint="eastAsia" w:ascii="方正仿宋_GBK" w:hAnsi="方正仿宋_GBK" w:eastAsia="方正仿宋_GBK" w:cs="方正仿宋_GBK"/>
          <w:sz w:val="28"/>
          <w:szCs w:val="28"/>
        </w:rPr>
        <w:t>申请开展跨国公司本外币一体化资金池业务，则需满足下列条件：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具备真实业务需求</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具有完善的跨境资金管理架构、内控制度</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建立相应的内部管理电子系统</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境内全部成员企业上年度本外币国际收支规模合计金额不低于等值70亿元人民币，境内全部成员企业上年度营业收入合计金额不低于100亿元人民币，境外全部成员企业上年度营业收入合计金额不低于等值20亿元人民币</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近两年无重大跨境收付业务违法违规行为。成立不满两年的企业，自成立之日起无重大跨境收付业务违法违规行为</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主办企业及其他成员企业在贸易外汇收支名录内的，货物贸易分类结果应为A类</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境内外成员企业合计不得少于三家</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境外成员企业为境内企业投资设立的，应符合国家有关境外投资的管理规定</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境内成员企业未被列入跨境人民币业务重点监管名单。</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货物贸易分类结果降为B、C类时，主办企业所在地国家外汇局分局通知跨国公司变更主办企业；其他成员企业货物贸易分类结果降为B、C类时，主办企业应终止其业务，并参照本通知第六条进行成员企业变更。</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主办企业为财务公司的，应同时遵守行业管理部门的规定。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跨国公司跨境资金集中运营管理规定》（汇发〔2019〕7号）第五条满足以下条件的跨国公司,可根据经营需要选择一家境内企业作为主办企业集中运营管理境内外成员企业资金,开展集中外债额度、集中境外放款额度、经常项目资金集中收付和轧差结算中的一项或多项业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（一）具备真实业务需求;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（二）具有完善的跨境资金管理架构、内控制度;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（三）建立相应的内部管理电子系统;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（四）上年度本外币国际收支规模超过 1 亿美元（参加跨境资金集中运营业务的境内成员企业合并计算）;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（五）近三年无重大外汇违法违规行为（成立不满三年的企业,自成立之日起无重大外汇违规行为）;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（六）主办企业和境内成员企业如为贸易外汇收支名录内企业,货物贸易分类结果应为 A 类……。</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（2）《中国人民银行 国家外汇管理局关于跨国公司本外币一体化资金池业务有关事宜的通知》（银发2025〕251号）第三条开展资金池业务的跨国公司需满足下列条件：</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（一）具备真实业务需求。</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（二）具有完善的跨境资金管理架构、内控制度。</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（三）建立相应的内部管理电子系统。</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四）境内全部成员企业上年度本外币国际收支规模合计金额不低于等值70亿元人民币，境内全部成员企业上年度营业收入合计金额不低于100亿元人民币，境外全部成员企业上年度营业收入合计金额不低于等值20亿元人民币。</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（五）近两年无重大跨境收付业务违法违规行为。成立不满两年的企业，自成立之日起无重大跨境收付业务违法违规行为。</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（六）主办企业及其他成员企业在贸易外汇收支名录内的，货物贸易分类结果应为A类。</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（七）境内外成员企业合计不得少于三家。</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（八）境外成员企业为境内企业投资设立的，应符合国家有关境外投资的管理规定。</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（九）境内成员企业未被列入跨境人民币业务重点监管名单。</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主办企业货物贸易分类结果降为B、C类时，主办企业所在地国家外汇局分局通知跨国公司变更主办企业；其他成员企业货物贸易分类结果降为B、C类时，主办企业应终止其业务，并参照本通知第六条进行成员企业变更。</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主办企业为财务公司的，应同时遵守行业管理部门的规定。</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①若企业申请开展跨国公司跨境资金集中运营业务，则申请材料包括：</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加盖公章的备案申请书原件1份。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主办企业与合作银行共同签署的《跨国公司跨境资金集中运营业务办理确认书》原件或加盖公章的复印件1份。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加盖主办企业公章的主办企业及境内成员企业营业执照（统一社会信用代码证）复印件1份。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金融业务许可证及经营范围批准文件原件或加盖公章的复印件1份。</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sz w:val="28"/>
          <w:szCs w:val="28"/>
          <w:lang w:eastAsia="zh-CN"/>
        </w:rPr>
        <w:t>②</w:t>
      </w:r>
      <w:r>
        <w:rPr>
          <w:rFonts w:hint="eastAsia" w:ascii="方正仿宋_GBK" w:hAnsi="方正仿宋_GBK" w:eastAsia="方正仿宋_GBK" w:cs="方正仿宋_GBK"/>
          <w:color w:val="auto"/>
          <w:sz w:val="28"/>
          <w:szCs w:val="28"/>
          <w:lang w:val="en-US" w:eastAsia="zh-CN"/>
        </w:rPr>
        <w:t>若企业开展的是跨国公司本外币一体化资金池业务，则申请材料包括：</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加盖公章的备案申请书原件1份。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跨国公司对主办企业开展跨境资金集中运营业务的授权书原件1份。</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主办企业与其他成员企业签订的资金池业务协议或跨国公司出具的明确各方权利义务且各方均同意的证明材料原件</w:t>
      </w:r>
      <w:r>
        <w:rPr>
          <w:rFonts w:hint="eastAsia" w:ascii="方正仿宋_GBK" w:hAnsi="方正仿宋_GBK" w:eastAsia="方正仿宋_GBK" w:cs="方正仿宋_GBK"/>
          <w:sz w:val="28"/>
          <w:szCs w:val="28"/>
          <w:lang w:val="en-US" w:eastAsia="zh-CN"/>
        </w:rPr>
        <w:t>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主办企业与合作银行签署的《</w:t>
      </w:r>
      <w:r>
        <w:rPr>
          <w:rFonts w:hint="eastAsia" w:ascii="方正仿宋_GBK" w:hAnsi="方正仿宋_GBK" w:eastAsia="方正仿宋_GBK" w:cs="方正仿宋_GBK"/>
          <w:sz w:val="28"/>
          <w:szCs w:val="28"/>
          <w:lang w:eastAsia="zh-CN"/>
        </w:rPr>
        <w:t>跨国公司本外币一体化资金池业务</w:t>
      </w:r>
      <w:r>
        <w:rPr>
          <w:rFonts w:hint="eastAsia" w:ascii="方正仿宋_GBK" w:hAnsi="方正仿宋_GBK" w:eastAsia="方正仿宋_GBK" w:cs="方正仿宋_GBK"/>
          <w:sz w:val="28"/>
          <w:szCs w:val="28"/>
        </w:rPr>
        <w:t>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加盖主办企业公章的主办企业及境内成员企业营业执照复印件1份。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主办企业为财务公司的，需提供</w:t>
      </w:r>
      <w:r>
        <w:rPr>
          <w:rFonts w:hint="eastAsia" w:ascii="方正仿宋_GBK" w:hAnsi="方正仿宋_GBK" w:eastAsia="方正仿宋_GBK" w:cs="方正仿宋_GBK"/>
          <w:sz w:val="28"/>
          <w:szCs w:val="28"/>
        </w:rPr>
        <w:t>金融业务许可证及经营范围批准文件原件或加盖公章的复印件1份。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若主办企业委托合作银行向外汇局提交材料，则需提供主办企业委托合作银行办理备案登记的委托授权书。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一</w:t>
      </w:r>
      <w:r>
        <w:rPr>
          <w:rFonts w:hint="eastAsia" w:ascii="方正仿宋_GBK" w:hAnsi="方正仿宋_GBK" w:eastAsia="方正仿宋_GBK" w:cs="方正仿宋_GBK"/>
          <w:sz w:val="28"/>
          <w:szCs w:val="28"/>
        </w:rPr>
        <w:t xml:space="preserve">）《跨国公司跨境资金集中运营管理规定》（汇发〔2019〕7号文印发）第七条跨国公司开展跨境资金集中运营业务，应通过主办企业所在地国家外汇管理局分支局（以下简称所在地外汇局）向所属外汇分局、管理部（以下简称分局）备案，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（1）基本材料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备案申请书（包括跨国公司及主办企业基本情况、拟开展的业务种类、成员企业名单、主办企业及成员企业股权结构情况、拟选择的合作银行情况等）；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跨国公司对主办企业开展跨境资金集中运营业务的授权书；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主办企业与合作银行共同签署的《跨国公司跨境资金集中运营业务办理确认书》；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境外成员企业注册文件（非中文的同时提供中文翻译件）；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金融业务许可证及经营范围批准文件（仅主办企业为财务公司的需提供）。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以上第2项材料应加盖跨国公司公章，其余材料均应加盖主办企业公章。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（2）专项材料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资金集中收付和轧差净额结算。主办企业申请办理经常项目资金集中收付和轧差净额结算备案时，应在备案申请书中列表说明参与经常项目资金集中收付和轧差净额结算的境内成员企业名称、统一社会信用代码、注册地（加盖主办企业公章）。</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（二）《中国人民银行 国家外汇管理局关于跨国公司本外币一体化资金池业务有关事宜的通知》（银发2025〕251号）第五条跨国公司开展资金池业务，应向主办企业所属省、自治区、直辖市及计划单列市国家外汇局分局（以下统称国家外汇局省级分局）申请办理备案登记，申请材料可由主办企业或主办企业委托的一家合作银行提交主办企业所在地国家外汇局分局。申请材料包括：</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1</w:t>
      </w:r>
      <w:r>
        <w:rPr>
          <w:rFonts w:hint="eastAsia" w:ascii="方正仿宋_GBK" w:hAnsi="方正仿宋_GBK" w:eastAsia="方正仿宋_GBK" w:cs="方正仿宋_GBK"/>
          <w:sz w:val="28"/>
          <w:szCs w:val="28"/>
          <w:highlight w:val="none"/>
          <w:lang w:eastAsia="zh-CN"/>
        </w:rPr>
        <w:t>）基本材料。</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1.申请书，包括跨国公司及主办企业基本情况、拟开展的业务种类、境内全部成员企业上年度本外币国际收支规模、境内外全部成员企业经审计的上年度营业收入情况、近两年跨境收付业务违法违规情况、境内外全部成员企业名单、主办企业及其他成员企业股权结构情况及货物贸易企业分类情况、境内企业投资设立境外成员企业的合规情况、拟选择的合作银行情况、跨境资金管理架构、内控管理及其系统建设情况等。</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2.跨国公司对主办企业开展资金池业务的授权书。</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3.主办企业与其他成员企业签订的资金池业务协议或跨国公司出具的明确各方权利义务且各方均同意的证明材料。</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4.主办企业与合作银行签署的《跨国公司本外币一体化资金池业务办理确认书》。</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5.主办企业及境内其他成员企业营业执照复印件。</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6.境外成员企业注册文件。注册文件为非中文的，需同时提供中文翻译件。</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7.主办企业为财务公司的，需提供金融业务许可证及经营范围批准文件。</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8.主办企业委托合作银行办理备案登记的委托授权书（如有）。</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以上第2项材料应加盖跨国公司公章（如有），第3项材料应加盖主办企业与其他成员企业或跨国公司公章（如有），其余材料均应加盖主办企业公章。</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2</w:t>
      </w:r>
      <w:r>
        <w:rPr>
          <w:rFonts w:hint="eastAsia" w:ascii="方正仿宋_GBK" w:hAnsi="方正仿宋_GBK" w:eastAsia="方正仿宋_GBK" w:cs="方正仿宋_GBK"/>
          <w:sz w:val="28"/>
          <w:szCs w:val="28"/>
          <w:highlight w:val="none"/>
          <w:lang w:eastAsia="zh-CN"/>
        </w:rPr>
        <w:t>）专项材料。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highlight w:val="none"/>
          <w:lang w:eastAsia="zh-CN"/>
        </w:rPr>
        <w:t>申请办理经常项目资金集中收付和轧差净额结算的：申请书中列表说明参加经常项目资金集中收付和轧差净额结算的境内成员企业名称、统一社会信用代码、注册地。</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 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2.收费项目的名称、收费项目的标准、设定收费项目的依据、规定收费标准的依据: </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国家外汇管理局广西壮族自治区分局关于</w:t>
      </w:r>
      <w:r>
        <w:rPr>
          <w:rFonts w:hint="eastAsia" w:ascii="方正仿宋_GBK" w:hAnsi="方正仿宋_GBK" w:eastAsia="方正仿宋_GBK" w:cs="方正仿宋_GBK"/>
          <w:sz w:val="28"/>
          <w:szCs w:val="28"/>
          <w:lang w:val="en-US" w:eastAsia="zh-CN"/>
        </w:rPr>
        <w:t>XX公司开展跨境资金集中运营业务的备案通知书</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或《国家外汇管理局广西壮族自治区分局关于</w:t>
      </w:r>
      <w:r>
        <w:rPr>
          <w:rFonts w:hint="eastAsia" w:ascii="方正仿宋_GBK" w:hAnsi="方正仿宋_GBK" w:eastAsia="方正仿宋_GBK" w:cs="方正仿宋_GBK"/>
          <w:sz w:val="28"/>
          <w:szCs w:val="28"/>
          <w:lang w:val="en-US" w:eastAsia="zh-CN"/>
        </w:rPr>
        <w:t>XX公司开展本外币一体化资金池业务的备案通知书</w:t>
      </w:r>
      <w:r>
        <w:rPr>
          <w:rFonts w:hint="eastAsia" w:ascii="方正仿宋_GBK" w:hAnsi="方正仿宋_GBK" w:eastAsia="方正仿宋_GBK" w:cs="方正仿宋_GBK"/>
          <w:sz w:val="28"/>
          <w:szCs w:val="28"/>
          <w:lang w:eastAsia="zh-CN"/>
        </w:rPr>
        <w:t>》</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4.规定审批结果有效期限的依据: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:30</w:t>
      </w:r>
    </w:p>
    <w:p>
      <w:pPr>
        <w:rPr>
          <w:rFonts w:eastAsia="黑体"/>
          <w:color w:val="auto"/>
          <w:sz w:val="28"/>
          <w:szCs w:val="28"/>
        </w:rPr>
      </w:pPr>
      <w:r>
        <w:rPr>
          <w:rFonts w:hint="eastAsia" w:eastAsia="黑体"/>
          <w:color w:val="auto"/>
          <w:sz w:val="28"/>
          <w:szCs w:val="28"/>
        </w:rPr>
        <w:t>十六、</w:t>
      </w:r>
      <w:r>
        <w:rPr>
          <w:rFonts w:eastAsia="黑体"/>
          <w:color w:val="auto"/>
          <w:sz w:val="28"/>
          <w:szCs w:val="28"/>
        </w:rPr>
        <w:t>咨询途径</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1.窗口咨询地址：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2.电话咨询号码：</w:t>
      </w:r>
      <w:r>
        <w:rPr>
          <w:rFonts w:hint="eastAsia" w:ascii="方正仿宋_GBK" w:hAnsi="方正仿宋_GBK" w:eastAsia="方正仿宋_GBK" w:cs="方正仿宋_GBK"/>
          <w:color w:val="auto"/>
          <w:sz w:val="28"/>
          <w:szCs w:val="28"/>
          <w:lang w:val="en-US" w:eastAsia="zh-CN"/>
        </w:rPr>
        <w:t>0771-6111201</w:t>
      </w:r>
    </w:p>
    <w:p>
      <w:pPr>
        <w:spacing w:line="540" w:lineRule="exact"/>
        <w:ind w:firstLine="562" w:firstLineChars="200"/>
        <w:outlineLvl w:val="2"/>
        <w:rPr>
          <w:rFonts w:eastAsia="仿宋GB2312"/>
          <w:b/>
          <w:bCs/>
          <w:color w:val="auto"/>
          <w:sz w:val="28"/>
          <w:szCs w:val="28"/>
        </w:rPr>
      </w:pPr>
      <w:r>
        <w:rPr>
          <w:rFonts w:hint="eastAsia" w:eastAsia="仿宋GB2312"/>
          <w:b/>
          <w:bCs/>
          <w:color w:val="auto"/>
          <w:sz w:val="28"/>
          <w:szCs w:val="28"/>
        </w:rPr>
        <w:t>3.咨询网址：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rPr>
          <w:rFonts w:eastAsia="仿宋GB2312"/>
          <w:b/>
          <w:bCs/>
          <w:color w:val="auto"/>
          <w:sz w:val="28"/>
          <w:szCs w:val="28"/>
        </w:rPr>
      </w:pPr>
      <w:r>
        <w:rPr>
          <w:rFonts w:hint="eastAsia" w:eastAsia="黑体"/>
          <w:color w:val="auto"/>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1.电话监督投诉：</w:t>
      </w:r>
      <w:r>
        <w:rPr>
          <w:rFonts w:hint="eastAsia" w:ascii="方正仿宋_GBK" w:hAnsi="方正仿宋_GBK" w:eastAsia="方正仿宋_GBK" w:cs="方正仿宋_GBK"/>
          <w:color w:val="auto"/>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color w:val="auto"/>
          <w:sz w:val="28"/>
          <w:szCs w:val="28"/>
        </w:rPr>
      </w:pPr>
      <w:r>
        <w:rPr>
          <w:rFonts w:hint="eastAsia" w:eastAsia="仿宋GB2312"/>
          <w:b/>
          <w:bCs/>
          <w:color w:val="auto"/>
          <w:sz w:val="28"/>
          <w:szCs w:val="28"/>
          <w:lang w:val="en-US" w:eastAsia="zh-CN"/>
        </w:rPr>
        <w:t>2</w:t>
      </w:r>
      <w:r>
        <w:rPr>
          <w:rFonts w:hint="eastAsia" w:eastAsia="仿宋GB2312"/>
          <w:b/>
          <w:bCs/>
          <w:color w:val="auto"/>
          <w:sz w:val="28"/>
          <w:szCs w:val="28"/>
        </w:rPr>
        <w:t>.网络监督投诉网址：</w:t>
      </w:r>
      <w:r>
        <w:rPr>
          <w:rFonts w:hint="eastAsia" w:ascii="方正仿宋_GBK" w:hAnsi="方正仿宋_GBK" w:eastAsia="方正仿宋_GBK" w:cs="方正仿宋_GBK"/>
          <w:color w:val="auto"/>
          <w:sz w:val="28"/>
          <w:szCs w:val="28"/>
          <w:lang w:eastAsia="zh-CN"/>
        </w:rPr>
        <w:t>国家外汇管理局广西壮族自治区分局官方网站（www.safe.gov.cn</w:t>
      </w:r>
      <w:r>
        <w:rPr>
          <w:rFonts w:hint="eastAsia" w:ascii="方正仿宋_GBK" w:hAnsi="方正仿宋_GBK" w:eastAsia="方正仿宋_GBK" w:cs="方正仿宋_GBK"/>
          <w:color w:val="auto"/>
          <w:sz w:val="28"/>
          <w:szCs w:val="28"/>
          <w:lang w:val="en-US" w:eastAsia="zh-CN"/>
        </w:rPr>
        <w:t>/guangxi/）</w:t>
      </w:r>
      <w:r>
        <w:rPr>
          <w:rFonts w:hint="eastAsia" w:ascii="方正仿宋_GBK" w:hAnsi="方正仿宋_GBK" w:eastAsia="方正仿宋_GBK" w:cs="方正仿宋_GBK"/>
          <w:color w:val="auto"/>
          <w:sz w:val="28"/>
          <w:szCs w:val="28"/>
          <w:lang w:eastAsia="zh-CN"/>
        </w:rPr>
        <w:t>咨询反馈栏目</w:t>
      </w:r>
    </w:p>
    <w:p>
      <w:pPr>
        <w:spacing w:line="540" w:lineRule="exact"/>
        <w:outlineLvl w:val="1"/>
        <w:rPr>
          <w:rFonts w:ascii="Times New Roman" w:hAnsi="Times New Roman" w:eastAsia="黑体"/>
          <w:color w:val="auto"/>
          <w:sz w:val="28"/>
          <w:szCs w:val="28"/>
        </w:rPr>
      </w:pPr>
      <w:r>
        <w:rPr>
          <w:rFonts w:hint="eastAsia" w:ascii="Times New Roman" w:hAnsi="Times New Roman" w:eastAsia="黑体"/>
          <w:color w:val="auto"/>
          <w:sz w:val="28"/>
          <w:szCs w:val="28"/>
        </w:rPr>
        <w:t>十</w:t>
      </w:r>
      <w:r>
        <w:rPr>
          <w:rFonts w:hint="eastAsia" w:ascii="Times New Roman" w:hAnsi="Times New Roman" w:eastAsia="黑体"/>
          <w:color w:val="auto"/>
          <w:sz w:val="28"/>
          <w:szCs w:val="28"/>
          <w:lang w:eastAsia="zh-CN"/>
        </w:rPr>
        <w:t>八</w:t>
      </w:r>
      <w:r>
        <w:rPr>
          <w:rFonts w:hint="eastAsia" w:ascii="Times New Roman" w:hAnsi="Times New Roman" w:eastAsia="黑体"/>
          <w:color w:val="auto"/>
          <w:sz w:val="28"/>
          <w:szCs w:val="28"/>
        </w:rPr>
        <w:t>、备注</w:t>
      </w:r>
    </w:p>
    <w:p>
      <w:pPr>
        <w:spacing w:line="600" w:lineRule="exact"/>
        <w:ind w:firstLine="560" w:firstLineChars="200"/>
        <w:rPr>
          <w:rFonts w:ascii="方正仿宋_GBK" w:hAnsi="方正仿宋_GBK" w:eastAsia="方正仿宋_GBK" w:cs="方正仿宋_GBK"/>
          <w:color w:val="auto"/>
          <w:sz w:val="28"/>
          <w:szCs w:val="28"/>
        </w:rPr>
      </w:pPr>
      <w:r>
        <w:rPr>
          <w:rFonts w:ascii="方正仿宋_GBK" w:hAnsi="方正仿宋_GBK" w:eastAsia="方正仿宋_GBK" w:cs="方正仿宋_GBK"/>
          <w:color w:val="auto"/>
          <w:sz w:val="28"/>
          <w:szCs w:val="28"/>
        </w:rPr>
        <w:br w:type="page"/>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省级分局和计划单列市分局办理的经常项目资金集中和轧差结算收支业务变更</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【00017110200401】</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省级分局和计划单列市分局办理的企业经常项目资金集中和轧差结算收支业务登记【000171102004】</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省级分局和计划单列市分局办理的经常项目资金集中和轧差结算收支业务变更(00017110200401)</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（1）《经常项目外汇业务指引（2020年版）》（汇发〔2020〕14号文印发）第一百四十三条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（2）《跨国公司跨境资金集中运营管理规定》（汇发〔2019〕7号文印发）第</w:t>
      </w:r>
      <w:r>
        <w:rPr>
          <w:rFonts w:hint="eastAsia" w:ascii="方正仿宋_GBK" w:hAnsi="方正仿宋_GBK" w:eastAsia="方正仿宋_GBK" w:cs="方正仿宋_GBK"/>
          <w:sz w:val="28"/>
          <w:szCs w:val="28"/>
          <w:lang w:eastAsia="zh-CN"/>
        </w:rPr>
        <w:t>七</w:t>
      </w:r>
      <w:r>
        <w:rPr>
          <w:rFonts w:ascii="方正仿宋_GBK" w:hAnsi="方正仿宋_GBK" w:eastAsia="方正仿宋_GBK" w:cs="方正仿宋_GBK"/>
          <w:sz w:val="28"/>
          <w:szCs w:val="28"/>
        </w:rPr>
        <w:t>条</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《跨国公司跨境资金集中运营管理规定》（汇发〔2019〕7号文印发）第</w:t>
      </w:r>
      <w:r>
        <w:rPr>
          <w:rFonts w:hint="eastAsia" w:ascii="方正仿宋_GBK" w:hAnsi="方正仿宋_GBK" w:eastAsia="方正仿宋_GBK" w:cs="方正仿宋_GBK"/>
          <w:sz w:val="28"/>
          <w:szCs w:val="28"/>
          <w:lang w:eastAsia="zh-CN"/>
        </w:rPr>
        <w:t>十</w:t>
      </w:r>
      <w:r>
        <w:rPr>
          <w:rFonts w:ascii="方正仿宋_GBK" w:hAnsi="方正仿宋_GBK" w:eastAsia="方正仿宋_GBK" w:cs="方正仿宋_GBK"/>
          <w:sz w:val="28"/>
          <w:szCs w:val="28"/>
        </w:rPr>
        <w:t>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《中国人民银行 国家外汇管理局关于跨国公司本外币一体化资金池业务有关事宜的通知</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（银发2025〕251号）第</w:t>
      </w:r>
      <w:r>
        <w:rPr>
          <w:rFonts w:hint="eastAsia" w:ascii="方正仿宋_GBK" w:hAnsi="方正仿宋_GBK" w:eastAsia="方正仿宋_GBK" w:cs="方正仿宋_GBK"/>
          <w:sz w:val="28"/>
          <w:szCs w:val="28"/>
          <w:lang w:eastAsia="zh-CN"/>
        </w:rPr>
        <w:t>五</w:t>
      </w:r>
      <w:r>
        <w:rPr>
          <w:rFonts w:hint="eastAsia" w:ascii="方正仿宋_GBK" w:hAnsi="方正仿宋_GBK" w:eastAsia="方正仿宋_GBK" w:cs="方正仿宋_GBK"/>
          <w:sz w:val="28"/>
          <w:szCs w:val="28"/>
        </w:rPr>
        <w:t>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《中国人民银行 国家外汇管理局关于跨国公司本外币一体化资金池业务有关事宜的通知</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（银发2025〕251号）第</w:t>
      </w:r>
      <w:r>
        <w:rPr>
          <w:rFonts w:hint="eastAsia" w:ascii="方正仿宋_GBK" w:hAnsi="方正仿宋_GBK" w:eastAsia="方正仿宋_GBK" w:cs="方正仿宋_GBK"/>
          <w:sz w:val="28"/>
          <w:szCs w:val="28"/>
          <w:lang w:eastAsia="zh-CN"/>
        </w:rPr>
        <w:t>七</w:t>
      </w:r>
      <w:r>
        <w:rPr>
          <w:rFonts w:hint="eastAsia" w:ascii="方正仿宋_GBK" w:hAnsi="方正仿宋_GBK" w:eastAsia="方正仿宋_GBK" w:cs="方正仿宋_GBK"/>
          <w:sz w:val="28"/>
          <w:szCs w:val="28"/>
        </w:rPr>
        <w:t>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w:t>
      </w:r>
      <w:r>
        <w:rPr>
          <w:rFonts w:ascii="方正仿宋_GBK" w:hAnsi="方正仿宋_GBK" w:eastAsia="方正仿宋_GBK" w:cs="方正仿宋_GBK"/>
          <w:sz w:val="28"/>
          <w:szCs w:val="28"/>
        </w:rPr>
        <w:t>《国家外汇管理局行政许可实施办法》（国家外汇管理局公告2021年第1号）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跨国公司跨境资金集中运营业务办理期间，合作银行、主办企业、成员企业、业务种类等发生变更的跨国公司主办企业。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跨国公司跨境资金集中运营管理规定》（汇发〔2019〕7号）第十条跨国公司跨境资金集中运营业务办理期间，合作银行、主办企业、成员企业、业务种类等发生变更的，主办企业应提前一个月通过所在地外汇局向分局变更备案。</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（2）《中国人民银行 国家外汇管理局关于跨国公司本外币一体化资金池业务有关事宜的通知》（银发2025〕251号）第六条跨国公司开展资金池业务期间，发生合作银行、主办企业、业务种类等变更的，主办企业应在变更之日起30日内向国家外汇局省级分局申请办理变更备案登记，申请材料可由主办企业或主办企业委托的一家合作银行提交主办企业所在地国家外汇局分局。</w:t>
      </w:r>
    </w:p>
    <w:p>
      <w:pPr>
        <w:numPr>
          <w:ilvl w:val="0"/>
          <w:numId w:val="2"/>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①若企业开展的是跨国公司跨境资金集中运营业务，则变更材料包括：</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申请书1份。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加盖银行业务公章的原账户余额对账单原件或加盖公章的复印件1份。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主办企业与变更后合作银行签署的《跨国公司跨境资金集中运营业务办理确认书》原件或加盖公章的复印件1份。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主办企业与合作银行共同签署的《跨国公司跨境资金集中运营业务办理确认书》原件或加盖公章的复印件1份。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主办企业及境内成员企业营业执照（统一社会信用代码证）原件或加盖公章的复印件1份。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金融业务许可证及经营范围批准文件原件或加盖公章的复印件1份。</w:t>
      </w:r>
    </w:p>
    <w:p>
      <w:pPr>
        <w:spacing w:line="600" w:lineRule="exact"/>
        <w:ind w:firstLine="560" w:firstLineChars="200"/>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sz w:val="28"/>
          <w:szCs w:val="28"/>
          <w:lang w:eastAsia="zh-CN"/>
        </w:rPr>
        <w:t>②</w:t>
      </w:r>
      <w:r>
        <w:rPr>
          <w:rFonts w:hint="eastAsia" w:ascii="方正仿宋_GBK" w:hAnsi="方正仿宋_GBK" w:eastAsia="方正仿宋_GBK" w:cs="方正仿宋_GBK"/>
          <w:color w:val="auto"/>
          <w:sz w:val="28"/>
          <w:szCs w:val="28"/>
          <w:lang w:eastAsia="zh-CN"/>
        </w:rPr>
        <w:t>若企业开展的是跨国公司本外币一体化资金池业务，则变更材料包括：</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申请书1份。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加盖银行业务公章的原账户余额对账单原件或加盖公章的复印件1份</w:t>
      </w:r>
      <w:r>
        <w:rPr>
          <w:rFonts w:hint="eastAsia" w:ascii="方正仿宋_GBK" w:hAnsi="方正仿宋_GBK" w:eastAsia="方正仿宋_GBK" w:cs="方正仿宋_GBK"/>
          <w:sz w:val="28"/>
          <w:szCs w:val="28"/>
          <w:lang w:val="en-US" w:eastAsia="zh-CN"/>
        </w:rPr>
        <w:t>（新增合作银行的无需提供）</w:t>
      </w:r>
      <w:r>
        <w:rPr>
          <w:rFonts w:hint="eastAsia" w:ascii="方正仿宋_GBK" w:hAnsi="方正仿宋_GBK" w:eastAsia="方正仿宋_GBK" w:cs="方正仿宋_GBK"/>
          <w:sz w:val="28"/>
          <w:szCs w:val="28"/>
        </w:rPr>
        <w:t>。</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主办企业与变更后合作银行签署的</w:t>
      </w:r>
      <w:r>
        <w:rPr>
          <w:rFonts w:hint="eastAsia" w:ascii="方正仿宋_GBK" w:hAnsi="方正仿宋_GBK" w:eastAsia="方正仿宋_GBK" w:cs="方正仿宋_GBK"/>
          <w:sz w:val="28"/>
          <w:szCs w:val="28"/>
          <w:lang w:val="en-US" w:eastAsia="zh-CN"/>
        </w:rPr>
        <w:t>《跨国公司本外币一体化资金池业务办理确认书》</w:t>
      </w:r>
      <w:r>
        <w:rPr>
          <w:rFonts w:hint="eastAsia" w:ascii="方正仿宋_GBK" w:hAnsi="方正仿宋_GBK" w:eastAsia="方正仿宋_GBK" w:cs="方正仿宋_GBK"/>
          <w:sz w:val="28"/>
          <w:szCs w:val="28"/>
        </w:rPr>
        <w:t>原件或加盖公章的复印件1份。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跨国公司对主办企业开展跨境资金集中运营业务的授权书原件或加盖公章的复印件1份。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主办企业与其他成员企业签订的资金池业务协议或跨国公司出具的明确各方权利义务且各方均同意的证明材料原件</w:t>
      </w:r>
      <w:r>
        <w:rPr>
          <w:rFonts w:hint="eastAsia" w:ascii="方正仿宋_GBK" w:hAnsi="方正仿宋_GBK" w:eastAsia="方正仿宋_GBK" w:cs="方正仿宋_GBK"/>
          <w:sz w:val="28"/>
          <w:szCs w:val="28"/>
        </w:rPr>
        <w:t>或加盖公章的复印件1份</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主办企业及境内成员企业营业执照（统一社会信用代码证）原件或加盖公章的复印件1份。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境外成员企业注册文件原件或加盖公章的复印件1份。</w:t>
      </w:r>
    </w:p>
    <w:p>
      <w:pPr>
        <w:spacing w:line="600" w:lineRule="exact"/>
        <w:ind w:firstLine="560" w:firstLineChars="200"/>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eastAsia="zh-CN"/>
        </w:rPr>
        <w:t>主办企业为财务公司的，需提供金融业务许可证及经营范围批准文件原件或加盖公章的复印件1份。</w:t>
      </w:r>
    </w:p>
    <w:p>
      <w:pPr>
        <w:spacing w:line="600" w:lineRule="exact"/>
        <w:ind w:firstLine="560" w:firstLineChars="200"/>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eastAsia="zh-CN"/>
        </w:rPr>
        <w:t>若主办企业委托合作银行向外汇局提交材料，则需提供主办企业委托合作银行办理备案登记的委托授权书。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一</w:t>
      </w:r>
      <w:r>
        <w:rPr>
          <w:rFonts w:hint="eastAsia" w:ascii="方正仿宋_GBK" w:hAnsi="方正仿宋_GBK" w:eastAsia="方正仿宋_GBK" w:cs="方正仿宋_GBK"/>
          <w:sz w:val="28"/>
          <w:szCs w:val="28"/>
        </w:rPr>
        <w:t xml:space="preserve">）《跨国公司跨境资金集中运营管理规定》（汇发〔2019〕7号文印发）第七条跨国公司开展跨境资金集中运营业务，应通过主办企业所在地国家外汇管理局分支局（以下简称所在地外汇局）向所属外汇分局、管理部（以下简称分局）备案，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（1）基本材料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备案申请书（包括跨国公司及主办企业基本情况、拟开展的业务种类、成员企业名单、主办企业及成员企业股权结构情况、拟选择的合作银行情况等）；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跨国公司对主办企业开展跨境资金集中运营业务的授权书；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主办企业与合作银行共同签署的《跨国公司跨境资金集中运营业务办理确认书》；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境外成员企业注册文件（非中文的同时提供中文翻译件）；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金融业务许可证及经营范围批准文件（仅主办企业为财务公司的需提供）。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以上第2项材料应加盖跨国公司公章，其余材料均应加盖主办企业公章。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（2）专项材料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资金集中收付和轧差净额结算。主办企业申请办理经常项目资金集中收付和轧差净额结算备案时，应在备案申请书中列表说明参与经常项目资金集中收付和轧差净额结算的境内成员企业名称、统一社会信用代码、注册地（加盖主办企业公章）。</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二</w:t>
      </w:r>
      <w:r>
        <w:rPr>
          <w:rFonts w:hint="eastAsia" w:ascii="方正仿宋_GBK" w:hAnsi="方正仿宋_GBK" w:eastAsia="方正仿宋_GBK" w:cs="方正仿宋_GBK"/>
          <w:sz w:val="28"/>
          <w:szCs w:val="28"/>
        </w:rPr>
        <w:t xml:space="preserve">）《跨国公司跨境资金集中运营管理规定》（汇发〔2019〕7号文印发）第十条……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合作银行变更的，应提交以下材料：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变更合作银行申请（包括拟选择的合作银行，原账户余额的处理方式等）；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加盖银行业务公章的原账户余额对账单；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主办企业与变更后合作银行签署的《跨国公司跨境资金集中运营业务办理确认书》。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主办企业变更、成员企业新增或退出、外债和境外放款额度变更、业务种类变更的，……参照第七条提交材料……。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根据《国家外汇管理局关于取消有关外汇管理证明事项的通知》（汇发〔2019〕38号 ）附件 外汇管理取消证明事项目录第10条跨国公司跨境资金集中运营业务原备案通知书复印件已取消。</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（三）《中国人民银行 国家外汇管理局关于跨国公司本外币一体化资金池业务有关事宜的通知》（银发2025〕251号）第五条跨国公司开展资金池业务，应向主办企业所属省、自治区、直辖市及计划单列市国家外汇局分局（以下统称国家外汇局省级分局）申请办理备案登记，申请材料可由主办企业或主办企业委托的一家合作银行提交主办企业所在地国家外汇局分局。申请材料包括：</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1</w:t>
      </w:r>
      <w:r>
        <w:rPr>
          <w:rFonts w:hint="eastAsia" w:ascii="方正仿宋_GBK" w:hAnsi="方正仿宋_GBK" w:eastAsia="方正仿宋_GBK" w:cs="方正仿宋_GBK"/>
          <w:sz w:val="28"/>
          <w:szCs w:val="28"/>
          <w:highlight w:val="none"/>
          <w:lang w:eastAsia="zh-CN"/>
        </w:rPr>
        <w:t>）基本材料。</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1.申请书，包括跨国公司及主办企业基本情况、拟开展的业务种类、境内全部成员企业上年度本外币国际收支规模、境内外全部成员企业经审计的上年度营业收入情况、近两年跨境收付业务违法违规情况、境内外全部成员企业名单、主办企业及其他成员企业股权结构情况及货物贸易企业分类情况、境内企业投资设立境外成员企业的合规情况、拟选择的合作银行情况、跨境资金管理架构、内控管理及其系统建设情况等。</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2.跨国公司对主办企业开展资金池业务的授权书。</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3.主办企业与其他成员企业签订的资金池业务协议或跨国公司出具的明确各方权利义务且各方均同意的证明材料。</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4.主办企业与合作银行签署的《跨国公司本外币一体化资金池业务办理确认书》。</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5.主办企业及境内其他成员企业营业执照复印件。</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6.境外成员企业注册文件。注册文件为非中文的，需同时提供中文翻译件。</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7.主办企业为财务公司的，需提供金融业务许可证及经营范围批准文件。</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8.主办企业委托合作银行办理备案登记的委托授权书（如有）。</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以上第2项材料应加盖跨国公司公章（如有），第3项材料应加盖主办企业与其他成员企业或跨国公司公章（如有），其余材料均应加盖主办企业公章。</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2</w:t>
      </w:r>
      <w:r>
        <w:rPr>
          <w:rFonts w:hint="eastAsia" w:ascii="方正仿宋_GBK" w:hAnsi="方正仿宋_GBK" w:eastAsia="方正仿宋_GBK" w:cs="方正仿宋_GBK"/>
          <w:sz w:val="28"/>
          <w:szCs w:val="28"/>
          <w:highlight w:val="none"/>
          <w:lang w:eastAsia="zh-CN"/>
        </w:rPr>
        <w:t>）专项材料。</w:t>
      </w:r>
    </w:p>
    <w:p>
      <w:pPr>
        <w:spacing w:line="600" w:lineRule="exact"/>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lang w:val="en-US" w:eastAsia="zh-CN"/>
        </w:rPr>
        <w:t xml:space="preserve">    </w:t>
      </w:r>
      <w:r>
        <w:rPr>
          <w:rFonts w:hint="eastAsia" w:ascii="方正仿宋_GBK" w:hAnsi="方正仿宋_GBK" w:eastAsia="方正仿宋_GBK" w:cs="方正仿宋_GBK"/>
          <w:sz w:val="28"/>
          <w:szCs w:val="28"/>
          <w:highlight w:val="none"/>
          <w:lang w:eastAsia="zh-CN"/>
        </w:rPr>
        <w:t>申请办理经常项目资金集中收付和轧差净额结算的：申请书中列表说明参加经常项目资金集中收付和轧差净额结算的境内成员企业名称、统一社会信用代码、注册地。</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（四）《中国人民银行 国家外汇管理局关于跨国公司本外币一体化资金池业务有关事宜的通知》（银发2025〕251号）第六条跨国公司开展资金池业务期间，发生下列变更情形的，主办企业应在变更之日起30日内向国家外汇局省级分局申请办理变更备案登记，申请材料可由主办企业或主办企业委托的一家合作银行提交主办企业所在地国家外汇局分局。申请材料包括：</w:t>
      </w:r>
    </w:p>
    <w:p>
      <w:pPr>
        <w:spacing w:line="600" w:lineRule="exact"/>
        <w:ind w:firstLine="560" w:firstLineChars="200"/>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1</w:t>
      </w:r>
      <w:r>
        <w:rPr>
          <w:rFonts w:hint="eastAsia" w:ascii="方正仿宋_GBK" w:hAnsi="方正仿宋_GBK" w:eastAsia="方正仿宋_GBK" w:cs="方正仿宋_GBK"/>
          <w:sz w:val="28"/>
          <w:szCs w:val="28"/>
          <w:highlight w:val="none"/>
          <w:lang w:eastAsia="zh-CN"/>
        </w:rPr>
        <w:t>）合作银行变更的：</w:t>
      </w:r>
    </w:p>
    <w:p>
      <w:pPr>
        <w:spacing w:line="600" w:lineRule="exact"/>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val="en-US" w:eastAsia="zh-CN"/>
        </w:rPr>
        <w:t xml:space="preserve">    </w:t>
      </w:r>
      <w:r>
        <w:rPr>
          <w:rFonts w:hint="eastAsia" w:ascii="方正仿宋_GBK" w:hAnsi="方正仿宋_GBK" w:eastAsia="方正仿宋_GBK" w:cs="方正仿宋_GBK"/>
          <w:sz w:val="28"/>
          <w:szCs w:val="28"/>
          <w:highlight w:val="none"/>
          <w:lang w:eastAsia="zh-CN"/>
        </w:rPr>
        <w:t>1.变更合作银行申请，包括拟选择的合作银行情况，原账户余额的处理方式等。</w:t>
      </w:r>
    </w:p>
    <w:p>
      <w:pPr>
        <w:spacing w:line="600" w:lineRule="exact"/>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val="en-US" w:eastAsia="zh-CN"/>
        </w:rPr>
        <w:t xml:space="preserve">    </w:t>
      </w:r>
      <w:r>
        <w:rPr>
          <w:rFonts w:hint="eastAsia" w:ascii="方正仿宋_GBK" w:hAnsi="方正仿宋_GBK" w:eastAsia="方正仿宋_GBK" w:cs="方正仿宋_GBK"/>
          <w:sz w:val="28"/>
          <w:szCs w:val="28"/>
          <w:highlight w:val="none"/>
          <w:lang w:eastAsia="zh-CN"/>
        </w:rPr>
        <w:t>2.加盖银行业务公章的原账户余额对账单（新增合作银行的无需提供）。</w:t>
      </w:r>
    </w:p>
    <w:p>
      <w:pPr>
        <w:spacing w:line="600" w:lineRule="exact"/>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val="en-US" w:eastAsia="zh-CN"/>
        </w:rPr>
        <w:t xml:space="preserve">    </w:t>
      </w:r>
      <w:r>
        <w:rPr>
          <w:rFonts w:hint="eastAsia" w:ascii="方正仿宋_GBK" w:hAnsi="方正仿宋_GBK" w:eastAsia="方正仿宋_GBK" w:cs="方正仿宋_GBK"/>
          <w:sz w:val="28"/>
          <w:szCs w:val="28"/>
          <w:highlight w:val="none"/>
          <w:lang w:eastAsia="zh-CN"/>
        </w:rPr>
        <w:t>3.主办企业与变更后合作银行签署的《跨国公司本外币一体化资金池业务办理确认书》。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highlight w:val="none"/>
          <w:lang w:val="en-US" w:eastAsia="zh-CN"/>
        </w:rPr>
        <w:t xml:space="preserve">    </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2</w:t>
      </w:r>
      <w:r>
        <w:rPr>
          <w:rFonts w:hint="eastAsia" w:ascii="方正仿宋_GBK" w:hAnsi="方正仿宋_GBK" w:eastAsia="方正仿宋_GBK" w:cs="方正仿宋_GBK"/>
          <w:sz w:val="28"/>
          <w:szCs w:val="28"/>
          <w:highlight w:val="none"/>
          <w:lang w:eastAsia="zh-CN"/>
        </w:rPr>
        <w:t>）主办企业、业务种类、外债和境外放款额度等变更的，参照本通知第五条提交与变更事项有关材料。</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国家外汇管理局广西壮族自治区分局关于</w:t>
      </w:r>
      <w:r>
        <w:rPr>
          <w:rFonts w:hint="eastAsia" w:ascii="方正仿宋_GBK" w:hAnsi="方正仿宋_GBK" w:eastAsia="方正仿宋_GBK" w:cs="方正仿宋_GBK"/>
          <w:sz w:val="28"/>
          <w:szCs w:val="28"/>
          <w:lang w:val="en-US" w:eastAsia="zh-CN"/>
        </w:rPr>
        <w:t>XX公司变更跨境资金集中运营业务的备案通知书</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或《国家外汇管理局广西壮族自治区分局关于</w:t>
      </w:r>
      <w:r>
        <w:rPr>
          <w:rFonts w:hint="eastAsia" w:ascii="方正仿宋_GBK" w:hAnsi="方正仿宋_GBK" w:eastAsia="方正仿宋_GBK" w:cs="方正仿宋_GBK"/>
          <w:sz w:val="28"/>
          <w:szCs w:val="28"/>
          <w:lang w:val="en-US" w:eastAsia="zh-CN"/>
        </w:rPr>
        <w:t>XX公司变更</w:t>
      </w:r>
      <w:bookmarkStart w:id="0" w:name="_GoBack"/>
      <w:bookmarkEnd w:id="0"/>
      <w:r>
        <w:rPr>
          <w:rFonts w:hint="eastAsia" w:ascii="方正仿宋_GBK" w:hAnsi="方正仿宋_GBK" w:eastAsia="方正仿宋_GBK" w:cs="方正仿宋_GBK"/>
          <w:sz w:val="28"/>
          <w:szCs w:val="28"/>
          <w:lang w:val="en-US" w:eastAsia="zh-CN"/>
        </w:rPr>
        <w:t>本外币一体化资金池业务的备案通知书</w:t>
      </w:r>
      <w:r>
        <w:rPr>
          <w:rFonts w:hint="eastAsia" w:ascii="方正仿宋_GBK" w:hAnsi="方正仿宋_GBK" w:eastAsia="方正仿宋_GBK" w:cs="方正仿宋_GBK"/>
          <w:sz w:val="28"/>
          <w:szCs w:val="28"/>
          <w:lang w:eastAsia="zh-CN"/>
        </w:rPr>
        <w:t>》</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4.规定审批结果有效期限的依据: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r>
        <w:rPr>
          <w:rFonts w:hint="eastAsia" w:eastAsia="黑体"/>
          <w:color w:val="auto"/>
          <w:sz w:val="28"/>
          <w:szCs w:val="28"/>
        </w:rPr>
        <w:t>十六、</w:t>
      </w:r>
      <w:r>
        <w:rPr>
          <w:rFonts w:eastAsia="黑体"/>
          <w:color w:val="auto"/>
          <w:sz w:val="28"/>
          <w:szCs w:val="28"/>
        </w:rPr>
        <w:t>咨询途径</w:t>
      </w:r>
    </w:p>
    <w:p>
      <w:pPr>
        <w:spacing w:line="540" w:lineRule="exact"/>
        <w:ind w:firstLine="562" w:firstLineChars="200"/>
        <w:outlineLvl w:val="2"/>
        <w:rPr>
          <w:rFonts w:hint="eastAsia" w:ascii="方正仿宋_GBK" w:hAnsi="方正仿宋_GBK" w:eastAsia="方正仿宋_GBK" w:cs="方正仿宋_GBK"/>
          <w:color w:val="auto"/>
          <w:sz w:val="28"/>
          <w:szCs w:val="28"/>
          <w:lang w:val="en-US" w:eastAsia="zh-CN"/>
        </w:rPr>
      </w:pPr>
      <w:r>
        <w:rPr>
          <w:rFonts w:hint="eastAsia" w:eastAsia="仿宋GB2312"/>
          <w:b/>
          <w:bCs/>
          <w:color w:val="auto"/>
          <w:sz w:val="28"/>
          <w:szCs w:val="28"/>
        </w:rPr>
        <w:t>1.窗口咨询地址：</w:t>
      </w:r>
      <w:r>
        <w:rPr>
          <w:rFonts w:hint="eastAsia" w:ascii="方正仿宋_GBK" w:hAnsi="方正仿宋_GBK" w:eastAsia="方正仿宋_GBK" w:cs="方正仿宋_GBK"/>
          <w:color w:val="auto"/>
          <w:sz w:val="28"/>
          <w:szCs w:val="28"/>
          <w:lang w:val="en-US"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rPr>
          <w:rFonts w:ascii="Times New Roman" w:hAnsi="Times New Roman" w:cs="Times New Roman"/>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15</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7129082">
    <w:nsid w:val="66594F7A"/>
    <w:multiLevelType w:val="singleLevel"/>
    <w:tmpl w:val="66594F7A"/>
    <w:lvl w:ilvl="0" w:tentative="1">
      <w:start w:val="1"/>
      <w:numFmt w:val="chineseCounting"/>
      <w:suff w:val="nothing"/>
      <w:lvlText w:val="%1、"/>
      <w:lvlJc w:val="left"/>
      <w:rPr>
        <w:rFonts w:hint="eastAsia"/>
      </w:rPr>
    </w:lvl>
  </w:abstractNum>
  <w:abstractNum w:abstractNumId="4025682833">
    <w:nsid w:val="EFF30B91"/>
    <w:multiLevelType w:val="singleLevel"/>
    <w:tmpl w:val="EFF30B91"/>
    <w:lvl w:ilvl="0" w:tentative="1">
      <w:start w:val="1"/>
      <w:numFmt w:val="chineseCounting"/>
      <w:suff w:val="nothing"/>
      <w:lvlText w:val="%1、"/>
      <w:lvlJc w:val="left"/>
      <w:rPr>
        <w:rFonts w:hint="eastAsia"/>
      </w:rPr>
    </w:lvl>
  </w:abstractNum>
  <w:num w:numId="1">
    <w:abstractNumId w:val="4025682833"/>
  </w:num>
  <w:num w:numId="2">
    <w:abstractNumId w:val="17171290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3160"/>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5BC8"/>
    <w:rsid w:val="00F005E2"/>
    <w:rsid w:val="00F10FD7"/>
    <w:rsid w:val="00F16F75"/>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2961C63"/>
    <w:rsid w:val="0319113E"/>
    <w:rsid w:val="065751F3"/>
    <w:rsid w:val="067F2731"/>
    <w:rsid w:val="06FE6674"/>
    <w:rsid w:val="09953447"/>
    <w:rsid w:val="0B426986"/>
    <w:rsid w:val="0E5A4561"/>
    <w:rsid w:val="0EEC5902"/>
    <w:rsid w:val="0EF213FB"/>
    <w:rsid w:val="0F946FD9"/>
    <w:rsid w:val="0FAF3253"/>
    <w:rsid w:val="107D623B"/>
    <w:rsid w:val="11096F6E"/>
    <w:rsid w:val="11311F96"/>
    <w:rsid w:val="16017BE0"/>
    <w:rsid w:val="17046B3B"/>
    <w:rsid w:val="1780739A"/>
    <w:rsid w:val="17AE53EC"/>
    <w:rsid w:val="1BF93C8F"/>
    <w:rsid w:val="1C6505E8"/>
    <w:rsid w:val="1CDB3593"/>
    <w:rsid w:val="1D8315F9"/>
    <w:rsid w:val="1F5D2184"/>
    <w:rsid w:val="20603A0B"/>
    <w:rsid w:val="21505E37"/>
    <w:rsid w:val="222B321C"/>
    <w:rsid w:val="23983A8C"/>
    <w:rsid w:val="2406637B"/>
    <w:rsid w:val="24D52598"/>
    <w:rsid w:val="254914F1"/>
    <w:rsid w:val="29030344"/>
    <w:rsid w:val="294D6D8C"/>
    <w:rsid w:val="2E5417A5"/>
    <w:rsid w:val="2E7552C6"/>
    <w:rsid w:val="31E5776A"/>
    <w:rsid w:val="36A130A2"/>
    <w:rsid w:val="3996388A"/>
    <w:rsid w:val="3A0835B0"/>
    <w:rsid w:val="3B4C09D6"/>
    <w:rsid w:val="3C0D722D"/>
    <w:rsid w:val="3DF9176C"/>
    <w:rsid w:val="3F821FA5"/>
    <w:rsid w:val="408940CF"/>
    <w:rsid w:val="410A7642"/>
    <w:rsid w:val="41F44A83"/>
    <w:rsid w:val="42714E1B"/>
    <w:rsid w:val="43F40AC5"/>
    <w:rsid w:val="445D5A38"/>
    <w:rsid w:val="447B0B22"/>
    <w:rsid w:val="45BB0276"/>
    <w:rsid w:val="46505364"/>
    <w:rsid w:val="47616255"/>
    <w:rsid w:val="47B6374C"/>
    <w:rsid w:val="48892395"/>
    <w:rsid w:val="52566D98"/>
    <w:rsid w:val="549E3755"/>
    <w:rsid w:val="56D075BA"/>
    <w:rsid w:val="56E32F0F"/>
    <w:rsid w:val="5894029F"/>
    <w:rsid w:val="59A654A4"/>
    <w:rsid w:val="5B1E2BA5"/>
    <w:rsid w:val="5DA614D2"/>
    <w:rsid w:val="619A694B"/>
    <w:rsid w:val="63B1399A"/>
    <w:rsid w:val="66D63C96"/>
    <w:rsid w:val="67D0705F"/>
    <w:rsid w:val="6C6D76D3"/>
    <w:rsid w:val="6E752B5F"/>
    <w:rsid w:val="6FBC018B"/>
    <w:rsid w:val="70E17F62"/>
    <w:rsid w:val="71C57BB8"/>
    <w:rsid w:val="73433371"/>
    <w:rsid w:val="744F03A1"/>
    <w:rsid w:val="755C72A7"/>
    <w:rsid w:val="76D760E6"/>
    <w:rsid w:val="77480A08"/>
    <w:rsid w:val="78C43A05"/>
    <w:rsid w:val="7B733660"/>
    <w:rsid w:val="7B81632F"/>
    <w:rsid w:val="7C300A7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toc 3"/>
    <w:basedOn w:val="1"/>
    <w:next w:val="1"/>
    <w:unhideWhenUsed/>
    <w:uiPriority w:val="39"/>
    <w:pPr>
      <w:ind w:left="840" w:leftChars="400"/>
    </w:pPr>
  </w:style>
  <w:style w:type="paragraph" w:styleId="3">
    <w:name w:val="Balloon Text"/>
    <w:basedOn w:val="1"/>
    <w:link w:val="15"/>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pPr/>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ind w:firstLine="420" w:firstLineChars="200"/>
    </w:pPr>
  </w:style>
  <w:style w:type="paragraph" w:customStyle="1" w:styleId="11">
    <w:name w:val="Revision"/>
    <w:hidden/>
    <w:semiHidden/>
    <w:qFormat/>
    <w:uiPriority w:val="99"/>
    <w:rPr>
      <w:rFonts w:ascii="Calibri" w:hAnsi="Calibri" w:eastAsia="宋体" w:cs="黑体"/>
      <w:kern w:val="2"/>
      <w:sz w:val="21"/>
      <w:szCs w:val="22"/>
      <w:lang w:val="en-US" w:eastAsia="zh-CN" w:bidi="ar-SA"/>
    </w:rPr>
  </w:style>
  <w:style w:type="paragraph" w:customStyle="1" w:styleId="12">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13">
    <w:name w:val="页眉 Char"/>
    <w:basedOn w:val="6"/>
    <w:link w:val="5"/>
    <w:qFormat/>
    <w:uiPriority w:val="99"/>
    <w:rPr>
      <w:sz w:val="18"/>
      <w:szCs w:val="18"/>
    </w:rPr>
  </w:style>
  <w:style w:type="character" w:customStyle="1" w:styleId="14">
    <w:name w:val="页脚 Char"/>
    <w:basedOn w:val="6"/>
    <w:link w:val="4"/>
    <w:qFormat/>
    <w:uiPriority w:val="99"/>
    <w:rPr>
      <w:sz w:val="18"/>
      <w:szCs w:val="18"/>
    </w:rPr>
  </w:style>
  <w:style w:type="character" w:customStyle="1" w:styleId="15">
    <w:name w:val="批注框文本 Char"/>
    <w:basedOn w:val="6"/>
    <w:link w:val="3"/>
    <w:semiHidden/>
    <w:qFormat/>
    <w:uiPriority w:val="99"/>
    <w:rPr>
      <w:sz w:val="18"/>
      <w:szCs w:val="18"/>
    </w:rPr>
  </w:style>
  <w:style w:type="character" w:customStyle="1" w:styleId="16">
    <w:name w:val="mini-outputtext"/>
    <w:basedOn w:val="6"/>
    <w:qFormat/>
    <w:uiPriority w:val="0"/>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4395</Words>
  <Characters>4610</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陆妙芳</cp:lastModifiedBy>
  <cp:lastPrinted>2020-05-08T08:38:00Z</cp:lastPrinted>
  <dcterms:modified xsi:type="dcterms:W3CDTF">2026-07-09T02:01:27Z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5649954A5D02471491243B2E9056CD60_12</vt:lpwstr>
  </property>
</Properties>
</file>