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ind w:right="300"/>
        <w:jc w:val="left"/>
        <w:rPr>
          <w:rFonts w:hint="eastAsia" w:ascii="黑体" w:hAnsi="黑体" w:eastAsia="黑体" w:cs="黑体"/>
          <w:color w:val="auto"/>
          <w:sz w:val="30"/>
          <w:szCs w:val="30"/>
        </w:rPr>
      </w:pPr>
      <w:r>
        <w:rPr>
          <w:rFonts w:hint="eastAsia" w:ascii="黑体" w:hAnsi="黑体" w:eastAsia="黑体" w:cs="黑体"/>
          <w:color w:val="auto"/>
          <w:sz w:val="30"/>
          <w:szCs w:val="30"/>
        </w:rPr>
        <w:t>编号：0001711020</w:t>
      </w:r>
      <w:r>
        <w:rPr>
          <w:rFonts w:hint="eastAsia" w:ascii="黑体" w:hAnsi="黑体" w:eastAsia="黑体" w:cs="黑体"/>
          <w:color w:val="auto"/>
          <w:sz w:val="30"/>
          <w:szCs w:val="30"/>
          <w:lang w:val="en-US" w:eastAsia="zh-CN"/>
        </w:rPr>
        <w:t>03</w:t>
      </w:r>
      <w:r>
        <w:rPr>
          <w:rFonts w:hint="eastAsia" w:ascii="黑体" w:hAnsi="黑体" w:eastAsia="黑体" w:cs="黑体"/>
          <w:color w:val="auto"/>
          <w:sz w:val="30"/>
          <w:szCs w:val="30"/>
        </w:rPr>
        <w:t xml:space="preserve">             </w:t>
      </w:r>
    </w:p>
    <w:p>
      <w:pPr>
        <w:ind w:right="300"/>
        <w:jc w:val="center"/>
        <w:rPr>
          <w:rFonts w:ascii="Times New Roman" w:hAnsi="Times New Roman" w:eastAsia="黑体" w:cs="Times New Roman"/>
          <w:color w:val="auto"/>
          <w:sz w:val="30"/>
          <w:szCs w:val="30"/>
        </w:rPr>
      </w:pPr>
    </w:p>
    <w:p>
      <w:pPr>
        <w:ind w:right="300"/>
        <w:jc w:val="center"/>
        <w:rPr>
          <w:rFonts w:ascii="Times New Roman" w:hAnsi="Times New Roman" w:eastAsia="黑体" w:cs="Times New Roman"/>
          <w:color w:val="auto"/>
          <w:sz w:val="30"/>
          <w:szCs w:val="30"/>
        </w:rPr>
      </w:pPr>
    </w:p>
    <w:p>
      <w:pPr>
        <w:ind w:right="300"/>
        <w:jc w:val="center"/>
        <w:rPr>
          <w:rFonts w:ascii="Times New Roman" w:hAnsi="Times New Roman" w:eastAsia="黑体" w:cs="Times New Roman"/>
          <w:color w:val="auto"/>
          <w:sz w:val="30"/>
          <w:szCs w:val="30"/>
        </w:rPr>
      </w:pPr>
    </w:p>
    <w:p>
      <w:pPr>
        <w:ind w:right="300"/>
        <w:jc w:val="center"/>
        <w:rPr>
          <w:rFonts w:ascii="Times New Roman" w:hAnsi="Times New Roman" w:eastAsia="黑体" w:cs="Times New Roman"/>
          <w:color w:val="auto"/>
          <w:sz w:val="52"/>
          <w:szCs w:val="52"/>
        </w:rPr>
      </w:pPr>
    </w:p>
    <w:p>
      <w:pPr>
        <w:ind w:right="300"/>
        <w:jc w:val="center"/>
        <w:rPr>
          <w:rFonts w:ascii="Times New Roman" w:hAnsi="Times New Roman" w:eastAsia="黑体" w:cs="Times New Roman"/>
          <w:color w:val="auto"/>
          <w:sz w:val="52"/>
          <w:szCs w:val="52"/>
        </w:rPr>
      </w:pPr>
      <w:r>
        <w:rPr>
          <w:rFonts w:ascii="Times New Roman" w:hAnsi="Times New Roman" w:eastAsia="黑体" w:cs="Times New Roman"/>
          <w:color w:val="auto"/>
          <w:sz w:val="52"/>
          <w:szCs w:val="52"/>
        </w:rPr>
        <w:t>“</w:t>
      </w:r>
      <w:r>
        <w:rPr>
          <w:rFonts w:hint="eastAsia" w:ascii="Times New Roman" w:hAnsi="Times New Roman" w:eastAsia="黑体" w:cs="Times New Roman"/>
          <w:color w:val="auto"/>
          <w:sz w:val="52"/>
          <w:szCs w:val="52"/>
        </w:rPr>
        <w:t>省级分局和计划单列市</w:t>
      </w:r>
      <w:r>
        <w:rPr>
          <w:rFonts w:hint="default" w:ascii="Times New Roman" w:hAnsi="Times New Roman" w:eastAsia="黑体" w:cs="Times New Roman"/>
          <w:color w:val="auto"/>
          <w:sz w:val="52"/>
          <w:szCs w:val="52"/>
          <w:lang w:eastAsia="zh-CN"/>
        </w:rPr>
        <w:t>分局办理的企业特定贸易新业态经常项目收支业务登记</w:t>
      </w:r>
      <w:r>
        <w:rPr>
          <w:rFonts w:ascii="Times New Roman" w:hAnsi="Times New Roman" w:eastAsia="黑体" w:cs="Times New Roman"/>
          <w:color w:val="auto"/>
          <w:sz w:val="52"/>
          <w:szCs w:val="52"/>
        </w:rPr>
        <w:t xml:space="preserve">” </w:t>
      </w:r>
    </w:p>
    <w:p>
      <w:pPr>
        <w:ind w:right="300"/>
        <w:jc w:val="center"/>
        <w:rPr>
          <w:rFonts w:ascii="Times New Roman" w:hAnsi="Times New Roman" w:eastAsia="黑体" w:cs="Times New Roman"/>
          <w:color w:val="auto"/>
          <w:sz w:val="52"/>
          <w:szCs w:val="52"/>
        </w:rPr>
      </w:pPr>
      <w:r>
        <w:rPr>
          <w:rFonts w:ascii="Times New Roman" w:hAnsi="Times New Roman" w:eastAsia="黑体" w:cs="Times New Roman"/>
          <w:color w:val="auto"/>
          <w:sz w:val="52"/>
          <w:szCs w:val="52"/>
        </w:rPr>
        <w:t>行政审批服务指南</w:t>
      </w:r>
    </w:p>
    <w:p>
      <w:pPr>
        <w:ind w:right="300"/>
        <w:jc w:val="center"/>
        <w:rPr>
          <w:rFonts w:ascii="Times New Roman" w:hAnsi="Times New Roman" w:eastAsia="仿宋_GB2312" w:cs="Times New Roman"/>
          <w:color w:val="auto"/>
          <w:sz w:val="30"/>
          <w:szCs w:val="30"/>
        </w:rPr>
      </w:pPr>
    </w:p>
    <w:p>
      <w:pPr>
        <w:ind w:right="300"/>
        <w:jc w:val="center"/>
        <w:rPr>
          <w:rFonts w:ascii="Times New Roman" w:hAnsi="Times New Roman" w:eastAsia="仿宋_GB2312" w:cs="Times New Roman"/>
          <w:color w:val="auto"/>
          <w:sz w:val="30"/>
          <w:szCs w:val="30"/>
        </w:rPr>
      </w:pPr>
    </w:p>
    <w:p>
      <w:pPr>
        <w:ind w:right="300"/>
        <w:jc w:val="center"/>
        <w:rPr>
          <w:rFonts w:ascii="Times New Roman" w:hAnsi="Times New Roman" w:eastAsia="仿宋_GB2312" w:cs="Times New Roman"/>
          <w:color w:val="auto"/>
          <w:sz w:val="30"/>
          <w:szCs w:val="30"/>
        </w:rPr>
      </w:pPr>
    </w:p>
    <w:p>
      <w:pPr>
        <w:ind w:right="300"/>
        <w:jc w:val="center"/>
        <w:rPr>
          <w:rFonts w:ascii="Times New Roman" w:hAnsi="Times New Roman" w:eastAsia="仿宋_GB2312" w:cs="Times New Roman"/>
          <w:color w:val="auto"/>
          <w:sz w:val="30"/>
          <w:szCs w:val="30"/>
        </w:rPr>
      </w:pPr>
    </w:p>
    <w:p>
      <w:pPr>
        <w:ind w:right="300"/>
        <w:jc w:val="center"/>
        <w:rPr>
          <w:rFonts w:ascii="Times New Roman" w:hAnsi="Times New Roman" w:eastAsia="仿宋_GB2312" w:cs="Times New Roman"/>
          <w:color w:val="auto"/>
          <w:sz w:val="30"/>
          <w:szCs w:val="30"/>
        </w:rPr>
      </w:pPr>
    </w:p>
    <w:p>
      <w:pPr>
        <w:ind w:right="300"/>
        <w:jc w:val="center"/>
        <w:rPr>
          <w:rFonts w:ascii="Times New Roman" w:hAnsi="Times New Roman" w:eastAsia="仿宋_GB2312" w:cs="Times New Roman"/>
          <w:color w:val="auto"/>
          <w:sz w:val="30"/>
          <w:szCs w:val="30"/>
        </w:rPr>
      </w:pPr>
    </w:p>
    <w:p>
      <w:pPr>
        <w:ind w:right="300"/>
        <w:jc w:val="center"/>
        <w:rPr>
          <w:rFonts w:ascii="Times New Roman" w:hAnsi="Times New Roman" w:eastAsia="仿宋_GB2312" w:cs="Times New Roman"/>
          <w:color w:val="auto"/>
          <w:sz w:val="30"/>
          <w:szCs w:val="30"/>
        </w:rPr>
      </w:pPr>
    </w:p>
    <w:p>
      <w:pPr>
        <w:ind w:right="300"/>
        <w:jc w:val="center"/>
        <w:rPr>
          <w:rFonts w:ascii="Times New Roman" w:hAnsi="Times New Roman" w:eastAsia="仿宋_GB2312" w:cs="Times New Roman"/>
          <w:color w:val="auto"/>
          <w:sz w:val="30"/>
          <w:szCs w:val="30"/>
        </w:rPr>
      </w:pPr>
    </w:p>
    <w:p>
      <w:pPr>
        <w:ind w:right="300"/>
        <w:jc w:val="center"/>
        <w:rPr>
          <w:rFonts w:hint="eastAsia" w:ascii="宋体" w:hAnsi="宋体" w:eastAsia="宋体" w:cs="宋体"/>
          <w:b w:val="0"/>
          <w:bCs w:val="0"/>
          <w:color w:val="auto"/>
          <w:sz w:val="40"/>
          <w:szCs w:val="40"/>
          <w:lang w:val="en-US" w:eastAsia="zh-CN"/>
        </w:rPr>
      </w:pPr>
      <w:r>
        <w:rPr>
          <w:rFonts w:hint="eastAsia" w:ascii="宋体" w:hAnsi="宋体" w:eastAsia="宋体" w:cs="宋体"/>
          <w:b w:val="0"/>
          <w:bCs w:val="0"/>
          <w:color w:val="auto"/>
          <w:sz w:val="40"/>
          <w:szCs w:val="40"/>
          <w:lang w:val="en-US" w:eastAsia="zh-CN"/>
        </w:rPr>
        <w:t>国家外汇管理局广西壮族自治区分局</w:t>
      </w:r>
    </w:p>
    <w:p>
      <w:pPr>
        <w:pStyle w:val="12"/>
        <w:widowControl w:val="0"/>
        <w:wordWrap/>
        <w:autoSpaceDE w:val="0"/>
        <w:autoSpaceDN w:val="0"/>
        <w:adjustRightInd/>
        <w:snapToGrid/>
        <w:spacing w:before="0" w:after="0" w:line="560" w:lineRule="exact"/>
        <w:ind w:left="0" w:leftChars="0" w:right="0" w:firstLine="0" w:firstLineChars="0"/>
        <w:jc w:val="center"/>
        <w:textAlignment w:val="auto"/>
        <w:outlineLvl w:val="1"/>
        <w:rPr>
          <w:rFonts w:hint="eastAsia" w:ascii="宋体" w:hAnsi="宋体" w:eastAsia="宋体" w:cs="宋体"/>
          <w:b w:val="0"/>
          <w:bCs w:val="0"/>
          <w:color w:val="auto"/>
          <w:sz w:val="40"/>
          <w:szCs w:val="40"/>
          <w:lang w:val="en-US" w:eastAsia="zh-CN"/>
        </w:rPr>
      </w:pPr>
    </w:p>
    <w:p>
      <w:pPr>
        <w:ind w:right="300"/>
        <w:jc w:val="center"/>
        <w:rPr>
          <w:rFonts w:ascii="Times New Roman" w:hAnsi="Times New Roman" w:eastAsia="仿宋_GB2312" w:cs="Times New Roman"/>
          <w:color w:val="auto"/>
          <w:sz w:val="30"/>
          <w:szCs w:val="30"/>
        </w:rPr>
      </w:pPr>
    </w:p>
    <w:p>
      <w:pPr>
        <w:ind w:right="300"/>
        <w:rPr>
          <w:rFonts w:ascii="Times New Roman" w:hAnsi="Times New Roman" w:eastAsia="仿宋_GB2312" w:cs="Times New Roman"/>
          <w:color w:val="auto"/>
          <w:sz w:val="30"/>
          <w:szCs w:val="30"/>
        </w:rPr>
        <w:sectPr>
          <w:footerReference r:id="rId4" w:type="default"/>
          <w:pgSz w:w="11906" w:h="16838"/>
          <w:pgMar w:top="1440" w:right="1800" w:bottom="1440" w:left="1800" w:header="851" w:footer="992" w:gutter="0"/>
          <w:cols w:space="720" w:num="1"/>
          <w:docGrid w:type="lines" w:linePitch="312" w:charSpace="0"/>
        </w:sectPr>
      </w:pPr>
    </w:p>
    <w:p>
      <w:pPr>
        <w:spacing w:line="540" w:lineRule="exact"/>
        <w:outlineLvl w:val="1"/>
        <w:rPr>
          <w:rFonts w:ascii="Times New Roman" w:hAnsi="Times New Roman" w:eastAsia="黑体"/>
          <w:sz w:val="28"/>
          <w:szCs w:val="28"/>
        </w:rPr>
      </w:pPr>
      <w:r>
        <w:rPr>
          <w:rFonts w:ascii="Times New Roman" w:hAnsi="Times New Roman" w:eastAsia="黑体" w:cs="Times New Roman"/>
          <w:color w:val="auto"/>
          <w:sz w:val="30"/>
          <w:szCs w:val="30"/>
        </w:rPr>
        <w:t xml:space="preserve">  </w:t>
      </w:r>
      <w:r>
        <w:rPr>
          <w:rFonts w:hint="eastAsia" w:ascii="Times New Roman" w:hAnsi="Times New Roman" w:eastAsia="黑体"/>
          <w:sz w:val="28"/>
          <w:szCs w:val="28"/>
        </w:rPr>
        <w:t>一、基本要素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行政许可事项名称</w:t>
      </w:r>
      <w:r>
        <w:rPr>
          <w:rFonts w:hint="eastAsia" w:ascii="Times New Roman" w:hAnsi="Times New Roman" w:eastAsia="仿宋GB2312"/>
          <w:b/>
          <w:bCs/>
          <w:sz w:val="28"/>
          <w:szCs w:val="28"/>
        </w:rPr>
        <w:t>及编码</w:t>
      </w:r>
    </w:p>
    <w:p>
      <w:pPr>
        <w:spacing w:line="540" w:lineRule="exact"/>
        <w:ind w:firstLine="560" w:firstLineChars="200"/>
        <w:outlineLvl w:val="2"/>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经常项目特定收支业务核准【00017110200Y】</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行政许可</w:t>
      </w:r>
      <w:r>
        <w:rPr>
          <w:rFonts w:hint="eastAsia" w:ascii="Times New Roman" w:hAnsi="Times New Roman" w:eastAsia="仿宋GB2312"/>
          <w:b/>
          <w:bCs/>
          <w:sz w:val="28"/>
          <w:szCs w:val="28"/>
        </w:rPr>
        <w:t>事项子项名称及编码</w:t>
      </w:r>
    </w:p>
    <w:p>
      <w:pPr>
        <w:spacing w:line="360" w:lineRule="auto"/>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省级分局和计划单列市分局办理的企业特定贸易新业态经常项目收支业务登记【000171102003】</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3.行政许可事项业务办理项名称及编码</w:t>
      </w:r>
    </w:p>
    <w:p>
      <w:pPr>
        <w:spacing w:line="360" w:lineRule="auto"/>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1.省级分局和计划单列市分局办理的企业特定贸易新业态经常项目收支业务登记(00017110200301)</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4.设定依据</w:t>
      </w:r>
    </w:p>
    <w:p>
      <w:pPr>
        <w:spacing w:line="540" w:lineRule="exact"/>
        <w:ind w:firstLine="560" w:firstLineChars="200"/>
        <w:outlineLvl w:val="2"/>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（1）《国务院对确需保留的行政审批项目设定行政许可的决定》</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5.实施依据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（1）《经常项目外汇业务指引（2020年版）》（汇发〔2020〕14号文印发）第二十三条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（2）《国家外汇管理局行政许可实施办法》（国家外汇管理局公告2021年第1号）</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6.监管依据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（1）《中华人民共和国外汇管理条例》</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实施机关</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国家外汇局省级分局和计划单列市分局</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审批层级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国家级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9.行使</w:t>
      </w:r>
      <w:r>
        <w:rPr>
          <w:rFonts w:ascii="Times New Roman" w:hAnsi="Times New Roman" w:eastAsia="仿宋GB2312"/>
          <w:b/>
          <w:bCs/>
          <w:sz w:val="28"/>
          <w:szCs w:val="28"/>
        </w:rPr>
        <w:t>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省级/直属</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是否由审批机关受理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11.</w:t>
      </w:r>
      <w:r>
        <w:rPr>
          <w:rFonts w:ascii="Times New Roman" w:hAnsi="Times New Roman" w:eastAsia="仿宋GB2312"/>
          <w:b/>
          <w:bCs/>
          <w:sz w:val="28"/>
          <w:szCs w:val="28"/>
        </w:rPr>
        <w:t>受理层级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省级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12.</w:t>
      </w:r>
      <w:r>
        <w:rPr>
          <w:rFonts w:ascii="Times New Roman" w:hAnsi="Times New Roman" w:eastAsia="仿宋GB2312"/>
          <w:b/>
          <w:bCs/>
          <w:sz w:val="28"/>
          <w:szCs w:val="28"/>
        </w:rPr>
        <w:t>是否存在初审环节</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highlight w:val="yellow"/>
        </w:rPr>
      </w:pPr>
      <w:r>
        <w:rPr>
          <w:rFonts w:hint="eastAsia" w:ascii="Times New Roman" w:hAnsi="Times New Roman" w:eastAsia="仿宋GB2312"/>
          <w:b/>
          <w:bCs/>
          <w:sz w:val="28"/>
          <w:szCs w:val="28"/>
        </w:rPr>
        <w:t>13.</w:t>
      </w:r>
      <w:r>
        <w:rPr>
          <w:rFonts w:ascii="Times New Roman" w:hAnsi="Times New Roman" w:eastAsia="仿宋GB2312"/>
          <w:b/>
          <w:bCs/>
          <w:sz w:val="28"/>
          <w:szCs w:val="28"/>
        </w:rPr>
        <w:t>初审层级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jc w:val="left"/>
        <w:rPr>
          <w:rFonts w:ascii="方正仿宋_GBK" w:hAnsi="方正仿宋_GBK" w:eastAsia="方正仿宋_GBK" w:cs="方正仿宋_GBK"/>
          <w:sz w:val="28"/>
          <w:szCs w:val="28"/>
        </w:rPr>
      </w:pPr>
      <w:r>
        <w:rPr>
          <w:rFonts w:hint="eastAsia" w:ascii="Times New Roman" w:hAnsi="Times New Roman" w:eastAsia="仿宋GB2312"/>
          <w:b/>
          <w:bCs/>
          <w:sz w:val="28"/>
          <w:szCs w:val="28"/>
        </w:rPr>
        <w:t>14.</w:t>
      </w:r>
      <w:r>
        <w:rPr>
          <w:rFonts w:ascii="Times New Roman" w:hAnsi="Times New Roman" w:eastAsia="仿宋GB2312"/>
          <w:b/>
          <w:bCs/>
          <w:sz w:val="28"/>
          <w:szCs w:val="28"/>
        </w:rPr>
        <w:t>对应政务服务事项国家级基本目录名称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进口付汇事前审核,出口收汇事前审核</w:t>
      </w:r>
    </w:p>
    <w:p>
      <w:pPr>
        <w:spacing w:line="600" w:lineRule="exact"/>
        <w:ind w:firstLine="562" w:firstLineChars="200"/>
        <w:jc w:val="left"/>
        <w:rPr>
          <w:rFonts w:ascii="方正仿宋_GBK" w:hAnsi="方正仿宋_GBK" w:eastAsia="方正仿宋_GBK" w:cs="方正仿宋_GBK"/>
          <w:sz w:val="28"/>
          <w:szCs w:val="28"/>
        </w:rPr>
      </w:pPr>
      <w:r>
        <w:rPr>
          <w:rFonts w:hint="eastAsia" w:ascii="Times New Roman" w:hAnsi="Times New Roman" w:eastAsia="仿宋GB2312"/>
          <w:b/>
          <w:bCs/>
          <w:sz w:val="28"/>
          <w:szCs w:val="28"/>
        </w:rPr>
        <w:t>15.要素统一情况：</w:t>
      </w:r>
      <w:r>
        <w:rPr>
          <w:rFonts w:hint="eastAsia" w:ascii="方正仿宋_GBK" w:hAnsi="方正仿宋_GBK" w:eastAsia="方正仿宋_GBK" w:cs="方正仿宋_GBK"/>
          <w:sz w:val="28"/>
          <w:szCs w:val="28"/>
        </w:rPr>
        <w:t>全部要素全国统一</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二、行政许可事项类型</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条件型</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三、行政许可条件</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1.准予行政许可的条件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新出现的贸易方式下的外汇收支，交易真实合规。</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规定行政许可条件的依据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经常项目外汇业务指引（2020年版）》（汇发〔2020〕14号文印发）第二十三条企业办理下列货物贸易外汇收支业务，应在收汇、付汇、开证、出口贸易融资放款或出口收入待核查账户资金结汇或划出前，提交下列材料到所在地外汇局审核真实性后办理登记: （四）新出现的贸易新业态外汇收支：提交书面申请（说明需登记事项的具体内容）、说明登记业务真实性和合理性的材料。</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四、</w:t>
      </w:r>
      <w:r>
        <w:rPr>
          <w:rFonts w:ascii="Times New Roman" w:hAnsi="Times New Roman" w:eastAsia="黑体"/>
          <w:sz w:val="28"/>
          <w:szCs w:val="28"/>
        </w:rPr>
        <w:t>行政许可服务对象类型</w:t>
      </w:r>
      <w:r>
        <w:rPr>
          <w:rFonts w:hint="eastAsia" w:ascii="Times New Roman" w:hAnsi="Times New Roman" w:eastAsia="黑体"/>
          <w:sz w:val="28"/>
          <w:szCs w:val="28"/>
        </w:rPr>
        <w:t>与改革举措</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1.服务对象类型：</w:t>
      </w:r>
      <w:r>
        <w:rPr>
          <w:rFonts w:ascii="方正仿宋_GBK" w:hAnsi="方正仿宋_GBK" w:eastAsia="方正仿宋_GBK" w:cs="方正仿宋_GBK"/>
          <w:sz w:val="28"/>
          <w:szCs w:val="28"/>
        </w:rPr>
        <w:t>企业法人,事业单位法人,社会组织法人,非法人企业,行政机关,其他组织</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2.是否为涉企许可事项：</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3.涉企经营许可事项名称：</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4.许可证件名称：</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5.改革方式：</w:t>
      </w:r>
      <w:r>
        <w:rPr>
          <w:rFonts w:ascii="方正仿宋_GBK" w:hAnsi="方正仿宋_GBK" w:eastAsia="方正仿宋_GBK" w:cs="方正仿宋_GBK"/>
          <w:sz w:val="28"/>
          <w:szCs w:val="28"/>
        </w:rPr>
        <w:t>无</w:t>
      </w:r>
    </w:p>
    <w:p>
      <w:pPr>
        <w:spacing w:line="54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6.具体改革举措：</w:t>
      </w:r>
      <w:r>
        <w:rPr>
          <w:rFonts w:ascii="方正仿宋_GBK" w:hAnsi="方正仿宋_GBK" w:eastAsia="方正仿宋_GBK" w:cs="方正仿宋_GBK"/>
          <w:sz w:val="28"/>
          <w:szCs w:val="28"/>
        </w:rPr>
        <w:t>无</w:t>
      </w:r>
    </w:p>
    <w:p>
      <w:pPr>
        <w:spacing w:line="54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7.加强事中事后监管措施</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（1）开展“双随机、一公开”监管，依法查处违规行为，适时公开相关案例。（2）依法及时处理投诉举报。（3）开展数据统计与监测，掌握外汇业务情况。</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五、申请材料</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1.申请材料名称</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加盖公章书面申请原件1份。</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说明登记业务真实性和合理性的材料原件或加盖公章的复印件1份。</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规定申请材料的依据</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经常项目外汇业务指引（2020年版）》（汇发〔2020〕14号文印发）第二十三条企业办理下列货物贸易外汇收支业务，应在收汇、付汇、开证、出口贸易融资放款或出口收入待核查账户资金结汇或划出前，提交下列材料到所在地外汇局审核真实性后办理登记:……  （四）新出现的贸易新业态外汇收支：提交书面申请（说明需登记事项的具体内容）、说明登记业务真实性和合理性的材料。</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六、中介服务</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1.有无法定中介服务事项：</w:t>
      </w:r>
      <w:r>
        <w:rPr>
          <w:rFonts w:ascii="方正仿宋_GBK" w:hAnsi="方正仿宋_GBK" w:eastAsia="方正仿宋_GBK" w:cs="方正仿宋_GBK"/>
          <w:sz w:val="28"/>
          <w:szCs w:val="28"/>
        </w:rPr>
        <w:t>无</w:t>
      </w:r>
    </w:p>
    <w:p>
      <w:pPr>
        <w:spacing w:line="60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中介服务事项名称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设定中介服务事项的依据</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提供中介服务的机构</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中介服务事项的收费性质</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七、审批程序</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1.办理行政许可的程序环节</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审批机构受理/不予受理；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审批机构审查；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决定作出许可决定书/不予许可决定书。</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2.规定行政许可程序的依据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（1）《国家外汇管理局行政许可实施办法》（国家外汇管理局公告2021年第1号）第十条外汇局收到行政许可申请后，应区分下列情况分别作出处理：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（一）申请事项属于本局职责范围，但依法不需要取得行政许可的，应即时告知申请人不受理，出具不予受理行政许可通知书；</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（二）申请事项不属于本局职责范围，应即时作出不予受理的决定，出具不予受理行政许可通知书，并告知申请人向有关行政机关申请；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三）申请事项属于本局职责范围，但申请材料不齐全或不符合法定形式的，应当场或在收到申请材料之日起5个工作日内作出要求申请人补正材料的决定，出具补正告知书，一次性告知申请人需要补正的全部内容；逾期不告知的，自收到申请材料之日起即为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申请人拒不补正，或者自补正告知书送达之日起30日内未能提交全部且符合法定形式的补正材料的，应不予受理，出具不予受理行政许可通知书；</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申请材料存在文字笔误等可当场更正的错误的，应允许申请人当场更正，并告知其在修改处签字或盖章确认；</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（四）申请事项属于本局职责范围，申请材料齐全、符合法定形式，或者申请人按照要求提交全部补正申请材料的，应受理行政许可申请，出具行政许可受理通知书。</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（2）《国家外汇管理局行政许可实施办法》（国家外汇管理局公告2021年第1号）第十四条外汇局对行政许可申请审查后，应区分下列情况分别作出处理：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（一）申请符合法定条件、拟准予行政许可的，应出具准予行政许可的书面决定。准予行政许可的书面决定应载明名称、出具单位、被许可人姓名或名称、行政许可事项、颁发日期、有效期（如有）等；</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（二）申请不符合法定条件、拟不予行政许可的，应出具不予行政许可决定书，并说明不予行政许可的理由，告知申请人享有依法申请行政复议的权利。</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是否需要现场勘验</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是否需要组织听证</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是否需要招标、拍卖、挂牌交易</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6.</w:t>
      </w:r>
      <w:r>
        <w:rPr>
          <w:rFonts w:ascii="Times New Roman" w:hAnsi="Times New Roman" w:eastAsia="仿宋GB2312"/>
          <w:b/>
          <w:bCs/>
          <w:sz w:val="28"/>
          <w:szCs w:val="28"/>
        </w:rPr>
        <w:t>是否需要检验、检测、检疫</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是否需要鉴定</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是否需要专家评审</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w:t>
      </w:r>
      <w:r>
        <w:rPr>
          <w:rFonts w:ascii="Times New Roman" w:hAnsi="Times New Roman" w:eastAsia="仿宋GB2312"/>
          <w:b/>
          <w:bCs/>
          <w:sz w:val="28"/>
          <w:szCs w:val="28"/>
        </w:rPr>
        <w:t>是否需要向社会公示</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是否实行告知承诺办理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11.审批机关是否委托服务机构开展技术性服务：</w:t>
      </w:r>
      <w:r>
        <w:rPr>
          <w:rFonts w:hint="eastAsia" w:ascii="方正仿宋_GBK" w:hAnsi="方正仿宋_GBK" w:eastAsia="方正仿宋_GBK" w:cs="方正仿宋_GBK"/>
          <w:sz w:val="28"/>
          <w:szCs w:val="28"/>
        </w:rPr>
        <w:t>否</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八、受理和审批时限</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1.承诺受理时限：</w:t>
      </w:r>
      <w:r>
        <w:rPr>
          <w:rFonts w:ascii="方正仿宋_GBK" w:hAnsi="方正仿宋_GBK" w:eastAsia="方正仿宋_GBK" w:cs="方正仿宋_GBK"/>
          <w:sz w:val="28"/>
          <w:szCs w:val="28"/>
        </w:rPr>
        <w:t>5个工作日</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2.法定审批时限：</w:t>
      </w:r>
      <w:r>
        <w:rPr>
          <w:rFonts w:hint="eastAsia" w:ascii="方正仿宋_GBK" w:hAnsi="方正仿宋_GBK" w:eastAsia="方正仿宋_GBK" w:cs="方正仿宋_GBK"/>
          <w:sz w:val="28"/>
          <w:szCs w:val="28"/>
        </w:rPr>
        <w:t>20个工作日</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3.规定法定审批时限依据</w:t>
      </w:r>
    </w:p>
    <w:p>
      <w:pPr>
        <w:spacing w:line="600" w:lineRule="exact"/>
        <w:ind w:firstLine="560" w:firstLineChars="200"/>
        <w:rPr>
          <w:rFonts w:ascii="Times New Roman" w:hAnsi="Times New Roman" w:eastAsia="仿宋GB2312"/>
          <w:sz w:val="32"/>
          <w:szCs w:val="32"/>
        </w:rPr>
      </w:pPr>
      <w:r>
        <w:rPr>
          <w:rFonts w:ascii="方正仿宋_GBK" w:hAnsi="方正仿宋_GBK" w:eastAsia="方正仿宋_GBK" w:cs="方正仿宋_GBK"/>
          <w:sz w:val="28"/>
          <w:szCs w:val="28"/>
        </w:rPr>
        <w:t>（1）《国家外汇管理局行政许可实施办法》（国家外汇管理局公告2021年第1号）第十五条外汇局应根据以下要求确保行政许可依法按时完成：</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（一）能当场作出决定的，应当场作出行政许可决定。当场作出行政许可决定的，可不出具行政许可受理通知书；</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二）不能当场作出决定的，应自受理之日起20个工作日内作出决定；20个工作日内不能作出决定的，经本级外汇局局长或者主管副局长批准，可延长10个工作日，并向申请人出具延长行政许可办理期限通知书，说明延长期限的理由。行政许可办理期限只能延长一次。</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外汇局征求其他部门意见的时间计算在以上办理时限内；依法需要听证、检验、检测、鉴定、专家评审等的时间，不计算在上述办理时限内。</w:t>
      </w:r>
    </w:p>
    <w:p>
      <w:pPr>
        <w:spacing w:line="600" w:lineRule="exact"/>
        <w:ind w:firstLine="560" w:firstLineChars="200"/>
        <w:rPr>
          <w:rFonts w:ascii="Times New Roman" w:hAnsi="Times New Roman" w:eastAsia="仿宋GB2312"/>
          <w:sz w:val="32"/>
          <w:szCs w:val="32"/>
        </w:rPr>
      </w:pPr>
      <w:r>
        <w:rPr>
          <w:rFonts w:ascii="方正仿宋_GBK" w:hAnsi="方正仿宋_GBK" w:eastAsia="方正仿宋_GBK" w:cs="方正仿宋_GBK"/>
          <w:sz w:val="28"/>
          <w:szCs w:val="28"/>
        </w:rPr>
        <w:t>各级外汇局对行政许可办理时限具有对外承诺的，应按照其承诺的时限完成；对外承诺的时限应短于20个工作日。</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4.承诺审批时限：</w:t>
      </w:r>
      <w:r>
        <w:rPr>
          <w:rFonts w:ascii="方正仿宋_GBK" w:hAnsi="方正仿宋_GBK" w:eastAsia="方正仿宋_GBK" w:cs="方正仿宋_GBK"/>
          <w:sz w:val="28"/>
          <w:szCs w:val="28"/>
        </w:rPr>
        <w:t>20个工作日</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九、收费</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1.办理行政许可是否收费：</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ascii="方正仿宋_GBK" w:hAnsi="方正仿宋_GBK" w:eastAsia="方正仿宋_GBK" w:cs="方正仿宋_GBK"/>
          <w:b/>
          <w:bCs/>
          <w:color w:val="FF0000"/>
          <w:sz w:val="28"/>
          <w:szCs w:val="28"/>
        </w:rPr>
      </w:pPr>
      <w:r>
        <w:rPr>
          <w:rFonts w:hint="eastAsia" w:ascii="Times New Roman" w:hAnsi="Times New Roman" w:eastAsia="仿宋GB2312"/>
          <w:b/>
          <w:bCs/>
          <w:sz w:val="28"/>
          <w:szCs w:val="28"/>
        </w:rPr>
        <w:t>2.收费项目的名称、收费项目的标准、设定收费项目的依据、规定收费标准的依据：</w:t>
      </w:r>
      <w:r>
        <w:rPr>
          <w:rFonts w:hint="eastAsia" w:ascii="方正仿宋_GBK" w:hAnsi="方正仿宋_GBK" w:eastAsia="方正仿宋_GBK" w:cs="方正仿宋_GBK"/>
          <w:sz w:val="28"/>
          <w:szCs w:val="28"/>
        </w:rPr>
        <w:t>无</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十、行政许可证件</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1.审批结果类型：</w:t>
      </w:r>
      <w:r>
        <w:rPr>
          <w:rFonts w:ascii="方正仿宋_GBK" w:hAnsi="方正仿宋_GBK" w:eastAsia="方正仿宋_GBK" w:cs="方正仿宋_GBK"/>
          <w:sz w:val="28"/>
          <w:szCs w:val="28"/>
        </w:rPr>
        <w:t>批文</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2.审批结果名称：</w:t>
      </w:r>
      <w:r>
        <w:rPr>
          <w:rFonts w:hint="eastAsia" w:ascii="方正仿宋_GBK" w:hAnsi="方正仿宋_GBK" w:eastAsia="方正仿宋_GBK" w:cs="方正仿宋_GBK"/>
          <w:sz w:val="28"/>
          <w:szCs w:val="28"/>
        </w:rPr>
        <w:t>《贸易外汇业务登记表》</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3.审批结果的有效期限：</w:t>
      </w:r>
      <w:r>
        <w:rPr>
          <w:rFonts w:hint="eastAsia" w:ascii="方正仿宋_GBK" w:hAnsi="方正仿宋_GBK" w:eastAsia="方正仿宋_GBK" w:cs="方正仿宋_GBK"/>
          <w:sz w:val="28"/>
          <w:szCs w:val="28"/>
        </w:rPr>
        <w:t>原则上不超过1个月</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4.规定审批结果有效期限的依据</w:t>
      </w:r>
    </w:p>
    <w:p>
      <w:pPr>
        <w:spacing w:line="600" w:lineRule="exact"/>
        <w:ind w:firstLine="560" w:firstLineChars="200"/>
        <w:rPr>
          <w:rFonts w:ascii="Times New Roman" w:hAnsi="Times New Roman" w:eastAsia="仿宋GB2312"/>
          <w:sz w:val="32"/>
          <w:szCs w:val="32"/>
        </w:rPr>
      </w:pPr>
      <w:r>
        <w:rPr>
          <w:rFonts w:hint="eastAsia" w:ascii="方正仿宋_GBK" w:hAnsi="方正仿宋_GBK" w:eastAsia="方正仿宋_GBK" w:cs="方正仿宋_GBK"/>
          <w:sz w:val="28"/>
          <w:szCs w:val="28"/>
        </w:rPr>
        <w:t>（1）国家外汇管理局关于</w:t>
      </w:r>
      <w:r>
        <w:rPr>
          <w:rFonts w:hint="eastAsia" w:ascii="方正仿宋_GBK" w:hAnsi="方正仿宋_GBK" w:eastAsia="方正仿宋_GBK" w:cs="方正仿宋_GBK"/>
          <w:sz w:val="28"/>
          <w:szCs w:val="28"/>
          <w:lang w:eastAsia="zh-CN"/>
        </w:rPr>
        <w:t>进一步优化贸易外汇业务管理</w:t>
      </w:r>
      <w:r>
        <w:rPr>
          <w:rFonts w:hint="eastAsia" w:ascii="方正仿宋_GBK" w:hAnsi="方正仿宋_GBK" w:eastAsia="方正仿宋_GBK" w:cs="方正仿宋_GBK"/>
          <w:sz w:val="28"/>
          <w:szCs w:val="28"/>
        </w:rPr>
        <w:t>的通知》（汇发〔20</w:t>
      </w:r>
      <w:r>
        <w:rPr>
          <w:rFonts w:hint="eastAsia" w:ascii="方正仿宋_GBK" w:hAnsi="方正仿宋_GBK" w:eastAsia="方正仿宋_GBK" w:cs="方正仿宋_GBK"/>
          <w:sz w:val="28"/>
          <w:szCs w:val="28"/>
          <w:lang w:val="en-US" w:eastAsia="zh-CN"/>
        </w:rPr>
        <w:t>24</w:t>
      </w:r>
      <w:r>
        <w:rPr>
          <w:rFonts w:hint="eastAsia" w:ascii="方正仿宋_GBK" w:hAnsi="方正仿宋_GBK" w:eastAsia="方正仿宋_GBK" w:cs="方正仿宋_GBK"/>
          <w:sz w:val="28"/>
          <w:szCs w:val="28"/>
        </w:rPr>
        <w:t>〕</w:t>
      </w:r>
      <w:r>
        <w:rPr>
          <w:rFonts w:hint="eastAsia" w:ascii="方正仿宋_GBK" w:hAnsi="方正仿宋_GBK" w:eastAsia="方正仿宋_GBK" w:cs="方正仿宋_GBK"/>
          <w:sz w:val="28"/>
          <w:szCs w:val="28"/>
          <w:lang w:val="en-US" w:eastAsia="zh-CN"/>
        </w:rPr>
        <w:t>11</w:t>
      </w:r>
      <w:r>
        <w:rPr>
          <w:rFonts w:hint="eastAsia" w:ascii="方正仿宋_GBK" w:hAnsi="方正仿宋_GBK" w:eastAsia="方正仿宋_GBK" w:cs="方正仿宋_GBK"/>
          <w:sz w:val="28"/>
          <w:szCs w:val="28"/>
        </w:rPr>
        <w:t>号）附件</w:t>
      </w:r>
      <w:r>
        <w:rPr>
          <w:rFonts w:hint="eastAsia" w:ascii="方正仿宋_GBK" w:hAnsi="方正仿宋_GBK" w:eastAsia="方正仿宋_GBK" w:cs="方正仿宋_GBK"/>
          <w:sz w:val="28"/>
          <w:szCs w:val="28"/>
          <w:lang w:val="en-US" w:eastAsia="zh-CN"/>
        </w:rPr>
        <w:t>2</w:t>
      </w:r>
      <w:r>
        <w:rPr>
          <w:rFonts w:hint="eastAsia" w:ascii="方正仿宋_GBK" w:hAnsi="方正仿宋_GBK" w:eastAsia="方正仿宋_GBK" w:cs="方正仿宋_GBK"/>
          <w:sz w:val="28"/>
          <w:szCs w:val="28"/>
        </w:rPr>
        <w:t>《</w:t>
      </w:r>
      <w:r>
        <w:rPr>
          <w:rFonts w:hint="eastAsia" w:ascii="方正仿宋_GBK" w:hAnsi="方正仿宋_GBK" w:eastAsia="方正仿宋_GBK" w:cs="方正仿宋_GBK"/>
          <w:sz w:val="28"/>
          <w:szCs w:val="28"/>
          <w:lang w:eastAsia="zh-CN"/>
        </w:rPr>
        <w:t>贸易外汇业务</w:t>
      </w:r>
      <w:r>
        <w:rPr>
          <w:rFonts w:hint="eastAsia" w:ascii="方正仿宋_GBK" w:hAnsi="方正仿宋_GBK" w:eastAsia="方正仿宋_GBK" w:cs="方正仿宋_GBK"/>
          <w:sz w:val="28"/>
          <w:szCs w:val="28"/>
        </w:rPr>
        <w:t>登记表》的有效期原则上不超过1个月。</w:t>
      </w:r>
      <w:bookmarkStart w:id="6" w:name="_GoBack"/>
      <w:bookmarkEnd w:id="6"/>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5.是否需要办理审批结果变更手续：</w:t>
      </w:r>
      <w:r>
        <w:rPr>
          <w:rFonts w:ascii="方正仿宋_GBK" w:hAnsi="方正仿宋_GBK" w:eastAsia="方正仿宋_GBK" w:cs="方正仿宋_GBK"/>
          <w:sz w:val="28"/>
          <w:szCs w:val="28"/>
        </w:rPr>
        <w:t>否</w:t>
      </w:r>
    </w:p>
    <w:p>
      <w:pPr>
        <w:spacing w:line="540" w:lineRule="exact"/>
        <w:ind w:firstLine="562" w:firstLineChars="200"/>
        <w:outlineLvl w:val="2"/>
        <w:rPr>
          <w:rFonts w:ascii="Times New Roman" w:hAnsi="Times New Roman" w:eastAsia="仿宋GB2312"/>
          <w:sz w:val="32"/>
          <w:szCs w:val="32"/>
        </w:rPr>
      </w:pPr>
      <w:r>
        <w:rPr>
          <w:rFonts w:hint="eastAsia" w:ascii="Times New Roman" w:hAnsi="Times New Roman" w:eastAsia="仿宋GB2312"/>
          <w:b/>
          <w:bCs/>
          <w:sz w:val="28"/>
          <w:szCs w:val="28"/>
        </w:rPr>
        <w:t>6.办理审批结果变更手续的要求：</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7.是否需要办理审批结果延续手续：</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ascii="Times New Roman" w:hAnsi="Times New Roman" w:eastAsia="仿宋GB2312"/>
          <w:sz w:val="32"/>
          <w:szCs w:val="32"/>
        </w:rPr>
      </w:pPr>
      <w:r>
        <w:rPr>
          <w:rFonts w:hint="eastAsia" w:ascii="Times New Roman" w:hAnsi="Times New Roman" w:eastAsia="仿宋GB2312"/>
          <w:b/>
          <w:bCs/>
          <w:sz w:val="28"/>
          <w:szCs w:val="28"/>
        </w:rPr>
        <w:t>8.办理审批结果延续手续的要求：</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方正仿宋_GBK" w:hAnsi="方正仿宋_GBK" w:eastAsia="方正仿宋_GBK" w:cs="方正仿宋_GBK"/>
          <w:sz w:val="28"/>
          <w:szCs w:val="28"/>
        </w:rPr>
      </w:pPr>
      <w:r>
        <w:rPr>
          <w:rFonts w:hint="eastAsia" w:ascii="Times New Roman" w:hAnsi="Times New Roman" w:eastAsia="仿宋GB2312"/>
          <w:b/>
          <w:bCs/>
          <w:sz w:val="28"/>
          <w:szCs w:val="28"/>
        </w:rPr>
        <w:t>9.审批结果的有效地域范围：</w:t>
      </w:r>
      <w:r>
        <w:rPr>
          <w:rFonts w:hint="eastAsia" w:ascii="方正仿宋_GBK" w:hAnsi="方正仿宋_GBK" w:eastAsia="方正仿宋_GBK" w:cs="方正仿宋_GBK"/>
          <w:sz w:val="28"/>
          <w:szCs w:val="28"/>
        </w:rPr>
        <w:t>全国</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10.规定审批结果有效地域范围的依据：</w:t>
      </w:r>
      <w:r>
        <w:rPr>
          <w:rFonts w:hint="eastAsia" w:ascii="方正仿宋_GBK" w:hAnsi="方正仿宋_GBK" w:eastAsia="方正仿宋_GBK" w:cs="方正仿宋_GBK"/>
          <w:sz w:val="28"/>
          <w:szCs w:val="28"/>
        </w:rPr>
        <w:t>无</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十一、行政许可数量限制</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1.有无行政许可数量限制：</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2.公布数量限制的方式：</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3.公布数量限制的周期：</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4.在数量限制条件下实施行政许可的方式：</w:t>
      </w:r>
      <w:r>
        <w:rPr>
          <w:rFonts w:hint="eastAsia" w:ascii="方正仿宋_GBK" w:hAnsi="方正仿宋_GBK" w:eastAsia="方正仿宋_GBK" w:cs="方正仿宋_GBK"/>
          <w:sz w:val="28"/>
          <w:szCs w:val="28"/>
        </w:rPr>
        <w:t>无</w:t>
      </w:r>
    </w:p>
    <w:p>
      <w:pPr>
        <w:spacing w:line="600" w:lineRule="exact"/>
        <w:ind w:firstLine="562" w:firstLineChars="200"/>
        <w:jc w:val="left"/>
        <w:rPr>
          <w:rFonts w:ascii="Times New Roman" w:hAnsi="Times New Roman" w:eastAsia="仿宋GB2312"/>
          <w:sz w:val="28"/>
          <w:szCs w:val="28"/>
        </w:rPr>
      </w:pPr>
      <w:r>
        <w:rPr>
          <w:rFonts w:hint="eastAsia" w:ascii="Times New Roman" w:hAnsi="Times New Roman" w:eastAsia="仿宋GB2312"/>
          <w:b/>
          <w:bCs/>
          <w:sz w:val="28"/>
          <w:szCs w:val="28"/>
        </w:rPr>
        <w:t>5.规定在数量限制条件下实施行政许可方式的依据：</w:t>
      </w:r>
      <w:r>
        <w:rPr>
          <w:rFonts w:hint="eastAsia" w:ascii="方正仿宋_GBK" w:hAnsi="方正仿宋_GBK" w:eastAsia="方正仿宋_GBK" w:cs="方正仿宋_GBK"/>
          <w:sz w:val="28"/>
          <w:szCs w:val="28"/>
        </w:rPr>
        <w:t>无</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十二、行政许可后年检</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1.有无年检要求：</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2.设定年检要求的依据：</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3.年检周期：</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4.年检是否要求报送材料：</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5.年检报送材料名称：</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6.年检是否收费：</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7.年检收费项目的名称、年检收费项目的标准、设定年检收费项目的依据、规定年检项目收费标准的依据：</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8.通过年检的证明或者标志：</w:t>
      </w:r>
      <w:r>
        <w:rPr>
          <w:rFonts w:hint="eastAsia" w:ascii="方正仿宋_GBK" w:hAnsi="方正仿宋_GBK" w:eastAsia="方正仿宋_GBK" w:cs="方正仿宋_GBK"/>
          <w:sz w:val="28"/>
          <w:szCs w:val="28"/>
        </w:rPr>
        <w:t>无</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十三、行政许可后年报</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有无年报要求</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年报报送材料名称</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方正仿宋_GBK" w:hAnsi="方正仿宋_GBK" w:eastAsia="方正仿宋_GBK" w:cs="方正仿宋_GBK"/>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设定年报要求的依据</w:t>
      </w:r>
      <w:r>
        <w:rPr>
          <w:rFonts w:hint="eastAsia" w:ascii="Times New Roman" w:hAnsi="Times New Roman" w:eastAsia="仿宋GB2312"/>
          <w:b/>
          <w:bCs/>
          <w:sz w:val="28"/>
          <w:szCs w:val="28"/>
          <w:lang w:val="en-US" w:eastAsia="zh-CN"/>
        </w:rPr>
        <w:t>：</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年报周期</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十四、监管主体</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国家外汇局及其分局</w:t>
      </w:r>
    </w:p>
    <w:p>
      <w:pPr>
        <w:rPr>
          <w:rFonts w:ascii="方正仿宋_GBK" w:hAnsi="方正仿宋_GBK" w:eastAsia="方正仿宋_GBK" w:cs="方正仿宋_GBK"/>
          <w:sz w:val="28"/>
          <w:szCs w:val="28"/>
        </w:rPr>
      </w:pPr>
      <w:r>
        <w:rPr>
          <w:rFonts w:hint="eastAsia" w:eastAsia="黑体"/>
          <w:sz w:val="28"/>
          <w:szCs w:val="28"/>
        </w:rPr>
        <w:t>十五、</w:t>
      </w:r>
      <w:r>
        <w:rPr>
          <w:rFonts w:eastAsia="黑体"/>
          <w:sz w:val="28"/>
          <w:szCs w:val="28"/>
        </w:rPr>
        <w:t>行政许可办理地址和时间</w:t>
      </w:r>
    </w:p>
    <w:p>
      <w:pPr>
        <w:spacing w:line="540" w:lineRule="exact"/>
        <w:ind w:firstLine="562" w:firstLineChars="200"/>
        <w:outlineLvl w:val="2"/>
        <w:rPr>
          <w:rFonts w:hint="eastAsia" w:ascii="方正仿宋_GBK" w:hAnsi="方正仿宋_GBK" w:eastAsia="方正仿宋_GBK" w:cs="方正仿宋_GBK"/>
          <w:color w:val="auto"/>
          <w:sz w:val="28"/>
          <w:szCs w:val="28"/>
          <w:lang w:eastAsia="zh-CN"/>
        </w:rPr>
      </w:pPr>
      <w:r>
        <w:rPr>
          <w:rFonts w:hint="eastAsia" w:eastAsia="仿宋GB2312"/>
          <w:b/>
          <w:bCs/>
          <w:color w:val="auto"/>
          <w:sz w:val="28"/>
          <w:szCs w:val="28"/>
        </w:rPr>
        <w:t>1.</w:t>
      </w:r>
      <w:r>
        <w:rPr>
          <w:rFonts w:hint="eastAsia" w:eastAsia="仿宋GB2312"/>
          <w:b/>
          <w:bCs/>
          <w:color w:val="auto"/>
          <w:sz w:val="28"/>
          <w:szCs w:val="28"/>
          <w:lang w:eastAsia="zh-CN"/>
        </w:rPr>
        <w:t>办理地址：</w:t>
      </w:r>
      <w:r>
        <w:rPr>
          <w:rFonts w:hint="eastAsia" w:ascii="方正仿宋_GBK" w:hAnsi="方正仿宋_GBK" w:eastAsia="方正仿宋_GBK" w:cs="方正仿宋_GBK"/>
          <w:color w:val="auto"/>
          <w:sz w:val="28"/>
          <w:szCs w:val="28"/>
          <w:lang w:eastAsia="zh-CN"/>
        </w:rPr>
        <w:t>广西南宁市青秀区滨湖路58号中国人民银行广西壮族自治区分行</w:t>
      </w:r>
      <w:r>
        <w:rPr>
          <w:rFonts w:hint="eastAsia" w:ascii="方正仿宋_GBK" w:hAnsi="方正仿宋_GBK" w:eastAsia="方正仿宋_GBK" w:cs="方正仿宋_GBK"/>
          <w:sz w:val="28"/>
          <w:szCs w:val="28"/>
          <w:lang w:val="en-US" w:eastAsia="zh-CN"/>
        </w:rPr>
        <w:t>8楼811号办公室</w:t>
      </w:r>
    </w:p>
    <w:p>
      <w:pPr>
        <w:spacing w:line="540" w:lineRule="exact"/>
        <w:ind w:firstLine="562" w:firstLineChars="200"/>
        <w:outlineLvl w:val="2"/>
        <w:rPr>
          <w:rFonts w:ascii="方正仿宋_GBK" w:hAnsi="方正仿宋_GBK" w:eastAsia="方正仿宋_GBK" w:cs="方正仿宋_GBK"/>
          <w:color w:val="auto"/>
          <w:sz w:val="28"/>
          <w:szCs w:val="28"/>
        </w:rPr>
      </w:pPr>
      <w:r>
        <w:rPr>
          <w:rFonts w:hint="eastAsia" w:eastAsia="仿宋GB2312"/>
          <w:b/>
          <w:bCs/>
          <w:color w:val="auto"/>
          <w:sz w:val="28"/>
          <w:szCs w:val="28"/>
        </w:rPr>
        <w:t>2.办理时间：</w:t>
      </w:r>
      <w:r>
        <w:rPr>
          <w:rFonts w:hint="eastAsia" w:ascii="方正仿宋_GBK" w:hAnsi="方正仿宋_GBK" w:eastAsia="方正仿宋_GBK" w:cs="方正仿宋_GBK"/>
          <w:color w:val="auto"/>
          <w:sz w:val="28"/>
          <w:szCs w:val="28"/>
        </w:rPr>
        <w:t>工作日，上午：08:30-12:00，下午：</w:t>
      </w:r>
      <w:r>
        <w:rPr>
          <w:rFonts w:hint="eastAsia" w:ascii="方正仿宋_GBK" w:hAnsi="方正仿宋_GBK" w:eastAsia="方正仿宋_GBK" w:cs="方正仿宋_GBK"/>
          <w:color w:val="auto"/>
          <w:sz w:val="28"/>
          <w:szCs w:val="28"/>
          <w:lang w:val="en-US" w:eastAsia="zh-CN"/>
        </w:rPr>
        <w:t>14</w:t>
      </w:r>
      <w:r>
        <w:rPr>
          <w:rFonts w:hint="eastAsia" w:ascii="方正仿宋_GBK" w:hAnsi="方正仿宋_GBK" w:eastAsia="方正仿宋_GBK" w:cs="方正仿宋_GBK"/>
          <w:color w:val="auto"/>
          <w:sz w:val="28"/>
          <w:szCs w:val="28"/>
        </w:rPr>
        <w:t>:30-</w:t>
      </w:r>
      <w:r>
        <w:rPr>
          <w:rFonts w:hint="eastAsia" w:ascii="方正仿宋_GBK" w:hAnsi="方正仿宋_GBK" w:eastAsia="方正仿宋_GBK" w:cs="方正仿宋_GBK"/>
          <w:color w:val="auto"/>
          <w:sz w:val="28"/>
          <w:szCs w:val="28"/>
          <w:lang w:val="en-US" w:eastAsia="zh-CN"/>
        </w:rPr>
        <w:t>17</w:t>
      </w:r>
      <w:r>
        <w:rPr>
          <w:rFonts w:hint="eastAsia" w:ascii="方正仿宋_GBK" w:hAnsi="方正仿宋_GBK" w:eastAsia="方正仿宋_GBK" w:cs="方正仿宋_GBK"/>
          <w:color w:val="auto"/>
          <w:sz w:val="28"/>
          <w:szCs w:val="28"/>
        </w:rPr>
        <w:t xml:space="preserve">:30 </w:t>
      </w:r>
    </w:p>
    <w:p>
      <w:pPr>
        <w:rPr>
          <w:rFonts w:eastAsia="黑体"/>
          <w:color w:val="auto"/>
          <w:sz w:val="28"/>
          <w:szCs w:val="28"/>
        </w:rPr>
      </w:pPr>
      <w:bookmarkStart w:id="0" w:name="_Toc32164"/>
      <w:bookmarkStart w:id="1" w:name="_Toc27624"/>
      <w:bookmarkStart w:id="2" w:name="_Toc22902"/>
      <w:bookmarkStart w:id="3" w:name="_Toc12947"/>
      <w:bookmarkStart w:id="4" w:name="_Toc26066"/>
      <w:bookmarkStart w:id="5" w:name="_Toc29697"/>
      <w:r>
        <w:rPr>
          <w:rFonts w:hint="eastAsia" w:eastAsia="黑体"/>
          <w:color w:val="auto"/>
          <w:sz w:val="28"/>
          <w:szCs w:val="28"/>
        </w:rPr>
        <w:t>十六、</w:t>
      </w:r>
      <w:r>
        <w:rPr>
          <w:rFonts w:eastAsia="黑体"/>
          <w:color w:val="auto"/>
          <w:sz w:val="28"/>
          <w:szCs w:val="28"/>
        </w:rPr>
        <w:t>咨询途径</w:t>
      </w:r>
      <w:bookmarkEnd w:id="0"/>
      <w:bookmarkEnd w:id="1"/>
      <w:bookmarkEnd w:id="2"/>
      <w:bookmarkEnd w:id="3"/>
      <w:bookmarkEnd w:id="4"/>
      <w:bookmarkEnd w:id="5"/>
    </w:p>
    <w:p>
      <w:pPr>
        <w:spacing w:line="540" w:lineRule="exact"/>
        <w:ind w:firstLine="562" w:firstLineChars="200"/>
        <w:outlineLvl w:val="2"/>
        <w:rPr>
          <w:rFonts w:hint="eastAsia" w:ascii="方正仿宋_GBK" w:hAnsi="方正仿宋_GBK" w:eastAsia="方正仿宋_GBK" w:cs="方正仿宋_GBK"/>
          <w:color w:val="auto"/>
          <w:sz w:val="28"/>
          <w:szCs w:val="28"/>
          <w:lang w:eastAsia="zh-CN"/>
        </w:rPr>
      </w:pPr>
      <w:r>
        <w:rPr>
          <w:rFonts w:hint="eastAsia" w:eastAsia="仿宋GB2312"/>
          <w:b/>
          <w:bCs/>
          <w:color w:val="auto"/>
          <w:sz w:val="28"/>
          <w:szCs w:val="28"/>
          <w:lang w:eastAsia="zh-CN"/>
        </w:rPr>
        <w:t>1.窗口咨询地址：</w:t>
      </w:r>
      <w:r>
        <w:rPr>
          <w:rFonts w:hint="eastAsia" w:ascii="方正仿宋_GBK" w:hAnsi="方正仿宋_GBK" w:eastAsia="方正仿宋_GBK" w:cs="方正仿宋_GBK"/>
          <w:color w:val="auto"/>
          <w:sz w:val="28"/>
          <w:szCs w:val="28"/>
          <w:lang w:eastAsia="zh-CN"/>
        </w:rPr>
        <w:t>广西南宁市青秀区滨湖路58号中国人民银行广西壮族自治区分行</w:t>
      </w:r>
      <w:r>
        <w:rPr>
          <w:rFonts w:hint="eastAsia" w:ascii="方正仿宋_GBK" w:hAnsi="方正仿宋_GBK" w:eastAsia="方正仿宋_GBK" w:cs="方正仿宋_GBK"/>
          <w:sz w:val="28"/>
          <w:szCs w:val="28"/>
          <w:lang w:val="en-US" w:eastAsia="zh-CN"/>
        </w:rPr>
        <w:t>8楼811号办公室</w:t>
      </w:r>
    </w:p>
    <w:p>
      <w:pPr>
        <w:spacing w:line="540" w:lineRule="exact"/>
        <w:ind w:firstLine="562" w:firstLineChars="200"/>
        <w:outlineLvl w:val="2"/>
        <w:rPr>
          <w:rFonts w:ascii="方正仿宋_GBK" w:hAnsi="方正仿宋_GBK" w:eastAsia="方正仿宋_GBK" w:cs="方正仿宋_GBK"/>
          <w:sz w:val="28"/>
          <w:szCs w:val="28"/>
        </w:rPr>
      </w:pPr>
      <w:r>
        <w:rPr>
          <w:rFonts w:hint="eastAsia" w:eastAsia="仿宋GB2312"/>
          <w:b/>
          <w:bCs/>
          <w:sz w:val="28"/>
          <w:szCs w:val="28"/>
        </w:rPr>
        <w:t>2.电话咨询号码：</w:t>
      </w:r>
      <w:r>
        <w:rPr>
          <w:rFonts w:hint="eastAsia" w:ascii="方正仿宋_GBK" w:hAnsi="方正仿宋_GBK" w:eastAsia="方正仿宋_GBK" w:cs="方正仿宋_GBK"/>
          <w:sz w:val="28"/>
          <w:szCs w:val="28"/>
          <w:lang w:val="en-US" w:eastAsia="zh-CN"/>
        </w:rPr>
        <w:t>0771-6111201</w:t>
      </w:r>
    </w:p>
    <w:p>
      <w:pPr>
        <w:spacing w:line="540" w:lineRule="exact"/>
        <w:ind w:firstLine="562" w:firstLineChars="200"/>
        <w:outlineLvl w:val="2"/>
        <w:rPr>
          <w:rFonts w:eastAsia="仿宋GB2312"/>
          <w:b/>
          <w:bCs/>
          <w:sz w:val="28"/>
          <w:szCs w:val="28"/>
        </w:rPr>
      </w:pPr>
      <w:r>
        <w:rPr>
          <w:rFonts w:hint="eastAsia" w:eastAsia="仿宋GB2312"/>
          <w:b/>
          <w:bCs/>
          <w:sz w:val="28"/>
          <w:szCs w:val="28"/>
        </w:rPr>
        <w:t>3.咨询网址：</w:t>
      </w:r>
      <w:r>
        <w:rPr>
          <w:rFonts w:hint="eastAsia" w:ascii="方正仿宋_GBK" w:hAnsi="方正仿宋_GBK" w:eastAsia="方正仿宋_GBK" w:cs="方正仿宋_GBK"/>
          <w:color w:val="auto"/>
          <w:sz w:val="28"/>
          <w:szCs w:val="28"/>
          <w:lang w:eastAsia="zh-CN"/>
        </w:rPr>
        <w:t>国家外汇管理局广西壮族自治区分局官方网站（www.safe.gov.cn</w:t>
      </w:r>
      <w:r>
        <w:rPr>
          <w:rFonts w:hint="eastAsia" w:ascii="方正仿宋_GBK" w:hAnsi="方正仿宋_GBK" w:eastAsia="方正仿宋_GBK" w:cs="方正仿宋_GBK"/>
          <w:color w:val="auto"/>
          <w:sz w:val="28"/>
          <w:szCs w:val="28"/>
          <w:lang w:val="en-US" w:eastAsia="zh-CN"/>
        </w:rPr>
        <w:t>/guangxi/）</w:t>
      </w:r>
      <w:r>
        <w:rPr>
          <w:rFonts w:hint="eastAsia" w:ascii="方正仿宋_GBK" w:hAnsi="方正仿宋_GBK" w:eastAsia="方正仿宋_GBK" w:cs="方正仿宋_GBK"/>
          <w:color w:val="auto"/>
          <w:sz w:val="28"/>
          <w:szCs w:val="28"/>
          <w:lang w:eastAsia="zh-CN"/>
        </w:rPr>
        <w:t>咨询反馈栏目</w:t>
      </w:r>
    </w:p>
    <w:p>
      <w:pPr>
        <w:rPr>
          <w:rFonts w:eastAsia="仿宋GB2312"/>
          <w:b/>
          <w:bCs/>
          <w:sz w:val="28"/>
          <w:szCs w:val="28"/>
        </w:rPr>
      </w:pPr>
      <w:r>
        <w:rPr>
          <w:rFonts w:hint="eastAsia" w:eastAsia="黑体"/>
          <w:sz w:val="28"/>
          <w:szCs w:val="28"/>
        </w:rPr>
        <w:t>十七、监督投诉渠道</w:t>
      </w:r>
    </w:p>
    <w:p>
      <w:pPr>
        <w:spacing w:line="540" w:lineRule="exact"/>
        <w:ind w:firstLine="562" w:firstLineChars="200"/>
        <w:outlineLvl w:val="2"/>
        <w:rPr>
          <w:rFonts w:hint="eastAsia" w:ascii="方正仿宋_GBK" w:hAnsi="方正仿宋_GBK" w:eastAsia="方正仿宋_GBK" w:cs="方正仿宋_GBK"/>
          <w:sz w:val="28"/>
          <w:szCs w:val="28"/>
          <w:lang w:val="en-US" w:eastAsia="zh-CN"/>
        </w:rPr>
      </w:pPr>
      <w:r>
        <w:rPr>
          <w:rFonts w:hint="eastAsia" w:eastAsia="仿宋GB2312"/>
          <w:b/>
          <w:bCs/>
          <w:sz w:val="28"/>
          <w:szCs w:val="28"/>
        </w:rPr>
        <w:t>1.电话监督投诉：</w:t>
      </w:r>
      <w:r>
        <w:rPr>
          <w:rFonts w:hint="eastAsia" w:ascii="方正仿宋_GBK" w:hAnsi="方正仿宋_GBK" w:eastAsia="方正仿宋_GBK" w:cs="方正仿宋_GBK"/>
          <w:sz w:val="28"/>
          <w:szCs w:val="28"/>
          <w:lang w:val="en-US" w:eastAsia="zh-CN"/>
        </w:rPr>
        <w:t>0771-6111357</w:t>
      </w:r>
    </w:p>
    <w:p>
      <w:pPr>
        <w:spacing w:line="540" w:lineRule="exact"/>
        <w:ind w:firstLine="562" w:firstLineChars="200"/>
        <w:outlineLvl w:val="2"/>
        <w:rPr>
          <w:rFonts w:hint="eastAsia" w:ascii="方正仿宋_GBK" w:hAnsi="方正仿宋_GBK" w:eastAsia="方正仿宋_GBK" w:cs="方正仿宋_GBK"/>
          <w:sz w:val="28"/>
          <w:szCs w:val="28"/>
        </w:rPr>
      </w:pPr>
      <w:r>
        <w:rPr>
          <w:rFonts w:hint="eastAsia" w:eastAsia="仿宋GB2312"/>
          <w:b/>
          <w:bCs/>
          <w:sz w:val="28"/>
          <w:szCs w:val="28"/>
          <w:lang w:val="en-US" w:eastAsia="zh-CN"/>
        </w:rPr>
        <w:t>2</w:t>
      </w:r>
      <w:r>
        <w:rPr>
          <w:rFonts w:hint="eastAsia" w:eastAsia="仿宋GB2312"/>
          <w:b/>
          <w:bCs/>
          <w:sz w:val="28"/>
          <w:szCs w:val="28"/>
        </w:rPr>
        <w:t>.网络监督投诉网址：</w:t>
      </w:r>
      <w:r>
        <w:rPr>
          <w:rFonts w:hint="eastAsia" w:ascii="方正仿宋_GBK" w:hAnsi="方正仿宋_GBK" w:eastAsia="方正仿宋_GBK" w:cs="方正仿宋_GBK"/>
          <w:sz w:val="28"/>
          <w:szCs w:val="28"/>
          <w:lang w:eastAsia="zh-CN"/>
        </w:rPr>
        <w:t>国家外汇管理局广西壮族自治区分局官方网站（www.safe.gov.cn</w:t>
      </w:r>
      <w:r>
        <w:rPr>
          <w:rFonts w:hint="eastAsia" w:ascii="方正仿宋_GBK" w:hAnsi="方正仿宋_GBK" w:eastAsia="方正仿宋_GBK" w:cs="方正仿宋_GBK"/>
          <w:sz w:val="28"/>
          <w:szCs w:val="28"/>
          <w:lang w:val="en-US" w:eastAsia="zh-CN"/>
        </w:rPr>
        <w:t>/guangxi/）</w:t>
      </w:r>
      <w:r>
        <w:rPr>
          <w:rFonts w:hint="eastAsia" w:ascii="方正仿宋_GBK" w:hAnsi="方正仿宋_GBK" w:eastAsia="方正仿宋_GBK" w:cs="方正仿宋_GBK"/>
          <w:sz w:val="28"/>
          <w:szCs w:val="28"/>
          <w:lang w:eastAsia="zh-CN"/>
        </w:rPr>
        <w:t>咨询反馈栏目</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十</w:t>
      </w:r>
      <w:r>
        <w:rPr>
          <w:rFonts w:hint="eastAsia" w:ascii="Times New Roman" w:hAnsi="Times New Roman" w:eastAsia="黑体"/>
          <w:sz w:val="28"/>
          <w:szCs w:val="28"/>
          <w:lang w:eastAsia="zh-CN"/>
        </w:rPr>
        <w:t>八</w:t>
      </w:r>
      <w:r>
        <w:rPr>
          <w:rFonts w:hint="eastAsia" w:ascii="Times New Roman" w:hAnsi="Times New Roman" w:eastAsia="黑体"/>
          <w:sz w:val="28"/>
          <w:szCs w:val="28"/>
        </w:rPr>
        <w:t>、备注</w:t>
      </w:r>
    </w:p>
    <w:p>
      <w:pPr>
        <w:rPr>
          <w:rFonts w:ascii="Times New Roman" w:hAnsi="Times New Roman" w:cs="Times New Roman"/>
          <w:color w:val="auto"/>
        </w:rPr>
      </w:pPr>
    </w:p>
    <w:sectPr>
      <w:footerReference r:id="rId5"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Noto Sans Mono CJK JP Regular">
    <w:altName w:val="微软雅黑"/>
    <w:panose1 w:val="00000000000000000000"/>
    <w:charset w:val="00"/>
    <w:family w:val="auto"/>
    <w:pitch w:val="default"/>
    <w:sig w:usb0="00000000" w:usb1="00000000" w:usb2="00000000" w:usb3="00000000" w:csb0="00040001" w:csb1="00000000"/>
  </w:font>
  <w:font w:name="仿宋_GB2312">
    <w:panose1 w:val="02010609030101010101"/>
    <w:charset w:val="86"/>
    <w:family w:val="auto"/>
    <w:pitch w:val="default"/>
    <w:sig w:usb0="00000001" w:usb1="080E0000" w:usb2="00000000" w:usb3="00000000" w:csb0="00040000" w:csb1="00000000"/>
  </w:font>
  <w:font w:name="仿宋GB2312">
    <w:altName w:val="仿宋"/>
    <w:panose1 w:val="00000000000000000000"/>
    <w:charset w:val="86"/>
    <w:family w:val="auto"/>
    <w:pitch w:val="default"/>
    <w:sig w:usb0="00000000" w:usb1="00000000" w:usb2="00000000" w:usb3="00000000" w:csb0="00040001" w:csb1="00000000"/>
  </w:font>
  <w:font w:name="方正仿宋_GBK">
    <w:altName w:val="微软雅黑"/>
    <w:panose1 w:val="00000000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jc w:val="center"/>
    </w:pPr>
    <w:r>
      <w:fldChar w:fldCharType="begin"/>
    </w:r>
    <w:r>
      <w:instrText xml:space="preserve"> PAGE   \* MERGEFORMAT </w:instrText>
    </w:r>
    <w:r>
      <w:fldChar w:fldCharType="separate"/>
    </w:r>
    <w:r>
      <w:rPr>
        <w:lang w:val="zh-CN"/>
      </w:rPr>
      <w:t>1</w:t>
    </w:r>
    <w:r>
      <w:rPr>
        <w:lang w:val="zh-CN"/>
      </w:rPr>
      <w:fldChar w:fldCharType="end"/>
    </w:r>
  </w:p>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jc w:val="center"/>
    </w:pPr>
    <w:r>
      <w:fldChar w:fldCharType="begin"/>
    </w:r>
    <w:r>
      <w:instrText xml:space="preserve"> PAGE   \* MERGEFORMAT </w:instrText>
    </w:r>
    <w:r>
      <w:fldChar w:fldCharType="separate"/>
    </w:r>
    <w:r>
      <w:rPr>
        <w:lang w:val="zh-CN"/>
      </w:rPr>
      <w:t>15</w:t>
    </w:r>
    <w:r>
      <w:rPr>
        <w:lang w:val="zh-CN"/>
      </w:rPr>
      <w:fldChar w:fldCharType="end"/>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
  <w:docVars>
    <w:docVar w:name="commondata" w:val="eyJoZGlkIjoiMGQ4YjIwYjI4ZmE4OWQ2YmE1MDViYjU3ZGNiYjhlODIifQ=="/>
  </w:docVars>
  <w:rsids>
    <w:rsidRoot w:val="009B19B3"/>
    <w:rsid w:val="000003C0"/>
    <w:rsid w:val="000021D6"/>
    <w:rsid w:val="00004BD5"/>
    <w:rsid w:val="00007A67"/>
    <w:rsid w:val="000233D5"/>
    <w:rsid w:val="00027E45"/>
    <w:rsid w:val="000351A4"/>
    <w:rsid w:val="00037A07"/>
    <w:rsid w:val="0004414D"/>
    <w:rsid w:val="00050681"/>
    <w:rsid w:val="00061C5F"/>
    <w:rsid w:val="000652D6"/>
    <w:rsid w:val="00070716"/>
    <w:rsid w:val="000B0E34"/>
    <w:rsid w:val="000D3467"/>
    <w:rsid w:val="000D61BB"/>
    <w:rsid w:val="000E2AD6"/>
    <w:rsid w:val="000E2D98"/>
    <w:rsid w:val="000E55BC"/>
    <w:rsid w:val="000E5910"/>
    <w:rsid w:val="000F1C17"/>
    <w:rsid w:val="000F24B5"/>
    <w:rsid w:val="00102A7C"/>
    <w:rsid w:val="00106460"/>
    <w:rsid w:val="001156C5"/>
    <w:rsid w:val="001172B3"/>
    <w:rsid w:val="00134BF3"/>
    <w:rsid w:val="00140DE8"/>
    <w:rsid w:val="001418D3"/>
    <w:rsid w:val="001437E6"/>
    <w:rsid w:val="00154329"/>
    <w:rsid w:val="00163202"/>
    <w:rsid w:val="001870AC"/>
    <w:rsid w:val="00193A89"/>
    <w:rsid w:val="00195B37"/>
    <w:rsid w:val="001A1E83"/>
    <w:rsid w:val="001A61DE"/>
    <w:rsid w:val="001C084E"/>
    <w:rsid w:val="001C2B84"/>
    <w:rsid w:val="001C3568"/>
    <w:rsid w:val="001C4BB1"/>
    <w:rsid w:val="001D095F"/>
    <w:rsid w:val="001D2DD9"/>
    <w:rsid w:val="001D56F0"/>
    <w:rsid w:val="001D5C07"/>
    <w:rsid w:val="001E37D7"/>
    <w:rsid w:val="001F1B4B"/>
    <w:rsid w:val="001F2A75"/>
    <w:rsid w:val="00212F1A"/>
    <w:rsid w:val="00215F91"/>
    <w:rsid w:val="002178A9"/>
    <w:rsid w:val="002226D7"/>
    <w:rsid w:val="0023361F"/>
    <w:rsid w:val="00233CB8"/>
    <w:rsid w:val="00233F9E"/>
    <w:rsid w:val="00235C6D"/>
    <w:rsid w:val="002453CB"/>
    <w:rsid w:val="00253212"/>
    <w:rsid w:val="00254875"/>
    <w:rsid w:val="00256B77"/>
    <w:rsid w:val="002654CB"/>
    <w:rsid w:val="00266E25"/>
    <w:rsid w:val="00273E50"/>
    <w:rsid w:val="002756E4"/>
    <w:rsid w:val="002A0834"/>
    <w:rsid w:val="002B0553"/>
    <w:rsid w:val="002B05F7"/>
    <w:rsid w:val="002B3F08"/>
    <w:rsid w:val="002B4E65"/>
    <w:rsid w:val="002C7EAF"/>
    <w:rsid w:val="002F2577"/>
    <w:rsid w:val="002F6202"/>
    <w:rsid w:val="00316E50"/>
    <w:rsid w:val="00316F0E"/>
    <w:rsid w:val="00321272"/>
    <w:rsid w:val="00325547"/>
    <w:rsid w:val="00326B8C"/>
    <w:rsid w:val="003314E4"/>
    <w:rsid w:val="00331E1E"/>
    <w:rsid w:val="003371EB"/>
    <w:rsid w:val="00337ED9"/>
    <w:rsid w:val="00345800"/>
    <w:rsid w:val="003508A5"/>
    <w:rsid w:val="00354A7C"/>
    <w:rsid w:val="00364BB9"/>
    <w:rsid w:val="00377012"/>
    <w:rsid w:val="00387FD0"/>
    <w:rsid w:val="00396CD5"/>
    <w:rsid w:val="003A1721"/>
    <w:rsid w:val="003A2E79"/>
    <w:rsid w:val="003A4630"/>
    <w:rsid w:val="003A496B"/>
    <w:rsid w:val="003B1325"/>
    <w:rsid w:val="003B6057"/>
    <w:rsid w:val="003C3480"/>
    <w:rsid w:val="003C5C1F"/>
    <w:rsid w:val="003D1EDA"/>
    <w:rsid w:val="003D1F9B"/>
    <w:rsid w:val="003D2BBB"/>
    <w:rsid w:val="003D3BB2"/>
    <w:rsid w:val="003D7B66"/>
    <w:rsid w:val="00404086"/>
    <w:rsid w:val="0040580D"/>
    <w:rsid w:val="00413782"/>
    <w:rsid w:val="00417C88"/>
    <w:rsid w:val="004311DF"/>
    <w:rsid w:val="00436919"/>
    <w:rsid w:val="00437717"/>
    <w:rsid w:val="0044021E"/>
    <w:rsid w:val="00445A64"/>
    <w:rsid w:val="0045411C"/>
    <w:rsid w:val="004573E4"/>
    <w:rsid w:val="00460F9A"/>
    <w:rsid w:val="004735FC"/>
    <w:rsid w:val="004924A7"/>
    <w:rsid w:val="004935B2"/>
    <w:rsid w:val="00497B08"/>
    <w:rsid w:val="00497FC6"/>
    <w:rsid w:val="004A6503"/>
    <w:rsid w:val="004B1BDA"/>
    <w:rsid w:val="004B3A9F"/>
    <w:rsid w:val="004C5477"/>
    <w:rsid w:val="004D3F83"/>
    <w:rsid w:val="004E4AD4"/>
    <w:rsid w:val="004E746C"/>
    <w:rsid w:val="004E7E2D"/>
    <w:rsid w:val="00512742"/>
    <w:rsid w:val="00512786"/>
    <w:rsid w:val="00514ABC"/>
    <w:rsid w:val="005263C0"/>
    <w:rsid w:val="00544909"/>
    <w:rsid w:val="00551A5A"/>
    <w:rsid w:val="0056706F"/>
    <w:rsid w:val="00567128"/>
    <w:rsid w:val="005845DF"/>
    <w:rsid w:val="00584DF2"/>
    <w:rsid w:val="0058649D"/>
    <w:rsid w:val="00593352"/>
    <w:rsid w:val="00595487"/>
    <w:rsid w:val="005A32AB"/>
    <w:rsid w:val="005A3A70"/>
    <w:rsid w:val="005A61D4"/>
    <w:rsid w:val="005B322C"/>
    <w:rsid w:val="005C4A17"/>
    <w:rsid w:val="005E1F6F"/>
    <w:rsid w:val="005E6464"/>
    <w:rsid w:val="005F1522"/>
    <w:rsid w:val="005F1DCD"/>
    <w:rsid w:val="005F3C89"/>
    <w:rsid w:val="005F5952"/>
    <w:rsid w:val="006017F9"/>
    <w:rsid w:val="00603617"/>
    <w:rsid w:val="00611E81"/>
    <w:rsid w:val="0064768C"/>
    <w:rsid w:val="006509E6"/>
    <w:rsid w:val="00654AA7"/>
    <w:rsid w:val="006553EF"/>
    <w:rsid w:val="006603EC"/>
    <w:rsid w:val="006667EE"/>
    <w:rsid w:val="006675D3"/>
    <w:rsid w:val="00673F17"/>
    <w:rsid w:val="00675C64"/>
    <w:rsid w:val="006847AE"/>
    <w:rsid w:val="00693E03"/>
    <w:rsid w:val="00696646"/>
    <w:rsid w:val="00696A7B"/>
    <w:rsid w:val="006B1D92"/>
    <w:rsid w:val="006B28AD"/>
    <w:rsid w:val="006B3076"/>
    <w:rsid w:val="006B5EF5"/>
    <w:rsid w:val="006B6370"/>
    <w:rsid w:val="006B71D2"/>
    <w:rsid w:val="006C4C39"/>
    <w:rsid w:val="006C5121"/>
    <w:rsid w:val="006D3427"/>
    <w:rsid w:val="006D6A5B"/>
    <w:rsid w:val="006E7C82"/>
    <w:rsid w:val="006F61C6"/>
    <w:rsid w:val="0071311B"/>
    <w:rsid w:val="007157B6"/>
    <w:rsid w:val="0072541C"/>
    <w:rsid w:val="00732949"/>
    <w:rsid w:val="0073340E"/>
    <w:rsid w:val="00735659"/>
    <w:rsid w:val="00735A28"/>
    <w:rsid w:val="007510E5"/>
    <w:rsid w:val="007544BC"/>
    <w:rsid w:val="007632A0"/>
    <w:rsid w:val="007634FF"/>
    <w:rsid w:val="0076451B"/>
    <w:rsid w:val="007704CD"/>
    <w:rsid w:val="0078686C"/>
    <w:rsid w:val="00795D93"/>
    <w:rsid w:val="007A1978"/>
    <w:rsid w:val="007B0E48"/>
    <w:rsid w:val="007B0EBE"/>
    <w:rsid w:val="007B6675"/>
    <w:rsid w:val="007D1D7B"/>
    <w:rsid w:val="007E7441"/>
    <w:rsid w:val="007F233E"/>
    <w:rsid w:val="0080044E"/>
    <w:rsid w:val="0081373A"/>
    <w:rsid w:val="00815287"/>
    <w:rsid w:val="00824D07"/>
    <w:rsid w:val="008269C3"/>
    <w:rsid w:val="00827911"/>
    <w:rsid w:val="00832D42"/>
    <w:rsid w:val="00833A95"/>
    <w:rsid w:val="00834DF4"/>
    <w:rsid w:val="00837990"/>
    <w:rsid w:val="00841DE9"/>
    <w:rsid w:val="00842C2F"/>
    <w:rsid w:val="00846D5D"/>
    <w:rsid w:val="00864463"/>
    <w:rsid w:val="00865B37"/>
    <w:rsid w:val="00871300"/>
    <w:rsid w:val="00871BB2"/>
    <w:rsid w:val="0087457D"/>
    <w:rsid w:val="008767C3"/>
    <w:rsid w:val="00876926"/>
    <w:rsid w:val="008A068A"/>
    <w:rsid w:val="008A0A76"/>
    <w:rsid w:val="008A53DB"/>
    <w:rsid w:val="008A6143"/>
    <w:rsid w:val="008A6DDB"/>
    <w:rsid w:val="008A6EEC"/>
    <w:rsid w:val="008B019D"/>
    <w:rsid w:val="008B4359"/>
    <w:rsid w:val="008C33D3"/>
    <w:rsid w:val="008D285E"/>
    <w:rsid w:val="008E0D30"/>
    <w:rsid w:val="008E324F"/>
    <w:rsid w:val="008E57E6"/>
    <w:rsid w:val="008E6700"/>
    <w:rsid w:val="008F3E08"/>
    <w:rsid w:val="008F5475"/>
    <w:rsid w:val="00916523"/>
    <w:rsid w:val="009245CA"/>
    <w:rsid w:val="009347F8"/>
    <w:rsid w:val="009379DE"/>
    <w:rsid w:val="00945AC3"/>
    <w:rsid w:val="009516B1"/>
    <w:rsid w:val="009545B6"/>
    <w:rsid w:val="009568D7"/>
    <w:rsid w:val="00960764"/>
    <w:rsid w:val="009640DB"/>
    <w:rsid w:val="00966422"/>
    <w:rsid w:val="00970C40"/>
    <w:rsid w:val="009732FA"/>
    <w:rsid w:val="00976900"/>
    <w:rsid w:val="00977A16"/>
    <w:rsid w:val="00981057"/>
    <w:rsid w:val="00984619"/>
    <w:rsid w:val="009849B6"/>
    <w:rsid w:val="00985C45"/>
    <w:rsid w:val="00986690"/>
    <w:rsid w:val="0098731F"/>
    <w:rsid w:val="009976AB"/>
    <w:rsid w:val="009A32EE"/>
    <w:rsid w:val="009A6053"/>
    <w:rsid w:val="009B0566"/>
    <w:rsid w:val="009B19B3"/>
    <w:rsid w:val="009B4EC4"/>
    <w:rsid w:val="009D2CA3"/>
    <w:rsid w:val="009D7865"/>
    <w:rsid w:val="009F0EE6"/>
    <w:rsid w:val="00A011E0"/>
    <w:rsid w:val="00A019DC"/>
    <w:rsid w:val="00A053EC"/>
    <w:rsid w:val="00A20682"/>
    <w:rsid w:val="00A20869"/>
    <w:rsid w:val="00A21B4B"/>
    <w:rsid w:val="00A23CC9"/>
    <w:rsid w:val="00A31633"/>
    <w:rsid w:val="00A333A8"/>
    <w:rsid w:val="00A33C4E"/>
    <w:rsid w:val="00A42BA0"/>
    <w:rsid w:val="00A437F1"/>
    <w:rsid w:val="00A4638A"/>
    <w:rsid w:val="00A56380"/>
    <w:rsid w:val="00A724BB"/>
    <w:rsid w:val="00A76F2C"/>
    <w:rsid w:val="00A828DC"/>
    <w:rsid w:val="00A85917"/>
    <w:rsid w:val="00A86C39"/>
    <w:rsid w:val="00AA2782"/>
    <w:rsid w:val="00AB1454"/>
    <w:rsid w:val="00AC2C69"/>
    <w:rsid w:val="00AD6356"/>
    <w:rsid w:val="00AD7F95"/>
    <w:rsid w:val="00AE1454"/>
    <w:rsid w:val="00AE1E55"/>
    <w:rsid w:val="00AF3753"/>
    <w:rsid w:val="00AF57E1"/>
    <w:rsid w:val="00B03FA1"/>
    <w:rsid w:val="00B047C5"/>
    <w:rsid w:val="00B063D5"/>
    <w:rsid w:val="00B11981"/>
    <w:rsid w:val="00B14564"/>
    <w:rsid w:val="00B150F1"/>
    <w:rsid w:val="00B1706B"/>
    <w:rsid w:val="00B241DC"/>
    <w:rsid w:val="00B24922"/>
    <w:rsid w:val="00B327C8"/>
    <w:rsid w:val="00B35ADB"/>
    <w:rsid w:val="00B37501"/>
    <w:rsid w:val="00B43476"/>
    <w:rsid w:val="00B44E28"/>
    <w:rsid w:val="00B525C6"/>
    <w:rsid w:val="00B61130"/>
    <w:rsid w:val="00B614A1"/>
    <w:rsid w:val="00B73A28"/>
    <w:rsid w:val="00B84802"/>
    <w:rsid w:val="00B87216"/>
    <w:rsid w:val="00B94AEF"/>
    <w:rsid w:val="00BA5B48"/>
    <w:rsid w:val="00BB3C0B"/>
    <w:rsid w:val="00BB6FB7"/>
    <w:rsid w:val="00BB71AE"/>
    <w:rsid w:val="00BC4ACD"/>
    <w:rsid w:val="00BD1960"/>
    <w:rsid w:val="00BE47E8"/>
    <w:rsid w:val="00BF58A4"/>
    <w:rsid w:val="00BF69EA"/>
    <w:rsid w:val="00C01288"/>
    <w:rsid w:val="00C20EC9"/>
    <w:rsid w:val="00C266D2"/>
    <w:rsid w:val="00C26BC0"/>
    <w:rsid w:val="00C314B5"/>
    <w:rsid w:val="00C31ECE"/>
    <w:rsid w:val="00C34F82"/>
    <w:rsid w:val="00C4111F"/>
    <w:rsid w:val="00C5180B"/>
    <w:rsid w:val="00C545CE"/>
    <w:rsid w:val="00C5521A"/>
    <w:rsid w:val="00C57574"/>
    <w:rsid w:val="00C659B4"/>
    <w:rsid w:val="00C66EDA"/>
    <w:rsid w:val="00C71261"/>
    <w:rsid w:val="00C903FE"/>
    <w:rsid w:val="00C90E8C"/>
    <w:rsid w:val="00C95743"/>
    <w:rsid w:val="00CA4D41"/>
    <w:rsid w:val="00CA5928"/>
    <w:rsid w:val="00CB1ED8"/>
    <w:rsid w:val="00CB751C"/>
    <w:rsid w:val="00CC02F5"/>
    <w:rsid w:val="00CC2FE6"/>
    <w:rsid w:val="00CD6F3B"/>
    <w:rsid w:val="00CE1482"/>
    <w:rsid w:val="00CE55F6"/>
    <w:rsid w:val="00CF249D"/>
    <w:rsid w:val="00CF5E83"/>
    <w:rsid w:val="00D007CE"/>
    <w:rsid w:val="00D01106"/>
    <w:rsid w:val="00D07C35"/>
    <w:rsid w:val="00D143B3"/>
    <w:rsid w:val="00D16C12"/>
    <w:rsid w:val="00D224E4"/>
    <w:rsid w:val="00D3006E"/>
    <w:rsid w:val="00D327EC"/>
    <w:rsid w:val="00D3615F"/>
    <w:rsid w:val="00D402BA"/>
    <w:rsid w:val="00D408D0"/>
    <w:rsid w:val="00D55E8C"/>
    <w:rsid w:val="00D80592"/>
    <w:rsid w:val="00D81AB8"/>
    <w:rsid w:val="00D85E50"/>
    <w:rsid w:val="00D92ED1"/>
    <w:rsid w:val="00DA5B01"/>
    <w:rsid w:val="00DB2D9A"/>
    <w:rsid w:val="00DD10B4"/>
    <w:rsid w:val="00DD4792"/>
    <w:rsid w:val="00DD6A30"/>
    <w:rsid w:val="00DE791B"/>
    <w:rsid w:val="00DF15BD"/>
    <w:rsid w:val="00DF7356"/>
    <w:rsid w:val="00E02AE9"/>
    <w:rsid w:val="00E049C8"/>
    <w:rsid w:val="00E129F8"/>
    <w:rsid w:val="00E144BB"/>
    <w:rsid w:val="00E27EE9"/>
    <w:rsid w:val="00E30DEB"/>
    <w:rsid w:val="00E33EFE"/>
    <w:rsid w:val="00E430A6"/>
    <w:rsid w:val="00E46A26"/>
    <w:rsid w:val="00E505E0"/>
    <w:rsid w:val="00E55B0D"/>
    <w:rsid w:val="00E61CED"/>
    <w:rsid w:val="00E645AF"/>
    <w:rsid w:val="00E75B2F"/>
    <w:rsid w:val="00E77119"/>
    <w:rsid w:val="00E92470"/>
    <w:rsid w:val="00E955CC"/>
    <w:rsid w:val="00EA12C1"/>
    <w:rsid w:val="00EA2A2D"/>
    <w:rsid w:val="00EA3634"/>
    <w:rsid w:val="00EA5CDF"/>
    <w:rsid w:val="00EA6B80"/>
    <w:rsid w:val="00EB156E"/>
    <w:rsid w:val="00EB574D"/>
    <w:rsid w:val="00EB6DFA"/>
    <w:rsid w:val="00EC0133"/>
    <w:rsid w:val="00EC36EB"/>
    <w:rsid w:val="00EC7A79"/>
    <w:rsid w:val="00ED3C09"/>
    <w:rsid w:val="00EE1E1E"/>
    <w:rsid w:val="00EE29F0"/>
    <w:rsid w:val="00EE36F3"/>
    <w:rsid w:val="00EE69DD"/>
    <w:rsid w:val="00EF39DE"/>
    <w:rsid w:val="00EF5BC8"/>
    <w:rsid w:val="00F005E2"/>
    <w:rsid w:val="00F10FD7"/>
    <w:rsid w:val="00F16F75"/>
    <w:rsid w:val="00F201F4"/>
    <w:rsid w:val="00F21D92"/>
    <w:rsid w:val="00F32657"/>
    <w:rsid w:val="00F36247"/>
    <w:rsid w:val="00F405D0"/>
    <w:rsid w:val="00F4072A"/>
    <w:rsid w:val="00F416D6"/>
    <w:rsid w:val="00F424E1"/>
    <w:rsid w:val="00F45FB3"/>
    <w:rsid w:val="00F50CE9"/>
    <w:rsid w:val="00F52218"/>
    <w:rsid w:val="00F53245"/>
    <w:rsid w:val="00F5552D"/>
    <w:rsid w:val="00F61D32"/>
    <w:rsid w:val="00F622F9"/>
    <w:rsid w:val="00F62A8B"/>
    <w:rsid w:val="00F6439F"/>
    <w:rsid w:val="00F8030E"/>
    <w:rsid w:val="00F8305D"/>
    <w:rsid w:val="00F85E60"/>
    <w:rsid w:val="00F87754"/>
    <w:rsid w:val="00FA48B7"/>
    <w:rsid w:val="00FC6843"/>
    <w:rsid w:val="00FC754C"/>
    <w:rsid w:val="00FD19D2"/>
    <w:rsid w:val="00FF083E"/>
    <w:rsid w:val="00FF35CC"/>
    <w:rsid w:val="02961C63"/>
    <w:rsid w:val="067F2731"/>
    <w:rsid w:val="0D714FFE"/>
    <w:rsid w:val="0EEC5902"/>
    <w:rsid w:val="0F946FD9"/>
    <w:rsid w:val="0FAF3253"/>
    <w:rsid w:val="11311F96"/>
    <w:rsid w:val="12BF4ACA"/>
    <w:rsid w:val="17046B3B"/>
    <w:rsid w:val="19862B47"/>
    <w:rsid w:val="1CDB3593"/>
    <w:rsid w:val="1F4736BB"/>
    <w:rsid w:val="20603A0B"/>
    <w:rsid w:val="2406637B"/>
    <w:rsid w:val="254914F1"/>
    <w:rsid w:val="258F750D"/>
    <w:rsid w:val="286A6E7C"/>
    <w:rsid w:val="2F734EAE"/>
    <w:rsid w:val="362C50EA"/>
    <w:rsid w:val="36A130A2"/>
    <w:rsid w:val="37BF4409"/>
    <w:rsid w:val="3996388A"/>
    <w:rsid w:val="3C0D722D"/>
    <w:rsid w:val="3DF9176C"/>
    <w:rsid w:val="3DFA7217"/>
    <w:rsid w:val="3F576C65"/>
    <w:rsid w:val="3F821FA5"/>
    <w:rsid w:val="408940CF"/>
    <w:rsid w:val="41BD3269"/>
    <w:rsid w:val="41F44A83"/>
    <w:rsid w:val="43F40AC5"/>
    <w:rsid w:val="44265E39"/>
    <w:rsid w:val="447B0B22"/>
    <w:rsid w:val="45C00187"/>
    <w:rsid w:val="46505364"/>
    <w:rsid w:val="47616255"/>
    <w:rsid w:val="48892395"/>
    <w:rsid w:val="52566D98"/>
    <w:rsid w:val="55595E7E"/>
    <w:rsid w:val="5B57742B"/>
    <w:rsid w:val="5D106E1B"/>
    <w:rsid w:val="5DA109B6"/>
    <w:rsid w:val="5DA614D2"/>
    <w:rsid w:val="5DB26E53"/>
    <w:rsid w:val="619A694B"/>
    <w:rsid w:val="6C6D76D3"/>
    <w:rsid w:val="710C3C65"/>
    <w:rsid w:val="73433371"/>
    <w:rsid w:val="76D760E6"/>
    <w:rsid w:val="7C300A71"/>
    <w:rsid w:val="7E3D3C51"/>
  </w:rsid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6">
    <w:name w:val="Default Paragraph Font"/>
    <w:unhideWhenUsed/>
    <w:uiPriority w:val="1"/>
  </w:style>
  <w:style w:type="table" w:default="1" w:styleId="8">
    <w:name w:val="Normal Table"/>
    <w:unhideWhenUsed/>
    <w:qFormat/>
    <w:uiPriority w:val="99"/>
    <w:tblPr>
      <w:tblStyle w:val="8"/>
      <w:tblLayout w:type="fixed"/>
      <w:tblCellMar>
        <w:top w:w="0" w:type="dxa"/>
        <w:left w:w="108" w:type="dxa"/>
        <w:bottom w:w="0" w:type="dxa"/>
        <w:right w:w="108" w:type="dxa"/>
      </w:tblCellMar>
    </w:tblPr>
    <w:tcPr>
      <w:textDirection w:val="lrTb"/>
    </w:tcPr>
  </w:style>
  <w:style w:type="paragraph" w:styleId="2">
    <w:name w:val="toc 3"/>
    <w:basedOn w:val="1"/>
    <w:next w:val="1"/>
    <w:unhideWhenUsed/>
    <w:qFormat/>
    <w:uiPriority w:val="39"/>
    <w:pPr>
      <w:ind w:left="840" w:leftChars="400"/>
    </w:pPr>
  </w:style>
  <w:style w:type="paragraph" w:styleId="3">
    <w:name w:val="Balloon Text"/>
    <w:basedOn w:val="1"/>
    <w:link w:val="15"/>
    <w:unhideWhenUsed/>
    <w:qFormat/>
    <w:uiPriority w:val="99"/>
    <w:rPr>
      <w:sz w:val="18"/>
      <w:szCs w:val="18"/>
    </w:rPr>
  </w:style>
  <w:style w:type="paragraph" w:styleId="4">
    <w:name w:val="footer"/>
    <w:basedOn w:val="1"/>
    <w:link w:val="14"/>
    <w:unhideWhenUsed/>
    <w:qFormat/>
    <w:uiPriority w:val="99"/>
    <w:pPr>
      <w:tabs>
        <w:tab w:val="center" w:pos="4153"/>
        <w:tab w:val="right" w:pos="8306"/>
      </w:tabs>
      <w:snapToGrid w:val="0"/>
      <w:jc w:val="left"/>
    </w:pPr>
    <w:rPr>
      <w:sz w:val="18"/>
      <w:szCs w:val="18"/>
    </w:rPr>
  </w:style>
  <w:style w:type="paragraph" w:styleId="5">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Hyperlink"/>
    <w:basedOn w:val="6"/>
    <w:unhideWhenUsed/>
    <w:qFormat/>
    <w:uiPriority w:val="99"/>
    <w:rPr>
      <w:color w:val="0000FF"/>
      <w:u w:val="single"/>
    </w:rPr>
  </w:style>
  <w:style w:type="table" w:styleId="9">
    <w:name w:val="Table Grid"/>
    <w:basedOn w:val="8"/>
    <w:qFormat/>
    <w:uiPriority w:val="59"/>
    <w:pPr/>
    <w:tblPr>
      <w:tblStyle w:val="8"/>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cPr>
      <w:textDirection w:val="lrTb"/>
    </w:tcPr>
  </w:style>
  <w:style w:type="paragraph" w:customStyle="1" w:styleId="10">
    <w:name w:val="List Paragraph"/>
    <w:basedOn w:val="1"/>
    <w:qFormat/>
    <w:uiPriority w:val="34"/>
    <w:pPr>
      <w:ind w:firstLine="420" w:firstLineChars="200"/>
    </w:pPr>
  </w:style>
  <w:style w:type="paragraph" w:customStyle="1" w:styleId="11">
    <w:name w:val="Revision"/>
    <w:hidden/>
    <w:semiHidden/>
    <w:qFormat/>
    <w:uiPriority w:val="99"/>
    <w:rPr>
      <w:rFonts w:ascii="Calibri" w:hAnsi="Calibri" w:eastAsia="宋体" w:cs="黑体"/>
      <w:kern w:val="2"/>
      <w:sz w:val="21"/>
      <w:szCs w:val="22"/>
      <w:lang w:val="en-US" w:eastAsia="zh-CN" w:bidi="ar-SA"/>
    </w:rPr>
  </w:style>
  <w:style w:type="paragraph" w:customStyle="1" w:styleId="12">
    <w:name w:val="Heading 1"/>
    <w:basedOn w:val="1"/>
    <w:qFormat/>
    <w:uiPriority w:val="1"/>
    <w:pPr>
      <w:spacing w:line="541" w:lineRule="exact"/>
      <w:ind w:left="1919" w:right="2017"/>
      <w:jc w:val="center"/>
      <w:outlineLvl w:val="1"/>
    </w:pPr>
    <w:rPr>
      <w:rFonts w:ascii="Noto Sans Mono CJK JP Regular" w:hAnsi="Noto Sans Mono CJK JP Regular" w:eastAsia="Noto Sans Mono CJK JP Regular" w:cs="Noto Sans Mono CJK JP Regular"/>
      <w:sz w:val="36"/>
      <w:szCs w:val="36"/>
    </w:rPr>
  </w:style>
  <w:style w:type="character" w:customStyle="1" w:styleId="13">
    <w:name w:val="页眉 Char"/>
    <w:basedOn w:val="6"/>
    <w:link w:val="5"/>
    <w:qFormat/>
    <w:uiPriority w:val="99"/>
    <w:rPr>
      <w:sz w:val="18"/>
      <w:szCs w:val="18"/>
    </w:rPr>
  </w:style>
  <w:style w:type="character" w:customStyle="1" w:styleId="14">
    <w:name w:val="页脚 Char"/>
    <w:basedOn w:val="6"/>
    <w:link w:val="4"/>
    <w:qFormat/>
    <w:uiPriority w:val="99"/>
    <w:rPr>
      <w:sz w:val="18"/>
      <w:szCs w:val="18"/>
    </w:rPr>
  </w:style>
  <w:style w:type="character" w:customStyle="1" w:styleId="15">
    <w:name w:val="批注框文本 Char"/>
    <w:basedOn w:val="6"/>
    <w:link w:val="3"/>
    <w:semiHidden/>
    <w:qFormat/>
    <w:uiPriority w:val="99"/>
    <w:rPr>
      <w:sz w:val="18"/>
      <w:szCs w:val="18"/>
    </w:rPr>
  </w:style>
  <w:style w:type="character" w:customStyle="1" w:styleId="16">
    <w:name w:val="mini-outputtext"/>
    <w:basedOn w:val="6"/>
    <w:qFormat/>
    <w:uiPriority w:val="0"/>
    <w:rPr/>
  </w:style>
</w:styles>
</file>

<file path=word/_rels/document.xml.rels><?xml version="1.0" encoding="UTF-8" standalone="yes"?>
<Relationships xmlns="http://schemas.openxmlformats.org/package/2006/relationships"><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10</Pages>
  <Words>2025</Words>
  <Characters>2224</Characters>
  <Lines>41</Lines>
  <Paragraphs>11</Paragraphs>
  <ScaleCrop>false</ScaleCrop>
  <LinksUpToDate>false</LinksUpToDate>
  <CharactersWithSpaces>0</CharactersWithSpaces>
  <Application>WPS Office 专业版_9.1.0.4940_F1E327BC-269C-435d-A152-05C5408002CA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2020-04-22T08:12:00Z</dcterms:created>
  <dc:creator>吴</dc:creator>
  <cp:lastModifiedBy>龙进</cp:lastModifiedBy>
  <cp:lastPrinted>2020-05-08T08:38:00Z</cp:lastPrinted>
  <dcterms:modified xsi:type="dcterms:W3CDTF">2026-01-21T02:24:51Z</dcterms:modified>
  <dc:title>编号：57001-2              </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2052-9.1.0.4940</vt:lpwstr>
  </property>
  <property fmtid="{D5CDD505-2E9C-101B-9397-08002B2CF9AE}" pid="3" name="ICV">
    <vt:lpwstr>55D424E49A7543C1B0C20C5ED7B49B57_12</vt:lpwstr>
  </property>
</Properties>
</file>