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ind w:right="300"/>
        <w:jc w:val="left"/>
        <w:rPr>
          <w:rFonts w:hint="eastAsia" w:ascii="黑体" w:hAnsi="黑体" w:eastAsia="黑体" w:cs="黑体"/>
          <w:color w:val="auto"/>
          <w:sz w:val="30"/>
          <w:szCs w:val="30"/>
        </w:rPr>
      </w:pPr>
      <w:r>
        <w:rPr>
          <w:rFonts w:hint="eastAsia" w:ascii="黑体" w:hAnsi="黑体" w:eastAsia="黑体" w:cs="黑体"/>
          <w:color w:val="auto"/>
          <w:sz w:val="30"/>
          <w:szCs w:val="30"/>
        </w:rPr>
        <w:t>编号：0001711020</w:t>
      </w:r>
      <w:r>
        <w:rPr>
          <w:rFonts w:hint="eastAsia" w:ascii="黑体" w:hAnsi="黑体" w:eastAsia="黑体" w:cs="黑体"/>
          <w:color w:val="auto"/>
          <w:sz w:val="30"/>
          <w:szCs w:val="30"/>
          <w:lang w:val="en-US" w:eastAsia="zh-CN"/>
        </w:rPr>
        <w:t>02</w:t>
      </w:r>
      <w:r>
        <w:rPr>
          <w:rFonts w:hint="eastAsia" w:ascii="黑体" w:hAnsi="黑体" w:eastAsia="黑体" w:cs="黑体"/>
          <w:color w:val="auto"/>
          <w:sz w:val="30"/>
          <w:szCs w:val="30"/>
        </w:rPr>
        <w:t xml:space="preserve">             </w:t>
      </w: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30"/>
          <w:szCs w:val="30"/>
        </w:rPr>
      </w:pPr>
    </w:p>
    <w:p>
      <w:pPr>
        <w:ind w:right="300"/>
        <w:jc w:val="center"/>
        <w:rPr>
          <w:rFonts w:ascii="Times New Roman" w:hAnsi="Times New Roman" w:eastAsia="黑体" w:cs="Times New Roman"/>
          <w:color w:val="auto"/>
          <w:sz w:val="52"/>
          <w:szCs w:val="52"/>
        </w:rPr>
      </w:pP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w:t>
      </w:r>
      <w:r>
        <w:rPr>
          <w:rFonts w:hint="eastAsia" w:ascii="Times New Roman" w:hAnsi="Times New Roman" w:eastAsia="黑体" w:cs="Times New Roman"/>
          <w:color w:val="auto"/>
          <w:sz w:val="52"/>
          <w:szCs w:val="52"/>
        </w:rPr>
        <w:t>省级分局和计划单列市</w:t>
      </w:r>
      <w:r>
        <w:rPr>
          <w:rFonts w:hint="default" w:ascii="Times New Roman" w:hAnsi="Times New Roman" w:eastAsia="黑体" w:cs="Times New Roman"/>
          <w:color w:val="auto"/>
          <w:sz w:val="52"/>
          <w:szCs w:val="52"/>
          <w:lang w:val="en-US" w:eastAsia="zh-CN"/>
        </w:rPr>
        <w:t>分局办理的超期限或无法原路退汇的经常项目收支登记</w:t>
      </w:r>
      <w:r>
        <w:rPr>
          <w:rFonts w:ascii="Times New Roman" w:hAnsi="Times New Roman" w:eastAsia="黑体" w:cs="Times New Roman"/>
          <w:color w:val="auto"/>
          <w:sz w:val="52"/>
          <w:szCs w:val="52"/>
        </w:rPr>
        <w:t xml:space="preserve">” </w:t>
      </w:r>
    </w:p>
    <w:p>
      <w:pPr>
        <w:ind w:right="300"/>
        <w:jc w:val="center"/>
        <w:rPr>
          <w:rFonts w:ascii="Times New Roman" w:hAnsi="Times New Roman" w:eastAsia="黑体" w:cs="Times New Roman"/>
          <w:color w:val="auto"/>
          <w:sz w:val="52"/>
          <w:szCs w:val="52"/>
        </w:rPr>
      </w:pPr>
      <w:r>
        <w:rPr>
          <w:rFonts w:ascii="Times New Roman" w:hAnsi="Times New Roman" w:eastAsia="黑体" w:cs="Times New Roman"/>
          <w:color w:val="auto"/>
          <w:sz w:val="52"/>
          <w:szCs w:val="52"/>
        </w:rPr>
        <w:t>行政审批服务指南</w:t>
      </w: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ascii="Times New Roman" w:hAnsi="Times New Roman" w:eastAsia="仿宋_GB2312" w:cs="Times New Roman"/>
          <w:color w:val="auto"/>
          <w:sz w:val="30"/>
          <w:szCs w:val="30"/>
        </w:rPr>
      </w:pPr>
    </w:p>
    <w:p>
      <w:pPr>
        <w:ind w:right="300"/>
        <w:jc w:val="center"/>
        <w:rPr>
          <w:rFonts w:hint="eastAsia" w:ascii="宋体" w:hAnsi="宋体" w:eastAsia="宋体" w:cs="宋体"/>
          <w:b w:val="0"/>
          <w:bCs w:val="0"/>
          <w:color w:val="auto"/>
          <w:sz w:val="40"/>
          <w:szCs w:val="40"/>
          <w:lang w:val="en-US" w:eastAsia="zh-CN"/>
        </w:rPr>
      </w:pPr>
      <w:r>
        <w:rPr>
          <w:rFonts w:hint="eastAsia" w:ascii="宋体" w:hAnsi="宋体" w:eastAsia="宋体" w:cs="宋体"/>
          <w:b w:val="0"/>
          <w:bCs w:val="0"/>
          <w:color w:val="auto"/>
          <w:sz w:val="40"/>
          <w:szCs w:val="40"/>
          <w:lang w:val="en-US" w:eastAsia="zh-CN"/>
        </w:rPr>
        <w:t>国家外汇管理局广西壮族自治区分局</w:t>
      </w:r>
    </w:p>
    <w:p>
      <w:pPr>
        <w:pStyle w:val="12"/>
        <w:widowControl w:val="0"/>
        <w:wordWrap/>
        <w:autoSpaceDE w:val="0"/>
        <w:autoSpaceDN w:val="0"/>
        <w:adjustRightInd/>
        <w:snapToGrid/>
        <w:spacing w:before="0" w:after="0" w:line="560" w:lineRule="exact"/>
        <w:ind w:left="0" w:leftChars="0" w:right="0" w:firstLine="0" w:firstLineChars="0"/>
        <w:jc w:val="center"/>
        <w:textAlignment w:val="auto"/>
        <w:outlineLvl w:val="1"/>
        <w:rPr>
          <w:rFonts w:hint="eastAsia" w:ascii="宋体" w:hAnsi="宋体" w:eastAsia="宋体" w:cs="宋体"/>
          <w:b w:val="0"/>
          <w:bCs w:val="0"/>
          <w:color w:val="auto"/>
          <w:sz w:val="40"/>
          <w:szCs w:val="40"/>
          <w:lang w:val="en-US" w:eastAsia="zh-CN"/>
        </w:rPr>
      </w:pPr>
    </w:p>
    <w:p>
      <w:pPr>
        <w:spacing w:line="540" w:lineRule="exact"/>
        <w:outlineLvl w:val="1"/>
        <w:rPr>
          <w:rFonts w:ascii="Times New Roman" w:hAnsi="Times New Roman" w:eastAsia="黑体" w:cs="Times New Roman"/>
          <w:color w:val="auto"/>
          <w:sz w:val="30"/>
          <w:szCs w:val="30"/>
        </w:rPr>
      </w:pPr>
    </w:p>
    <w:p>
      <w:pPr>
        <w:spacing w:line="540" w:lineRule="exact"/>
        <w:outlineLvl w:val="1"/>
        <w:rPr>
          <w:rFonts w:ascii="Times New Roman" w:hAnsi="Times New Roman" w:eastAsia="黑体"/>
          <w:sz w:val="28"/>
          <w:szCs w:val="28"/>
        </w:rPr>
      </w:pPr>
      <w:r>
        <w:rPr>
          <w:rFonts w:ascii="Times New Roman" w:hAnsi="Times New Roman" w:eastAsia="黑体" w:cs="Times New Roman"/>
          <w:color w:val="auto"/>
          <w:sz w:val="30"/>
          <w:szCs w:val="30"/>
        </w:rPr>
        <w:t xml:space="preserve">   </w:t>
      </w:r>
      <w:r>
        <w:rPr>
          <w:rFonts w:hint="eastAsia" w:ascii="Times New Roman" w:hAnsi="Times New Roman" w:eastAsia="黑体"/>
          <w:sz w:val="28"/>
          <w:szCs w:val="28"/>
        </w:rPr>
        <w:t>一、基本要素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行政许可事项名称</w:t>
      </w:r>
      <w:r>
        <w:rPr>
          <w:rFonts w:hint="eastAsia" w:ascii="Times New Roman" w:hAnsi="Times New Roman" w:eastAsia="仿宋GB2312"/>
          <w:b/>
          <w:bCs/>
          <w:sz w:val="28"/>
          <w:szCs w:val="28"/>
        </w:rPr>
        <w:t>及编码</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经常项目特定收支业务核准【00017110200Y】</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行政许可</w:t>
      </w:r>
      <w:r>
        <w:rPr>
          <w:rFonts w:hint="eastAsia" w:ascii="Times New Roman" w:hAnsi="Times New Roman" w:eastAsia="仿宋GB2312"/>
          <w:b/>
          <w:bCs/>
          <w:sz w:val="28"/>
          <w:szCs w:val="28"/>
        </w:rPr>
        <w:t>事项子项名称及编码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省级分局和计划单列市分局办理的超期限或无法原路退汇的经常项目收支登记【000171102002】</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3.行政许可事项业务办理项名称及编码</w:t>
      </w:r>
    </w:p>
    <w:p>
      <w:pPr>
        <w:spacing w:line="360" w:lineRule="auto"/>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1.省级分局和计划单列市分局办理的超期限或无法原路退汇的经常项目收支登记(00017110200201)</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4.设定依据</w:t>
      </w:r>
    </w:p>
    <w:p>
      <w:pPr>
        <w:spacing w:line="540" w:lineRule="exact"/>
        <w:ind w:firstLine="560" w:firstLineChars="200"/>
        <w:outlineLvl w:val="2"/>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（1）《国务院对确需保留的行政审批项目设定行政许可的决定》</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5.实施依据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（1）《经常项目外汇业务指引（2020年版）》（汇发〔2020〕14号文印发）第二十三条</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6.监管依据</w:t>
      </w:r>
    </w:p>
    <w:p>
      <w:pPr>
        <w:spacing w:line="540" w:lineRule="exact"/>
        <w:ind w:firstLine="560" w:firstLineChars="200"/>
        <w:outlineLvl w:val="2"/>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（1）《中华人民共和国外汇管理条例》</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实施机关</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国家外汇局省级分局和计划单列市分局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审批层级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国家级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9.行使</w:t>
      </w:r>
      <w:r>
        <w:rPr>
          <w:rFonts w:ascii="Times New Roman" w:hAnsi="Times New Roman" w:eastAsia="仿宋GB2312"/>
          <w:b/>
          <w:bCs/>
          <w:sz w:val="28"/>
          <w:szCs w:val="28"/>
        </w:rPr>
        <w:t>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省级/直属</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是否由审批机关受理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是</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11.</w:t>
      </w:r>
      <w:r>
        <w:rPr>
          <w:rFonts w:ascii="Times New Roman" w:hAnsi="Times New Roman" w:eastAsia="仿宋GB2312"/>
          <w:b/>
          <w:bCs/>
          <w:sz w:val="28"/>
          <w:szCs w:val="28"/>
        </w:rPr>
        <w:t>受理层级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省级</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12.</w:t>
      </w:r>
      <w:r>
        <w:rPr>
          <w:rFonts w:ascii="Times New Roman" w:hAnsi="Times New Roman" w:eastAsia="仿宋GB2312"/>
          <w:b/>
          <w:bCs/>
          <w:sz w:val="28"/>
          <w:szCs w:val="28"/>
        </w:rPr>
        <w:t>是否存在初审环节</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highlight w:val="yellow"/>
        </w:rPr>
      </w:pPr>
      <w:r>
        <w:rPr>
          <w:rFonts w:hint="eastAsia" w:ascii="Times New Roman" w:hAnsi="Times New Roman" w:eastAsia="仿宋GB2312"/>
          <w:b/>
          <w:bCs/>
          <w:sz w:val="28"/>
          <w:szCs w:val="28"/>
        </w:rPr>
        <w:t>13.</w:t>
      </w:r>
      <w:r>
        <w:rPr>
          <w:rFonts w:ascii="Times New Roman" w:hAnsi="Times New Roman" w:eastAsia="仿宋GB2312"/>
          <w:b/>
          <w:bCs/>
          <w:sz w:val="28"/>
          <w:szCs w:val="28"/>
        </w:rPr>
        <w:t>初审层级</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14.</w:t>
      </w:r>
      <w:r>
        <w:rPr>
          <w:rFonts w:ascii="Times New Roman" w:hAnsi="Times New Roman" w:eastAsia="仿宋GB2312"/>
          <w:b/>
          <w:bCs/>
          <w:sz w:val="28"/>
          <w:szCs w:val="28"/>
        </w:rPr>
        <w:t>对应政务服务事项国家级基本目录名称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进口付汇事前审核,出口收汇事前审核</w:t>
      </w:r>
    </w:p>
    <w:p>
      <w:pPr>
        <w:spacing w:line="600" w:lineRule="exact"/>
        <w:ind w:firstLine="562" w:firstLineChars="200"/>
        <w:jc w:val="left"/>
        <w:rPr>
          <w:rFonts w:ascii="方正仿宋_GBK" w:hAnsi="方正仿宋_GBK" w:eastAsia="方正仿宋_GBK" w:cs="方正仿宋_GBK"/>
          <w:sz w:val="28"/>
          <w:szCs w:val="28"/>
        </w:rPr>
      </w:pPr>
      <w:r>
        <w:rPr>
          <w:rFonts w:hint="eastAsia" w:ascii="Times New Roman" w:hAnsi="Times New Roman" w:eastAsia="仿宋GB2312"/>
          <w:b/>
          <w:bCs/>
          <w:sz w:val="28"/>
          <w:szCs w:val="28"/>
        </w:rPr>
        <w:t>15.要素统一情况：</w:t>
      </w:r>
      <w:r>
        <w:rPr>
          <w:rFonts w:hint="eastAsia" w:ascii="方正仿宋_GBK" w:hAnsi="方正仿宋_GBK" w:eastAsia="方正仿宋_GBK" w:cs="方正仿宋_GBK"/>
          <w:sz w:val="28"/>
          <w:szCs w:val="28"/>
        </w:rPr>
        <w:t>全部要素全国统一</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二、行政许可事项类型</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条件型</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三、行政许可条件</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1.准予行政许可的条件</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对于A类企业单笔等值</w:t>
      </w:r>
      <w:r>
        <w:rPr>
          <w:rFonts w:hint="eastAsia" w:ascii="方正仿宋_GBK" w:hAnsi="方正仿宋_GBK" w:eastAsia="方正仿宋_GBK" w:cs="方正仿宋_GBK"/>
          <w:sz w:val="28"/>
          <w:szCs w:val="28"/>
          <w:lang w:val="en-US" w:eastAsia="zh-CN"/>
        </w:rPr>
        <w:t>20</w:t>
      </w:r>
      <w:r>
        <w:rPr>
          <w:rFonts w:ascii="方正仿宋_GBK" w:hAnsi="方正仿宋_GBK" w:eastAsia="方正仿宋_GBK" w:cs="方正仿宋_GBK"/>
          <w:sz w:val="28"/>
          <w:szCs w:val="28"/>
        </w:rPr>
        <w:t>万美元以上（不含）或B、C类企业的下述情形的退汇：</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（1）退汇日期与原收（付）款日期间隔在180天以上（不含）；或</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（2）特殊情况导致进口项下退汇的境外付款人不为原收款人、境内收款人不为原付款人，或出口项下退汇的境内付款人不为原收款人、境外收款人不为原付款人。</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规定行政许可条件的依据</w:t>
      </w:r>
    </w:p>
    <w:p>
      <w:pPr>
        <w:spacing w:line="600" w:lineRule="exact"/>
        <w:ind w:firstLine="560" w:firstLineChars="200"/>
        <w:rPr>
          <w:rFonts w:hint="eastAsia" w:ascii="方正仿宋_GBK" w:hAnsi="方正仿宋_GBK" w:eastAsia="方正仿宋_GBK" w:cs="方正仿宋_GBK"/>
          <w:sz w:val="28"/>
          <w:szCs w:val="28"/>
        </w:rPr>
      </w:pPr>
      <w:r>
        <w:rPr>
          <w:rFonts w:ascii="方正仿宋_GBK" w:hAnsi="方正仿宋_GBK" w:eastAsia="方正仿宋_GBK" w:cs="方正仿宋_GBK"/>
          <w:sz w:val="28"/>
          <w:szCs w:val="28"/>
        </w:rPr>
        <w:t>（1）《经常项目外汇业务指引（2020年版）》（汇发〔2020〕14号文印发）第二十三条企业办理下列货物贸易外汇收支业务，应在收汇、付汇、开证、出口贸易融资放款或出口收入待核查账户资金结汇或划出前，提交下列材料到所在地外汇局审核真实性后办理登记：</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（三）退汇日期与原收、付款日期在180天以上（不含）或由于特殊情况无法原路退回的退汇业务，对于A类企业单笔等值</w:t>
      </w:r>
      <w:r>
        <w:rPr>
          <w:rFonts w:hint="eastAsia" w:ascii="方正仿宋_GBK" w:hAnsi="方正仿宋_GBK" w:eastAsia="方正仿宋_GBK" w:cs="方正仿宋_GBK"/>
          <w:sz w:val="28"/>
          <w:szCs w:val="28"/>
          <w:lang w:val="en-US" w:eastAsia="zh-CN"/>
        </w:rPr>
        <w:t>20</w:t>
      </w:r>
      <w:r>
        <w:rPr>
          <w:rFonts w:ascii="方正仿宋_GBK" w:hAnsi="方正仿宋_GBK" w:eastAsia="方正仿宋_GBK" w:cs="方正仿宋_GBK"/>
          <w:sz w:val="28"/>
          <w:szCs w:val="28"/>
        </w:rPr>
        <w:t>万美元以上（不含）或B、C类企业：提交书面申请（说明需要登记事项的具体内容，超期限或无法原路退汇的原因）、超期限或无法原路退汇的证明材料、原收付汇凭证、原进出口合同（因错误汇入以外的其他原因产生的贸易退汇时提供）、进出口货物报关单（发生货物退运时提供）。需办理登记的货物贸易外汇收支业务，银行应凭外汇局签发的《登记表》办理，并通过货贸系统签注《登记表》使用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四、</w:t>
      </w:r>
      <w:r>
        <w:rPr>
          <w:rFonts w:ascii="Times New Roman" w:hAnsi="Times New Roman" w:eastAsia="黑体"/>
          <w:sz w:val="28"/>
          <w:szCs w:val="28"/>
        </w:rPr>
        <w:t>行政许可服务对象类型</w:t>
      </w:r>
      <w:r>
        <w:rPr>
          <w:rFonts w:hint="eastAsia" w:ascii="Times New Roman" w:hAnsi="Times New Roman" w:eastAsia="黑体"/>
          <w:sz w:val="28"/>
          <w:szCs w:val="28"/>
        </w:rPr>
        <w:t>与改革举措</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1.服务对象类型：</w:t>
      </w:r>
      <w:r>
        <w:rPr>
          <w:rFonts w:ascii="方正仿宋_GBK" w:hAnsi="方正仿宋_GBK" w:eastAsia="方正仿宋_GBK" w:cs="方正仿宋_GBK"/>
          <w:sz w:val="28"/>
          <w:szCs w:val="28"/>
        </w:rPr>
        <w:t>企业法人,事业单位法人,社会组织法人,非法人企业,行政机关,其他组织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2.是否为涉企许可事项：</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3.涉企经营许可事项名称：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4.许可证件名称：</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5.改革方式：</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6.具体改革举措: </w:t>
      </w:r>
      <w:r>
        <w:rPr>
          <w:rFonts w:ascii="方正仿宋_GBK" w:hAnsi="方正仿宋_GBK" w:eastAsia="方正仿宋_GBK" w:cs="方正仿宋_GBK"/>
          <w:sz w:val="28"/>
          <w:szCs w:val="28"/>
        </w:rPr>
        <w:t>无</w:t>
      </w:r>
    </w:p>
    <w:p>
      <w:pPr>
        <w:spacing w:line="54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7.加强事中事后监管措施</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（1）开展“双随机、一公开”监管，依法查处违规行为，适时公开相关案例。（2）依法及时处理投诉举报。（3）开展数据统计与监测，掌握外汇业务情况。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五、申请材料</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1.申请材料名称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加盖公章的书面申请原件1份。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超期限或无法原路退汇的证明材料原件或加盖公章的复印件1份。</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原支出/收汇凭证原件或加盖公章的复印件1份。</w:t>
      </w:r>
      <w:r>
        <w:rPr>
          <w:rFonts w:hint="eastAsia" w:ascii="方正仿宋_GBK" w:hAnsi="方正仿宋_GBK" w:eastAsia="方正仿宋_GBK" w:cs="方正仿宋_GBK"/>
          <w:sz w:val="28"/>
          <w:szCs w:val="28"/>
        </w:rPr>
        <w:tab/>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进出口货物报关单原件或加盖公章的复印件1份。付汇退汇发生货物退运时提供出口报关单，收汇退汇发生货物退运时提供进口报关单，货物不报关的，可提供运输单据等其他材料</w:t>
      </w:r>
      <w:bookmarkStart w:id="6" w:name="_GoBack"/>
      <w:bookmarkEnd w:id="6"/>
      <w:r>
        <w:rPr>
          <w:rFonts w:hint="eastAsia" w:ascii="方正仿宋_GBK" w:hAnsi="方正仿宋_GBK" w:eastAsia="方正仿宋_GBK" w:cs="方正仿宋_GBK"/>
          <w:sz w:val="28"/>
          <w:szCs w:val="28"/>
        </w:rPr>
        <w:t>。</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原进/出口合同原件或加盖公章的复印件1份。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规定申请材料的依据</w:t>
      </w:r>
    </w:p>
    <w:p>
      <w:pPr>
        <w:spacing w:line="600" w:lineRule="exact"/>
        <w:ind w:firstLine="560" w:firstLineChars="200"/>
        <w:rPr>
          <w:rFonts w:hint="eastAsia"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1）《经常项目外汇业务指引（2020年版）》（汇发〔2020〕14号文印发）第二十三条企业办理下列货物贸易外汇收支业务，应在收汇、付汇、开证、出口贸易融资放款或出口收入待核查账户资金结汇或划出前，提交下列材料到所在地外汇局审核真实性后办理登记：</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（三）退汇日期与原收、付款日期在180天以上（不含）或由于特殊情况无法原路退回的退汇业务，对于A类企业单笔等值</w:t>
      </w:r>
      <w:r>
        <w:rPr>
          <w:rFonts w:hint="eastAsia" w:ascii="方正仿宋_GBK" w:hAnsi="方正仿宋_GBK" w:eastAsia="方正仿宋_GBK" w:cs="方正仿宋_GBK"/>
          <w:sz w:val="28"/>
          <w:szCs w:val="28"/>
          <w:lang w:val="en-US" w:eastAsia="zh-CN"/>
        </w:rPr>
        <w:t>20</w:t>
      </w:r>
      <w:r>
        <w:rPr>
          <w:rFonts w:hint="eastAsia" w:ascii="方正仿宋_GBK" w:hAnsi="方正仿宋_GBK" w:eastAsia="方正仿宋_GBK" w:cs="方正仿宋_GBK"/>
          <w:sz w:val="28"/>
          <w:szCs w:val="28"/>
        </w:rPr>
        <w:t>万美元以上（不含）或B、C类企业：提交书面申请（说明需要登记事项的具体内容，超期限或无法原路退汇的原因）、超期限或无法原路退汇的证明材料、原收付汇凭证、原进出口合同（因错误汇入以外的其他原因产生的贸易退汇时提供）、进出口货物报关单（发生货物退运时提供）。需办理登记的货物贸易外汇收支业务，银行应凭外汇局签发的《登记表》办理，并通过货贸系统签注《登记表》使用情况。</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六、中介服务</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1.有无法定中介服务事项：</w:t>
      </w:r>
      <w:r>
        <w:rPr>
          <w:rFonts w:ascii="方正仿宋_GBK" w:hAnsi="方正仿宋_GBK" w:eastAsia="方正仿宋_GBK" w:cs="方正仿宋_GBK"/>
          <w:sz w:val="28"/>
          <w:szCs w:val="28"/>
        </w:rPr>
        <w:t>无</w:t>
      </w:r>
    </w:p>
    <w:p>
      <w:pPr>
        <w:spacing w:line="600" w:lineRule="exact"/>
        <w:ind w:firstLine="562" w:firstLineChars="200"/>
        <w:rPr>
          <w:rFonts w:ascii="方正仿宋_GBK" w:hAnsi="方正仿宋_GBK" w:eastAsia="方正仿宋_GBK" w:cs="方正仿宋_GBK"/>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中介服务事项名称</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设定中介服务事项的依据</w:t>
      </w:r>
      <w:r>
        <w:rPr>
          <w:rFonts w:hint="eastAsia" w:ascii="Times New Roman" w:hAnsi="Times New Roman" w:eastAsia="仿宋GB2312"/>
          <w:b/>
          <w:bCs/>
          <w:sz w:val="28"/>
          <w:szCs w:val="28"/>
        </w:rPr>
        <w:t xml:space="preserve">: </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提供中介服务的机构</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中介服务事项的收费性质</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七、审批程序</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1.办理行政许可的程序环节</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审批机构受理/不予受理；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审批机构审查；</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决定作出许可决定书/不予许可决定书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2.规定行政许可程序的依据</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（1）《国家外汇管理局行政许可实施办法》（国家外汇管理局公告2021年第1号）第十条外汇局收到行政许可申请后，应区分下列情况分别作出处理：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（一）申请事项属于本局职责范围，但依法不需要取得行政许可的，应即时告知申请人不受理，出具不予受理行政许可通知书；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（二）申请事项不属于本局职责范围，应即时作出不予受理的决定，出具不予受理行政许可通知书，并告知申请人向有关行政机关申请；</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三）申请事项属于本局职责范围，但申请材料不齐全或不符合法定形式的，应当场或在收到申请材料之日起5个工作日内作出要求申请人补正材料的决定，出具补正告知书，一次性告知申请人需要补正的全部内容；逾期不告知的，自收到申请材料之日起即为受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申请人拒不补正，或者自补正告知书送达之日起30日内未能提交全部且符合法定形式的补正材料的，应不予受理，出具不予受理行政许可通知书；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申请材料存在文字笔误等可当场更正的错误的，应允许申请人当场更正，并告知其在修改处签字或盖章确认；</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（四）申请事项属于本局职责范围，申请材料齐全、符合法定形式，或者申请人按照要求提交全部补正申请材料的，应受理行政许可申请，出具行政许可受理通知书。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（2）《国家外汇管理局行政许可实施办法》（国家外汇管理局公告2021年第1号）第十四条外汇局对行政许可申请审查后，应区分下列情况分别作出处理：</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（一）申请符合法定条件、拟准予行政许可的，应出具准予行政许可的书面决定。准予行政许可的书面决定应载明名称、出具单位、被许可人姓名或名称、行政许可事项、颁发日期、有效期（如有）等；</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（二）申请不符合法定条件、拟不予行政许可的，应出具不予行政许可决定书，并说明不予行政许可的理由，告知申请人享有依法申请行政复议的权利。</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是否需要现场勘验</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是否需要组织听证</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w:t>
      </w:r>
      <w:r>
        <w:rPr>
          <w:rFonts w:ascii="Times New Roman" w:hAnsi="Times New Roman" w:eastAsia="仿宋GB2312"/>
          <w:b/>
          <w:bCs/>
          <w:sz w:val="28"/>
          <w:szCs w:val="28"/>
        </w:rPr>
        <w:t>是否需要招标、拍卖、挂牌交易</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w:t>
      </w:r>
      <w:r>
        <w:rPr>
          <w:rFonts w:ascii="Times New Roman" w:hAnsi="Times New Roman" w:eastAsia="仿宋GB2312"/>
          <w:b/>
          <w:bCs/>
          <w:sz w:val="28"/>
          <w:szCs w:val="28"/>
        </w:rPr>
        <w:t>是否需要检验、检测、检疫</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w:t>
      </w:r>
      <w:r>
        <w:rPr>
          <w:rFonts w:ascii="Times New Roman" w:hAnsi="Times New Roman" w:eastAsia="仿宋GB2312"/>
          <w:b/>
          <w:bCs/>
          <w:sz w:val="28"/>
          <w:szCs w:val="28"/>
        </w:rPr>
        <w:t>是否需要鉴定</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8.</w:t>
      </w:r>
      <w:r>
        <w:rPr>
          <w:rFonts w:ascii="Times New Roman" w:hAnsi="Times New Roman" w:eastAsia="仿宋GB2312"/>
          <w:b/>
          <w:bCs/>
          <w:sz w:val="28"/>
          <w:szCs w:val="28"/>
        </w:rPr>
        <w:t>是否需要专家评审</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9.</w:t>
      </w:r>
      <w:r>
        <w:rPr>
          <w:rFonts w:ascii="Times New Roman" w:hAnsi="Times New Roman" w:eastAsia="仿宋GB2312"/>
          <w:b/>
          <w:bCs/>
          <w:sz w:val="28"/>
          <w:szCs w:val="28"/>
        </w:rPr>
        <w:t>是否需要向社会公示</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10.</w:t>
      </w:r>
      <w:r>
        <w:rPr>
          <w:rFonts w:ascii="Times New Roman" w:hAnsi="Times New Roman" w:eastAsia="仿宋GB2312"/>
          <w:b/>
          <w:bCs/>
          <w:sz w:val="28"/>
          <w:szCs w:val="28"/>
        </w:rPr>
        <w:t>是否实行告知承诺办理</w:t>
      </w:r>
      <w:r>
        <w:rPr>
          <w:rFonts w:hint="eastAsia" w:ascii="Times New Roman" w:hAnsi="Times New Roman" w:eastAsia="仿宋GB2312"/>
          <w:b/>
          <w:bCs/>
          <w:sz w:val="28"/>
          <w:szCs w:val="28"/>
        </w:rPr>
        <w:t>：</w:t>
      </w:r>
      <w:r>
        <w:rPr>
          <w:rFonts w:ascii="方正仿宋_GBK" w:hAnsi="方正仿宋_GBK" w:eastAsia="方正仿宋_GBK" w:cs="方正仿宋_GBK"/>
          <w:sz w:val="28"/>
          <w:szCs w:val="28"/>
        </w:rPr>
        <w:t>否</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11.审批机关是否委托服务机构开展技术性服务：</w:t>
      </w:r>
      <w:r>
        <w:rPr>
          <w:rFonts w:hint="eastAsia" w:ascii="方正仿宋_GBK" w:hAnsi="方正仿宋_GBK" w:eastAsia="方正仿宋_GBK" w:cs="方正仿宋_GBK"/>
          <w:sz w:val="28"/>
          <w:szCs w:val="28"/>
        </w:rPr>
        <w:t>否</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八、受理和审批时限</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1.承诺受理时限：</w:t>
      </w:r>
      <w:r>
        <w:rPr>
          <w:rFonts w:ascii="方正仿宋_GBK" w:hAnsi="方正仿宋_GBK" w:eastAsia="方正仿宋_GBK" w:cs="方正仿宋_GBK"/>
          <w:sz w:val="28"/>
          <w:szCs w:val="28"/>
        </w:rPr>
        <w:t>5个工作日</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2.法定审批时限：</w:t>
      </w:r>
      <w:r>
        <w:rPr>
          <w:rFonts w:hint="eastAsia" w:ascii="方正仿宋_GBK" w:hAnsi="方正仿宋_GBK" w:eastAsia="方正仿宋_GBK" w:cs="方正仿宋_GBK"/>
          <w:sz w:val="28"/>
          <w:szCs w:val="28"/>
        </w:rPr>
        <w:t>20个工作日</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3.规定法定审批时限依据</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（1）《国家外汇管理局行政许可实施办法》（国家外汇管理局公告2021年第1号）第十五条外汇局应根据以下要求确保行政许可依法按时完成：</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（一）能当场作出决定的，应当场作出行政许可决定。当场作出行政许可决定的，可不出具行政许可受理通知书；</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二）不能当场作出决定的，应自受理之日起20个工作日内作出决定；20个工作日内不能作出决定的，经本级外汇局局长或者主管副局长批准，可延长10个工作日，并向申请人出具延长行政许可办理期限通知书，说明延长期限的理由。行政许可办理期限只能延长一次。</w:t>
      </w:r>
    </w:p>
    <w:p>
      <w:pPr>
        <w:spacing w:line="600" w:lineRule="exact"/>
        <w:ind w:firstLine="560" w:firstLineChars="200"/>
        <w:rPr>
          <w:rFonts w:ascii="方正仿宋_GBK" w:hAnsi="方正仿宋_GBK" w:eastAsia="方正仿宋_GBK" w:cs="方正仿宋_GBK"/>
          <w:sz w:val="28"/>
          <w:szCs w:val="28"/>
        </w:rPr>
      </w:pPr>
      <w:r>
        <w:rPr>
          <w:rFonts w:ascii="方正仿宋_GBK" w:hAnsi="方正仿宋_GBK" w:eastAsia="方正仿宋_GBK" w:cs="方正仿宋_GBK"/>
          <w:sz w:val="28"/>
          <w:szCs w:val="28"/>
        </w:rPr>
        <w:t>外汇局征求其他部门意见的时间计算在以上办理时限内；依法需要听证、检验、检测、鉴定、专家评审等的时间，不计算在上述办理时限内。</w:t>
      </w:r>
    </w:p>
    <w:p>
      <w:pPr>
        <w:spacing w:line="600" w:lineRule="exact"/>
        <w:ind w:firstLine="560" w:firstLineChars="200"/>
        <w:rPr>
          <w:rFonts w:ascii="Times New Roman" w:hAnsi="Times New Roman" w:eastAsia="仿宋GB2312"/>
          <w:sz w:val="32"/>
          <w:szCs w:val="32"/>
        </w:rPr>
      </w:pPr>
      <w:r>
        <w:rPr>
          <w:rFonts w:ascii="方正仿宋_GBK" w:hAnsi="方正仿宋_GBK" w:eastAsia="方正仿宋_GBK" w:cs="方正仿宋_GBK"/>
          <w:sz w:val="28"/>
          <w:szCs w:val="28"/>
        </w:rPr>
        <w:t>各级外汇局对行政许可办理时限具有对外承诺的，应按照其承诺的时限完成；对外承诺的时限应短于20个工作日。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4.承诺审批时限：</w:t>
      </w:r>
      <w:r>
        <w:rPr>
          <w:rFonts w:ascii="方正仿宋_GBK" w:hAnsi="方正仿宋_GBK" w:eastAsia="方正仿宋_GBK" w:cs="方正仿宋_GBK"/>
          <w:sz w:val="28"/>
          <w:szCs w:val="28"/>
        </w:rPr>
        <w:t>20个工作日</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九、收费</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1.办理行政许可是否收费：</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2.收费项目的名称、收费项目的标准、设定收费项目的依据、规定收费标准的依据: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十、行政许可证件</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1.审批结果类型：</w:t>
      </w:r>
      <w:r>
        <w:rPr>
          <w:rFonts w:ascii="方正仿宋_GBK" w:hAnsi="方正仿宋_GBK" w:eastAsia="方正仿宋_GBK" w:cs="方正仿宋_GBK"/>
          <w:sz w:val="28"/>
          <w:szCs w:val="28"/>
        </w:rPr>
        <w:t>批文</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2.审批结果名称：</w:t>
      </w:r>
      <w:r>
        <w:rPr>
          <w:rFonts w:hint="eastAsia" w:ascii="方正仿宋_GBK" w:hAnsi="方正仿宋_GBK" w:eastAsia="方正仿宋_GBK" w:cs="方正仿宋_GBK"/>
          <w:sz w:val="28"/>
          <w:szCs w:val="28"/>
        </w:rPr>
        <w:t>《贸易外汇业务登记表》</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3.审批结果的有效期限：</w:t>
      </w:r>
      <w:r>
        <w:rPr>
          <w:rFonts w:hint="eastAsia" w:ascii="方正仿宋_GBK" w:hAnsi="方正仿宋_GBK" w:eastAsia="方正仿宋_GBK" w:cs="方正仿宋_GBK"/>
          <w:sz w:val="28"/>
          <w:szCs w:val="28"/>
        </w:rPr>
        <w:t>原则上不超过1个月</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4.规定审批结果有效期限的依据</w:t>
      </w:r>
    </w:p>
    <w:p>
      <w:pPr>
        <w:spacing w:line="600" w:lineRule="exact"/>
        <w:ind w:firstLine="560" w:firstLineChars="200"/>
        <w:rPr>
          <w:rFonts w:ascii="Times New Roman" w:hAnsi="Times New Roman" w:eastAsia="仿宋GB2312"/>
          <w:sz w:val="32"/>
          <w:szCs w:val="32"/>
        </w:rPr>
      </w:pPr>
      <w:r>
        <w:rPr>
          <w:rFonts w:hint="eastAsia" w:ascii="方正仿宋_GBK" w:hAnsi="方正仿宋_GBK" w:eastAsia="方正仿宋_GBK" w:cs="方正仿宋_GBK"/>
          <w:sz w:val="28"/>
          <w:szCs w:val="28"/>
        </w:rPr>
        <w:t>（1）国家外汇管理局关于</w:t>
      </w:r>
      <w:r>
        <w:rPr>
          <w:rFonts w:hint="eastAsia" w:ascii="方正仿宋_GBK" w:hAnsi="方正仿宋_GBK" w:eastAsia="方正仿宋_GBK" w:cs="方正仿宋_GBK"/>
          <w:sz w:val="28"/>
          <w:szCs w:val="28"/>
          <w:lang w:eastAsia="zh-CN"/>
        </w:rPr>
        <w:t>进一步优化贸易外汇业务管理</w:t>
      </w:r>
      <w:r>
        <w:rPr>
          <w:rFonts w:hint="eastAsia" w:ascii="方正仿宋_GBK" w:hAnsi="方正仿宋_GBK" w:eastAsia="方正仿宋_GBK" w:cs="方正仿宋_GBK"/>
          <w:sz w:val="28"/>
          <w:szCs w:val="28"/>
        </w:rPr>
        <w:t>的通知》（汇发〔20</w:t>
      </w:r>
      <w:r>
        <w:rPr>
          <w:rFonts w:hint="eastAsia" w:ascii="方正仿宋_GBK" w:hAnsi="方正仿宋_GBK" w:eastAsia="方正仿宋_GBK" w:cs="方正仿宋_GBK"/>
          <w:sz w:val="28"/>
          <w:szCs w:val="28"/>
          <w:lang w:val="en-US" w:eastAsia="zh-CN"/>
        </w:rPr>
        <w:t>24</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val="en-US" w:eastAsia="zh-CN"/>
        </w:rPr>
        <w:t>11</w:t>
      </w:r>
      <w:r>
        <w:rPr>
          <w:rFonts w:hint="eastAsia" w:ascii="方正仿宋_GBK" w:hAnsi="方正仿宋_GBK" w:eastAsia="方正仿宋_GBK" w:cs="方正仿宋_GBK"/>
          <w:sz w:val="28"/>
          <w:szCs w:val="28"/>
        </w:rPr>
        <w:t>号）附件</w:t>
      </w:r>
      <w:r>
        <w:rPr>
          <w:rFonts w:hint="eastAsia" w:ascii="方正仿宋_GBK" w:hAnsi="方正仿宋_GBK" w:eastAsia="方正仿宋_GBK" w:cs="方正仿宋_GBK"/>
          <w:sz w:val="28"/>
          <w:szCs w:val="28"/>
          <w:lang w:val="en-US" w:eastAsia="zh-CN"/>
        </w:rPr>
        <w:t>2</w:t>
      </w:r>
      <w:r>
        <w:rPr>
          <w:rFonts w:hint="eastAsia" w:ascii="方正仿宋_GBK" w:hAnsi="方正仿宋_GBK" w:eastAsia="方正仿宋_GBK" w:cs="方正仿宋_GBK"/>
          <w:sz w:val="28"/>
          <w:szCs w:val="28"/>
        </w:rPr>
        <w:t>《</w:t>
      </w:r>
      <w:r>
        <w:rPr>
          <w:rFonts w:hint="eastAsia" w:ascii="方正仿宋_GBK" w:hAnsi="方正仿宋_GBK" w:eastAsia="方正仿宋_GBK" w:cs="方正仿宋_GBK"/>
          <w:sz w:val="28"/>
          <w:szCs w:val="28"/>
          <w:lang w:eastAsia="zh-CN"/>
        </w:rPr>
        <w:t>贸易外汇业务</w:t>
      </w:r>
      <w:r>
        <w:rPr>
          <w:rFonts w:hint="eastAsia" w:ascii="方正仿宋_GBK" w:hAnsi="方正仿宋_GBK" w:eastAsia="方正仿宋_GBK" w:cs="方正仿宋_GBK"/>
          <w:sz w:val="28"/>
          <w:szCs w:val="28"/>
        </w:rPr>
        <w:t>登记表》的有效期原则上不超过1个月。</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5.是否需要办理审批结果变更手续：</w:t>
      </w:r>
      <w:r>
        <w:rPr>
          <w:rFonts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6.办理审批结果变更手续的要求: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7.是否需要办理审批结果延续手续：</w:t>
      </w:r>
      <w:r>
        <w:rPr>
          <w:rFonts w:hint="eastAsia" w:ascii="方正仿宋_GBK" w:hAnsi="方正仿宋_GBK" w:eastAsia="方正仿宋_GBK" w:cs="方正仿宋_GBK"/>
          <w:sz w:val="28"/>
          <w:szCs w:val="28"/>
        </w:rPr>
        <w:t>否</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8.办理审批结果延续手续的要求: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9.审批结果的有效地域范围: </w:t>
      </w:r>
      <w:r>
        <w:rPr>
          <w:rFonts w:hint="eastAsia" w:ascii="方正仿宋_GBK" w:hAnsi="方正仿宋_GBK" w:eastAsia="方正仿宋_GBK" w:cs="方正仿宋_GBK"/>
          <w:sz w:val="28"/>
          <w:szCs w:val="28"/>
        </w:rPr>
        <w:t>全国</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10.规定审批结果有效地域范围的依据: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十一、行政许可数量限制</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1.有无行政许可数量限制：</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2.公布数量限制的方式：</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3.公布数量限制的周期：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4.在数量限制条件下实施行政许可的方式：</w:t>
      </w:r>
      <w:r>
        <w:rPr>
          <w:rFonts w:hint="eastAsia" w:ascii="方正仿宋_GBK" w:hAnsi="方正仿宋_GBK" w:eastAsia="方正仿宋_GBK" w:cs="方正仿宋_GBK"/>
          <w:sz w:val="28"/>
          <w:szCs w:val="28"/>
        </w:rPr>
        <w:t>无</w:t>
      </w:r>
    </w:p>
    <w:p>
      <w:pPr>
        <w:spacing w:line="600" w:lineRule="exact"/>
        <w:ind w:firstLine="562" w:firstLineChars="200"/>
        <w:jc w:val="left"/>
        <w:rPr>
          <w:rFonts w:ascii="Times New Roman" w:hAnsi="Times New Roman" w:eastAsia="仿宋GB2312"/>
          <w:b/>
          <w:bCs/>
          <w:sz w:val="28"/>
          <w:szCs w:val="28"/>
        </w:rPr>
      </w:pPr>
      <w:r>
        <w:rPr>
          <w:rFonts w:hint="eastAsia" w:ascii="Times New Roman" w:hAnsi="Times New Roman" w:eastAsia="仿宋GB2312"/>
          <w:b/>
          <w:bCs/>
          <w:sz w:val="28"/>
          <w:szCs w:val="28"/>
        </w:rPr>
        <w:t xml:space="preserve">5.规定在数量限制条件下实施行政许可方式的依据: </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十二、行政许可后年检</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1.有无年检要求：</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 xml:space="preserve">2.设定年检要求的依据: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3.年检周期：</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4.年检是否要求报送材料：</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5.年检报送材料名称：</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6.年检是否收费：</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b/>
          <w:bCs/>
          <w:sz w:val="28"/>
          <w:szCs w:val="28"/>
        </w:rPr>
      </w:pPr>
      <w:r>
        <w:rPr>
          <w:rFonts w:hint="eastAsia" w:ascii="Times New Roman" w:hAnsi="Times New Roman" w:eastAsia="仿宋GB2312"/>
          <w:b/>
          <w:bCs/>
          <w:sz w:val="28"/>
          <w:szCs w:val="28"/>
        </w:rPr>
        <w:t xml:space="preserve">7.年检收费项目的名称、年检收费项目的标准、设定年检收费项目的依据、规定年检项目收费标准的依据: </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sz w:val="28"/>
          <w:szCs w:val="28"/>
        </w:rPr>
      </w:pPr>
      <w:r>
        <w:rPr>
          <w:rFonts w:hint="eastAsia" w:ascii="Times New Roman" w:hAnsi="Times New Roman" w:eastAsia="仿宋GB2312"/>
          <w:b/>
          <w:bCs/>
          <w:sz w:val="28"/>
          <w:szCs w:val="28"/>
        </w:rPr>
        <w:t>8.通过年检的证明或者标志：</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十三、行政许可后年报</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1.</w:t>
      </w:r>
      <w:r>
        <w:rPr>
          <w:rFonts w:ascii="Times New Roman" w:hAnsi="Times New Roman" w:eastAsia="仿宋GB2312"/>
          <w:b/>
          <w:bCs/>
          <w:sz w:val="28"/>
          <w:szCs w:val="28"/>
        </w:rPr>
        <w:t>有无年报要求</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2.</w:t>
      </w:r>
      <w:r>
        <w:rPr>
          <w:rFonts w:ascii="Times New Roman" w:hAnsi="Times New Roman" w:eastAsia="仿宋GB2312"/>
          <w:b/>
          <w:bCs/>
          <w:sz w:val="28"/>
          <w:szCs w:val="28"/>
        </w:rPr>
        <w:t>年报报送材料名称</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ind w:firstLine="562" w:firstLineChars="200"/>
        <w:outlineLvl w:val="2"/>
        <w:rPr>
          <w:rFonts w:ascii="Times New Roman" w:hAnsi="Times New Roman" w:eastAsia="仿宋GB2312"/>
          <w:b/>
          <w:bCs/>
          <w:sz w:val="28"/>
          <w:szCs w:val="28"/>
        </w:rPr>
      </w:pPr>
      <w:r>
        <w:rPr>
          <w:rFonts w:hint="eastAsia" w:ascii="Times New Roman" w:hAnsi="Times New Roman" w:eastAsia="仿宋GB2312"/>
          <w:b/>
          <w:bCs/>
          <w:sz w:val="28"/>
          <w:szCs w:val="28"/>
        </w:rPr>
        <w:t>3.</w:t>
      </w:r>
      <w:r>
        <w:rPr>
          <w:rFonts w:ascii="Times New Roman" w:hAnsi="Times New Roman" w:eastAsia="仿宋GB2312"/>
          <w:b/>
          <w:bCs/>
          <w:sz w:val="28"/>
          <w:szCs w:val="28"/>
        </w:rPr>
        <w:t>设定年报要求的依据</w:t>
      </w:r>
      <w:r>
        <w:rPr>
          <w:rFonts w:hint="eastAsia" w:ascii="Times New Roman" w:hAnsi="Times New Roman" w:eastAsia="仿宋GB2312"/>
          <w:b/>
          <w:bCs/>
          <w:sz w:val="28"/>
          <w:szCs w:val="28"/>
        </w:rPr>
        <w:t xml:space="preserve">: </w:t>
      </w:r>
      <w:r>
        <w:rPr>
          <w:rFonts w:hint="eastAsia" w:ascii="方正仿宋_GBK" w:hAnsi="方正仿宋_GBK" w:eastAsia="方正仿宋_GBK" w:cs="方正仿宋_GBK"/>
          <w:sz w:val="28"/>
          <w:szCs w:val="28"/>
        </w:rPr>
        <w:t>无</w:t>
      </w:r>
    </w:p>
    <w:p>
      <w:pPr>
        <w:spacing w:line="600" w:lineRule="exact"/>
        <w:ind w:firstLine="562" w:firstLineChars="200"/>
        <w:rPr>
          <w:rFonts w:ascii="Times New Roman" w:hAnsi="Times New Roman" w:eastAsia="仿宋GB2312"/>
          <w:sz w:val="28"/>
          <w:szCs w:val="28"/>
        </w:rPr>
      </w:pPr>
      <w:r>
        <w:rPr>
          <w:rFonts w:hint="eastAsia" w:ascii="Times New Roman" w:hAnsi="Times New Roman" w:eastAsia="仿宋GB2312"/>
          <w:b/>
          <w:bCs/>
          <w:sz w:val="28"/>
          <w:szCs w:val="28"/>
        </w:rPr>
        <w:t>4.</w:t>
      </w:r>
      <w:r>
        <w:rPr>
          <w:rFonts w:ascii="Times New Roman" w:hAnsi="Times New Roman" w:eastAsia="仿宋GB2312"/>
          <w:b/>
          <w:bCs/>
          <w:sz w:val="28"/>
          <w:szCs w:val="28"/>
        </w:rPr>
        <w:t>年报周期</w:t>
      </w:r>
      <w:r>
        <w:rPr>
          <w:rFonts w:hint="eastAsia" w:ascii="Times New Roman" w:hAnsi="Times New Roman" w:eastAsia="仿宋GB2312"/>
          <w:b/>
          <w:bCs/>
          <w:sz w:val="28"/>
          <w:szCs w:val="28"/>
        </w:rPr>
        <w:t>：</w:t>
      </w:r>
      <w:r>
        <w:rPr>
          <w:rFonts w:hint="eastAsia" w:ascii="方正仿宋_GBK" w:hAnsi="方正仿宋_GBK" w:eastAsia="方正仿宋_GBK" w:cs="方正仿宋_GBK"/>
          <w:sz w:val="28"/>
          <w:szCs w:val="28"/>
        </w:rPr>
        <w:t>无</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十四、监管主体</w:t>
      </w:r>
    </w:p>
    <w:p>
      <w:pPr>
        <w:spacing w:line="600" w:lineRule="exact"/>
        <w:ind w:firstLine="560" w:firstLineChars="200"/>
        <w:rPr>
          <w:rFonts w:ascii="方正仿宋_GBK" w:hAnsi="方正仿宋_GBK" w:eastAsia="方正仿宋_GBK" w:cs="方正仿宋_GBK"/>
          <w:sz w:val="28"/>
          <w:szCs w:val="28"/>
        </w:rPr>
      </w:pPr>
      <w:r>
        <w:rPr>
          <w:rFonts w:hint="eastAsia" w:ascii="方正仿宋_GBK" w:hAnsi="方正仿宋_GBK" w:eastAsia="方正仿宋_GBK" w:cs="方正仿宋_GBK"/>
          <w:sz w:val="28"/>
          <w:szCs w:val="28"/>
        </w:rPr>
        <w:t>国家外汇局及其分局</w:t>
      </w:r>
    </w:p>
    <w:p>
      <w:pPr>
        <w:rPr>
          <w:rFonts w:ascii="方正仿宋_GBK" w:hAnsi="方正仿宋_GBK" w:eastAsia="方正仿宋_GBK" w:cs="方正仿宋_GBK"/>
          <w:sz w:val="28"/>
          <w:szCs w:val="28"/>
        </w:rPr>
      </w:pPr>
      <w:r>
        <w:rPr>
          <w:rFonts w:hint="eastAsia" w:eastAsia="黑体"/>
          <w:sz w:val="28"/>
          <w:szCs w:val="28"/>
        </w:rPr>
        <w:t>十五、</w:t>
      </w:r>
      <w:r>
        <w:rPr>
          <w:rFonts w:eastAsia="黑体"/>
          <w:sz w:val="28"/>
          <w:szCs w:val="28"/>
        </w:rPr>
        <w:t>行政许可办理地址和时间</w:t>
      </w:r>
    </w:p>
    <w:p>
      <w:pPr>
        <w:spacing w:line="540" w:lineRule="exact"/>
        <w:ind w:firstLine="562" w:firstLineChars="200"/>
        <w:outlineLvl w:val="2"/>
        <w:rPr>
          <w:rFonts w:hint="eastAsia" w:ascii="方正仿宋_GBK" w:hAnsi="方正仿宋_GBK" w:eastAsia="方正仿宋_GBK" w:cs="方正仿宋_GBK"/>
          <w:color w:val="auto"/>
          <w:sz w:val="28"/>
          <w:szCs w:val="28"/>
          <w:lang w:eastAsia="zh-CN"/>
        </w:rPr>
      </w:pPr>
      <w:r>
        <w:rPr>
          <w:rFonts w:hint="eastAsia" w:eastAsia="仿宋GB2312"/>
          <w:b/>
          <w:bCs/>
          <w:color w:val="auto"/>
          <w:sz w:val="28"/>
          <w:szCs w:val="28"/>
        </w:rPr>
        <w:t>1.</w:t>
      </w:r>
      <w:r>
        <w:rPr>
          <w:rFonts w:hint="eastAsia" w:eastAsia="仿宋GB2312"/>
          <w:b/>
          <w:bCs/>
          <w:color w:val="auto"/>
          <w:sz w:val="28"/>
          <w:szCs w:val="28"/>
          <w:lang w:eastAsia="zh-CN"/>
        </w:rPr>
        <w:t>办理地址：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color w:val="auto"/>
          <w:sz w:val="28"/>
          <w:szCs w:val="28"/>
        </w:rPr>
      </w:pPr>
      <w:r>
        <w:rPr>
          <w:rFonts w:hint="eastAsia" w:eastAsia="仿宋GB2312"/>
          <w:b/>
          <w:bCs/>
          <w:color w:val="auto"/>
          <w:sz w:val="28"/>
          <w:szCs w:val="28"/>
        </w:rPr>
        <w:t>2.办理时间：</w:t>
      </w:r>
      <w:r>
        <w:rPr>
          <w:rFonts w:hint="eastAsia" w:ascii="方正仿宋_GBK" w:hAnsi="方正仿宋_GBK" w:eastAsia="方正仿宋_GBK" w:cs="方正仿宋_GBK"/>
          <w:color w:val="auto"/>
          <w:sz w:val="28"/>
          <w:szCs w:val="28"/>
        </w:rPr>
        <w:t>工作日，上午：08:30-12:00，下午：</w:t>
      </w:r>
      <w:r>
        <w:rPr>
          <w:rFonts w:hint="eastAsia" w:ascii="方正仿宋_GBK" w:hAnsi="方正仿宋_GBK" w:eastAsia="方正仿宋_GBK" w:cs="方正仿宋_GBK"/>
          <w:color w:val="auto"/>
          <w:sz w:val="28"/>
          <w:szCs w:val="28"/>
          <w:lang w:val="en-US" w:eastAsia="zh-CN"/>
        </w:rPr>
        <w:t>14</w:t>
      </w:r>
      <w:r>
        <w:rPr>
          <w:rFonts w:hint="eastAsia" w:ascii="方正仿宋_GBK" w:hAnsi="方正仿宋_GBK" w:eastAsia="方正仿宋_GBK" w:cs="方正仿宋_GBK"/>
          <w:color w:val="auto"/>
          <w:sz w:val="28"/>
          <w:szCs w:val="28"/>
        </w:rPr>
        <w:t>:30-</w:t>
      </w:r>
      <w:r>
        <w:rPr>
          <w:rFonts w:hint="eastAsia" w:ascii="方正仿宋_GBK" w:hAnsi="方正仿宋_GBK" w:eastAsia="方正仿宋_GBK" w:cs="方正仿宋_GBK"/>
          <w:color w:val="auto"/>
          <w:sz w:val="28"/>
          <w:szCs w:val="28"/>
          <w:lang w:val="en-US" w:eastAsia="zh-CN"/>
        </w:rPr>
        <w:t>17</w:t>
      </w:r>
      <w:r>
        <w:rPr>
          <w:rFonts w:hint="eastAsia" w:ascii="方正仿宋_GBK" w:hAnsi="方正仿宋_GBK" w:eastAsia="方正仿宋_GBK" w:cs="方正仿宋_GBK"/>
          <w:color w:val="auto"/>
          <w:sz w:val="28"/>
          <w:szCs w:val="28"/>
        </w:rPr>
        <w:t xml:space="preserve">:30 </w:t>
      </w:r>
    </w:p>
    <w:p>
      <w:pPr>
        <w:rPr>
          <w:rFonts w:eastAsia="黑体"/>
          <w:color w:val="auto"/>
          <w:sz w:val="28"/>
          <w:szCs w:val="28"/>
        </w:rPr>
      </w:pPr>
      <w:bookmarkStart w:id="0" w:name="_Toc32164"/>
      <w:bookmarkStart w:id="1" w:name="_Toc27624"/>
      <w:bookmarkStart w:id="2" w:name="_Toc22902"/>
      <w:bookmarkStart w:id="3" w:name="_Toc12947"/>
      <w:bookmarkStart w:id="4" w:name="_Toc26066"/>
      <w:bookmarkStart w:id="5" w:name="_Toc29697"/>
      <w:r>
        <w:rPr>
          <w:rFonts w:hint="eastAsia" w:eastAsia="黑体"/>
          <w:color w:val="auto"/>
          <w:sz w:val="28"/>
          <w:szCs w:val="28"/>
        </w:rPr>
        <w:t>十六、</w:t>
      </w:r>
      <w:r>
        <w:rPr>
          <w:rFonts w:eastAsia="黑体"/>
          <w:color w:val="auto"/>
          <w:sz w:val="28"/>
          <w:szCs w:val="28"/>
        </w:rPr>
        <w:t>咨询途径</w:t>
      </w:r>
      <w:bookmarkEnd w:id="0"/>
      <w:bookmarkEnd w:id="1"/>
      <w:bookmarkEnd w:id="2"/>
      <w:bookmarkEnd w:id="3"/>
      <w:bookmarkEnd w:id="4"/>
      <w:bookmarkEnd w:id="5"/>
    </w:p>
    <w:p>
      <w:pPr>
        <w:spacing w:line="540" w:lineRule="exact"/>
        <w:ind w:firstLine="562" w:firstLineChars="200"/>
        <w:outlineLvl w:val="2"/>
        <w:rPr>
          <w:rFonts w:hint="eastAsia" w:ascii="方正仿宋_GBK" w:hAnsi="方正仿宋_GBK" w:eastAsia="方正仿宋_GBK" w:cs="方正仿宋_GBK"/>
          <w:color w:val="auto"/>
          <w:sz w:val="28"/>
          <w:szCs w:val="28"/>
          <w:lang w:eastAsia="zh-CN"/>
        </w:rPr>
      </w:pPr>
      <w:r>
        <w:rPr>
          <w:rFonts w:hint="eastAsia" w:eastAsia="仿宋GB2312"/>
          <w:b/>
          <w:bCs/>
          <w:color w:val="auto"/>
          <w:sz w:val="28"/>
          <w:szCs w:val="28"/>
        </w:rPr>
        <w:t>1.窗口咨询地址：</w:t>
      </w:r>
      <w:r>
        <w:rPr>
          <w:rFonts w:hint="eastAsia" w:ascii="方正仿宋_GBK" w:hAnsi="方正仿宋_GBK" w:eastAsia="方正仿宋_GBK" w:cs="方正仿宋_GBK"/>
          <w:color w:val="auto"/>
          <w:sz w:val="28"/>
          <w:szCs w:val="28"/>
          <w:lang w:eastAsia="zh-CN"/>
        </w:rPr>
        <w:t>广西南宁市青秀区滨湖路58号中国人民银行广西壮族自治区分行</w:t>
      </w:r>
      <w:r>
        <w:rPr>
          <w:rFonts w:hint="eastAsia" w:ascii="方正仿宋_GBK" w:hAnsi="方正仿宋_GBK" w:eastAsia="方正仿宋_GBK" w:cs="方正仿宋_GBK"/>
          <w:sz w:val="28"/>
          <w:szCs w:val="28"/>
          <w:lang w:val="en-US" w:eastAsia="zh-CN"/>
        </w:rPr>
        <w:t>8楼811号办公室</w:t>
      </w:r>
    </w:p>
    <w:p>
      <w:pPr>
        <w:spacing w:line="540" w:lineRule="exact"/>
        <w:ind w:firstLine="562" w:firstLineChars="200"/>
        <w:outlineLvl w:val="2"/>
        <w:rPr>
          <w:rFonts w:ascii="方正仿宋_GBK" w:hAnsi="方正仿宋_GBK" w:eastAsia="方正仿宋_GBK" w:cs="方正仿宋_GBK"/>
          <w:sz w:val="28"/>
          <w:szCs w:val="28"/>
        </w:rPr>
      </w:pPr>
      <w:r>
        <w:rPr>
          <w:rFonts w:hint="eastAsia" w:eastAsia="仿宋GB2312"/>
          <w:b/>
          <w:bCs/>
          <w:sz w:val="28"/>
          <w:szCs w:val="28"/>
        </w:rPr>
        <w:t>2.电话咨询号码：</w:t>
      </w:r>
      <w:r>
        <w:rPr>
          <w:rFonts w:hint="eastAsia" w:ascii="方正仿宋_GBK" w:hAnsi="方正仿宋_GBK" w:eastAsia="方正仿宋_GBK" w:cs="方正仿宋_GBK"/>
          <w:sz w:val="28"/>
          <w:szCs w:val="28"/>
          <w:lang w:val="en-US" w:eastAsia="zh-CN"/>
        </w:rPr>
        <w:t>0771-6111201</w:t>
      </w:r>
    </w:p>
    <w:p>
      <w:pPr>
        <w:spacing w:line="540" w:lineRule="exact"/>
        <w:ind w:firstLine="562" w:firstLineChars="200"/>
        <w:outlineLvl w:val="2"/>
        <w:rPr>
          <w:rFonts w:eastAsia="仿宋GB2312"/>
          <w:b/>
          <w:bCs/>
          <w:sz w:val="28"/>
          <w:szCs w:val="28"/>
        </w:rPr>
      </w:pPr>
      <w:r>
        <w:rPr>
          <w:rFonts w:hint="eastAsia" w:eastAsia="仿宋GB2312"/>
          <w:b/>
          <w:bCs/>
          <w:sz w:val="28"/>
          <w:szCs w:val="28"/>
        </w:rPr>
        <w:t>3.咨询网址：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rPr>
          <w:rFonts w:eastAsia="仿宋GB2312"/>
          <w:b/>
          <w:bCs/>
          <w:sz w:val="28"/>
          <w:szCs w:val="28"/>
        </w:rPr>
      </w:pPr>
      <w:r>
        <w:rPr>
          <w:rFonts w:hint="eastAsia" w:eastAsia="黑体"/>
          <w:sz w:val="28"/>
          <w:szCs w:val="28"/>
        </w:rPr>
        <w:t>十七、监督投诉渠道</w:t>
      </w:r>
    </w:p>
    <w:p>
      <w:pPr>
        <w:spacing w:line="540" w:lineRule="exact"/>
        <w:ind w:firstLine="562" w:firstLineChars="200"/>
        <w:outlineLvl w:val="2"/>
        <w:rPr>
          <w:rFonts w:hint="eastAsia" w:ascii="方正仿宋_GBK" w:hAnsi="方正仿宋_GBK" w:eastAsia="方正仿宋_GBK" w:cs="方正仿宋_GBK"/>
          <w:sz w:val="28"/>
          <w:szCs w:val="28"/>
          <w:lang w:val="en-US" w:eastAsia="zh-CN"/>
        </w:rPr>
      </w:pPr>
      <w:r>
        <w:rPr>
          <w:rFonts w:hint="eastAsia" w:eastAsia="仿宋GB2312"/>
          <w:b/>
          <w:bCs/>
          <w:sz w:val="28"/>
          <w:szCs w:val="28"/>
        </w:rPr>
        <w:t>1.电话监督投诉：</w:t>
      </w:r>
      <w:r>
        <w:rPr>
          <w:rFonts w:hint="eastAsia" w:ascii="方正仿宋_GBK" w:hAnsi="方正仿宋_GBK" w:eastAsia="方正仿宋_GBK" w:cs="方正仿宋_GBK"/>
          <w:sz w:val="28"/>
          <w:szCs w:val="28"/>
          <w:lang w:val="en-US" w:eastAsia="zh-CN"/>
        </w:rPr>
        <w:t>0771-6111357</w:t>
      </w:r>
    </w:p>
    <w:p>
      <w:pPr>
        <w:spacing w:line="540" w:lineRule="exact"/>
        <w:ind w:firstLine="562" w:firstLineChars="200"/>
        <w:outlineLvl w:val="2"/>
        <w:rPr>
          <w:rFonts w:hint="eastAsia" w:ascii="方正仿宋_GBK" w:hAnsi="方正仿宋_GBK" w:eastAsia="方正仿宋_GBK" w:cs="方正仿宋_GBK"/>
          <w:sz w:val="28"/>
          <w:szCs w:val="28"/>
        </w:rPr>
      </w:pPr>
      <w:r>
        <w:rPr>
          <w:rFonts w:hint="eastAsia" w:eastAsia="仿宋GB2312"/>
          <w:b/>
          <w:bCs/>
          <w:sz w:val="28"/>
          <w:szCs w:val="28"/>
          <w:lang w:val="en-US" w:eastAsia="zh-CN"/>
        </w:rPr>
        <w:t>2</w:t>
      </w:r>
      <w:r>
        <w:rPr>
          <w:rFonts w:hint="eastAsia" w:eastAsia="仿宋GB2312"/>
          <w:b/>
          <w:bCs/>
          <w:sz w:val="28"/>
          <w:szCs w:val="28"/>
        </w:rPr>
        <w:t>.网络监督投诉网址：</w:t>
      </w:r>
      <w:r>
        <w:rPr>
          <w:rFonts w:hint="eastAsia" w:ascii="方正仿宋_GBK" w:hAnsi="方正仿宋_GBK" w:eastAsia="方正仿宋_GBK" w:cs="方正仿宋_GBK"/>
          <w:sz w:val="28"/>
          <w:szCs w:val="28"/>
          <w:lang w:eastAsia="zh-CN"/>
        </w:rPr>
        <w:t>国家外汇管理局广西壮族自治区分局官方网站（www.safe.gov.cn</w:t>
      </w:r>
      <w:r>
        <w:rPr>
          <w:rFonts w:hint="eastAsia" w:ascii="方正仿宋_GBK" w:hAnsi="方正仿宋_GBK" w:eastAsia="方正仿宋_GBK" w:cs="方正仿宋_GBK"/>
          <w:sz w:val="28"/>
          <w:szCs w:val="28"/>
          <w:lang w:val="en-US" w:eastAsia="zh-CN"/>
        </w:rPr>
        <w:t>/guangxi/）</w:t>
      </w:r>
      <w:r>
        <w:rPr>
          <w:rFonts w:hint="eastAsia" w:ascii="方正仿宋_GBK" w:hAnsi="方正仿宋_GBK" w:eastAsia="方正仿宋_GBK" w:cs="方正仿宋_GBK"/>
          <w:sz w:val="28"/>
          <w:szCs w:val="28"/>
          <w:lang w:eastAsia="zh-CN"/>
        </w:rPr>
        <w:t>咨询反馈栏目</w:t>
      </w:r>
    </w:p>
    <w:p>
      <w:pPr>
        <w:spacing w:line="540" w:lineRule="exact"/>
        <w:outlineLvl w:val="1"/>
        <w:rPr>
          <w:rFonts w:ascii="Times New Roman" w:hAnsi="Times New Roman" w:eastAsia="黑体"/>
          <w:sz w:val="28"/>
          <w:szCs w:val="28"/>
        </w:rPr>
      </w:pPr>
      <w:r>
        <w:rPr>
          <w:rFonts w:hint="eastAsia" w:ascii="Times New Roman" w:hAnsi="Times New Roman" w:eastAsia="黑体"/>
          <w:sz w:val="28"/>
          <w:szCs w:val="28"/>
        </w:rPr>
        <w:t>十</w:t>
      </w:r>
      <w:r>
        <w:rPr>
          <w:rFonts w:hint="eastAsia" w:ascii="Times New Roman" w:hAnsi="Times New Roman" w:eastAsia="黑体"/>
          <w:sz w:val="28"/>
          <w:szCs w:val="28"/>
          <w:lang w:eastAsia="zh-CN"/>
        </w:rPr>
        <w:t>八</w:t>
      </w:r>
      <w:r>
        <w:rPr>
          <w:rFonts w:hint="eastAsia" w:ascii="Times New Roman" w:hAnsi="Times New Roman" w:eastAsia="黑体"/>
          <w:sz w:val="28"/>
          <w:szCs w:val="28"/>
        </w:rPr>
        <w:t>、备注</w:t>
      </w:r>
    </w:p>
    <w:p/>
    <w:p>
      <w:pPr>
        <w:rPr>
          <w:rFonts w:ascii="Times New Roman" w:hAnsi="Times New Roman" w:cs="Times New Roman"/>
          <w:color w:val="auto"/>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Noto Sans Mono CJK JP Regular">
    <w:altName w:val="微软雅黑"/>
    <w:panose1 w:val="00000000000000000000"/>
    <w:charset w:val="00"/>
    <w:family w:val="auto"/>
    <w:pitch w:val="default"/>
    <w:sig w:usb0="00000000" w:usb1="00000000" w:usb2="00000000" w:usb3="00000000" w:csb0="00040001" w:csb1="00000000"/>
  </w:font>
  <w:font w:name="仿宋_GB2312">
    <w:panose1 w:val="02010609030101010101"/>
    <w:charset w:val="86"/>
    <w:family w:val="auto"/>
    <w:pitch w:val="default"/>
    <w:sig w:usb0="00000001" w:usb1="080E0000" w:usb2="00000000" w:usb3="00000000" w:csb0="00040000" w:csb1="00000000"/>
  </w:font>
  <w:font w:name="仿宋GB2312">
    <w:altName w:val="仿宋"/>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jc w:val="center"/>
    </w:pPr>
    <w:r>
      <w:fldChar w:fldCharType="begin"/>
    </w:r>
    <w:r>
      <w:instrText xml:space="preserve"> PAGE   \* MERGEFORMAT </w:instrText>
    </w:r>
    <w:r>
      <w:fldChar w:fldCharType="separate"/>
    </w:r>
    <w:r>
      <w:rPr>
        <w:lang w:val="zh-CN"/>
      </w:rPr>
      <w:t>1</w:t>
    </w:r>
    <w:r>
      <w:rPr>
        <w:lang w:val="zh-CN"/>
      </w:rPr>
      <w:fldChar w:fldCharType="end"/>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GQ4YjIwYjI4ZmE4OWQ2YmE1MDViYjU3ZGNiYjhlODIifQ=="/>
  </w:docVars>
  <w:rsids>
    <w:rsidRoot w:val="009B19B3"/>
    <w:rsid w:val="000003C0"/>
    <w:rsid w:val="000021D6"/>
    <w:rsid w:val="00004BD5"/>
    <w:rsid w:val="00007A67"/>
    <w:rsid w:val="000233D5"/>
    <w:rsid w:val="00027E45"/>
    <w:rsid w:val="000351A4"/>
    <w:rsid w:val="00037A07"/>
    <w:rsid w:val="0004414D"/>
    <w:rsid w:val="00050681"/>
    <w:rsid w:val="00061C5F"/>
    <w:rsid w:val="000652D6"/>
    <w:rsid w:val="00070716"/>
    <w:rsid w:val="000B0E34"/>
    <w:rsid w:val="000D3467"/>
    <w:rsid w:val="000D61BB"/>
    <w:rsid w:val="000E2AD6"/>
    <w:rsid w:val="000E2D98"/>
    <w:rsid w:val="000E55BC"/>
    <w:rsid w:val="000E5910"/>
    <w:rsid w:val="000F1C17"/>
    <w:rsid w:val="000F24B5"/>
    <w:rsid w:val="00102A7C"/>
    <w:rsid w:val="00106460"/>
    <w:rsid w:val="001156C5"/>
    <w:rsid w:val="001172B3"/>
    <w:rsid w:val="00134BF3"/>
    <w:rsid w:val="00140DE8"/>
    <w:rsid w:val="001418D3"/>
    <w:rsid w:val="001437E6"/>
    <w:rsid w:val="00154329"/>
    <w:rsid w:val="00163202"/>
    <w:rsid w:val="001870AC"/>
    <w:rsid w:val="00193A89"/>
    <w:rsid w:val="00195B37"/>
    <w:rsid w:val="001A1E83"/>
    <w:rsid w:val="001A61DE"/>
    <w:rsid w:val="001C084E"/>
    <w:rsid w:val="001C2B84"/>
    <w:rsid w:val="001C3568"/>
    <w:rsid w:val="001C4BB1"/>
    <w:rsid w:val="001D095F"/>
    <w:rsid w:val="001D2DD9"/>
    <w:rsid w:val="001D56F0"/>
    <w:rsid w:val="001D5C07"/>
    <w:rsid w:val="001E37D7"/>
    <w:rsid w:val="001F1B4B"/>
    <w:rsid w:val="001F2A75"/>
    <w:rsid w:val="00212F1A"/>
    <w:rsid w:val="00215F91"/>
    <w:rsid w:val="002178A9"/>
    <w:rsid w:val="002226D7"/>
    <w:rsid w:val="0023361F"/>
    <w:rsid w:val="00233CB8"/>
    <w:rsid w:val="00233F9E"/>
    <w:rsid w:val="00235C6D"/>
    <w:rsid w:val="002453CB"/>
    <w:rsid w:val="00253212"/>
    <w:rsid w:val="00254875"/>
    <w:rsid w:val="00256B77"/>
    <w:rsid w:val="002654CB"/>
    <w:rsid w:val="00266E25"/>
    <w:rsid w:val="00273E50"/>
    <w:rsid w:val="002756E4"/>
    <w:rsid w:val="002A0834"/>
    <w:rsid w:val="002B0553"/>
    <w:rsid w:val="002B05F7"/>
    <w:rsid w:val="002B3F08"/>
    <w:rsid w:val="002B4E65"/>
    <w:rsid w:val="002C7EAF"/>
    <w:rsid w:val="002F2577"/>
    <w:rsid w:val="002F6202"/>
    <w:rsid w:val="00316E50"/>
    <w:rsid w:val="00316F0E"/>
    <w:rsid w:val="00321272"/>
    <w:rsid w:val="00325547"/>
    <w:rsid w:val="00326B8C"/>
    <w:rsid w:val="003314E4"/>
    <w:rsid w:val="00331E1E"/>
    <w:rsid w:val="003371EB"/>
    <w:rsid w:val="00337ED9"/>
    <w:rsid w:val="00345800"/>
    <w:rsid w:val="003508A5"/>
    <w:rsid w:val="00354A7C"/>
    <w:rsid w:val="00364BB9"/>
    <w:rsid w:val="00377012"/>
    <w:rsid w:val="00387FD0"/>
    <w:rsid w:val="00396CD5"/>
    <w:rsid w:val="003A1721"/>
    <w:rsid w:val="003A2E79"/>
    <w:rsid w:val="003A4630"/>
    <w:rsid w:val="003A496B"/>
    <w:rsid w:val="003B1325"/>
    <w:rsid w:val="003B6057"/>
    <w:rsid w:val="003C3480"/>
    <w:rsid w:val="003C5C1F"/>
    <w:rsid w:val="003D1EDA"/>
    <w:rsid w:val="003D1F9B"/>
    <w:rsid w:val="003D2BBB"/>
    <w:rsid w:val="003D3BB2"/>
    <w:rsid w:val="003D7B66"/>
    <w:rsid w:val="00404086"/>
    <w:rsid w:val="0040580D"/>
    <w:rsid w:val="00413782"/>
    <w:rsid w:val="00417C88"/>
    <w:rsid w:val="004311DF"/>
    <w:rsid w:val="00436919"/>
    <w:rsid w:val="00437717"/>
    <w:rsid w:val="0044021E"/>
    <w:rsid w:val="00445A64"/>
    <w:rsid w:val="0045411C"/>
    <w:rsid w:val="004573E4"/>
    <w:rsid w:val="00460F9A"/>
    <w:rsid w:val="004735FC"/>
    <w:rsid w:val="004924A7"/>
    <w:rsid w:val="004935B2"/>
    <w:rsid w:val="00497B08"/>
    <w:rsid w:val="00497FC6"/>
    <w:rsid w:val="004A6503"/>
    <w:rsid w:val="004B1BDA"/>
    <w:rsid w:val="004B3A9F"/>
    <w:rsid w:val="004C5477"/>
    <w:rsid w:val="004D3F83"/>
    <w:rsid w:val="004E4AD4"/>
    <w:rsid w:val="004E746C"/>
    <w:rsid w:val="004E7E2D"/>
    <w:rsid w:val="00512742"/>
    <w:rsid w:val="00512786"/>
    <w:rsid w:val="00514ABC"/>
    <w:rsid w:val="005263C0"/>
    <w:rsid w:val="00544909"/>
    <w:rsid w:val="00551A5A"/>
    <w:rsid w:val="0056706F"/>
    <w:rsid w:val="00567128"/>
    <w:rsid w:val="005845DF"/>
    <w:rsid w:val="00584DF2"/>
    <w:rsid w:val="0058649D"/>
    <w:rsid w:val="00593352"/>
    <w:rsid w:val="00595487"/>
    <w:rsid w:val="005A32AB"/>
    <w:rsid w:val="005A3A70"/>
    <w:rsid w:val="005A61D4"/>
    <w:rsid w:val="005B322C"/>
    <w:rsid w:val="005C4A17"/>
    <w:rsid w:val="005E1F6F"/>
    <w:rsid w:val="005E6464"/>
    <w:rsid w:val="005F1522"/>
    <w:rsid w:val="005F1DCD"/>
    <w:rsid w:val="005F3C89"/>
    <w:rsid w:val="005F5952"/>
    <w:rsid w:val="006017F9"/>
    <w:rsid w:val="00603617"/>
    <w:rsid w:val="00611E81"/>
    <w:rsid w:val="0064768C"/>
    <w:rsid w:val="006509E6"/>
    <w:rsid w:val="00654AA7"/>
    <w:rsid w:val="006553EF"/>
    <w:rsid w:val="006603EC"/>
    <w:rsid w:val="006667EE"/>
    <w:rsid w:val="006675D3"/>
    <w:rsid w:val="00673F17"/>
    <w:rsid w:val="00675C64"/>
    <w:rsid w:val="006847AE"/>
    <w:rsid w:val="00693E03"/>
    <w:rsid w:val="00696646"/>
    <w:rsid w:val="00696A7B"/>
    <w:rsid w:val="006B1D92"/>
    <w:rsid w:val="006B28AD"/>
    <w:rsid w:val="006B3076"/>
    <w:rsid w:val="006B5EF5"/>
    <w:rsid w:val="006B6370"/>
    <w:rsid w:val="006B71D2"/>
    <w:rsid w:val="006C4C39"/>
    <w:rsid w:val="006C5121"/>
    <w:rsid w:val="006D3427"/>
    <w:rsid w:val="006D6A5B"/>
    <w:rsid w:val="006E7C82"/>
    <w:rsid w:val="006F61C6"/>
    <w:rsid w:val="0071311B"/>
    <w:rsid w:val="007157B6"/>
    <w:rsid w:val="0072541C"/>
    <w:rsid w:val="00732949"/>
    <w:rsid w:val="0073340E"/>
    <w:rsid w:val="00735659"/>
    <w:rsid w:val="00735A28"/>
    <w:rsid w:val="007510E5"/>
    <w:rsid w:val="007544BC"/>
    <w:rsid w:val="007632A0"/>
    <w:rsid w:val="007634FF"/>
    <w:rsid w:val="0076451B"/>
    <w:rsid w:val="007704CD"/>
    <w:rsid w:val="0078686C"/>
    <w:rsid w:val="00795D93"/>
    <w:rsid w:val="007A1978"/>
    <w:rsid w:val="007B0E48"/>
    <w:rsid w:val="007B0EBE"/>
    <w:rsid w:val="007B6675"/>
    <w:rsid w:val="007D1D7B"/>
    <w:rsid w:val="007E7441"/>
    <w:rsid w:val="007F233E"/>
    <w:rsid w:val="0080044E"/>
    <w:rsid w:val="0081373A"/>
    <w:rsid w:val="00815287"/>
    <w:rsid w:val="00824D07"/>
    <w:rsid w:val="008269C3"/>
    <w:rsid w:val="00827911"/>
    <w:rsid w:val="00832D42"/>
    <w:rsid w:val="00833A95"/>
    <w:rsid w:val="00834DF4"/>
    <w:rsid w:val="00837990"/>
    <w:rsid w:val="00841DE9"/>
    <w:rsid w:val="00842C2F"/>
    <w:rsid w:val="00846D5D"/>
    <w:rsid w:val="00864463"/>
    <w:rsid w:val="00865B37"/>
    <w:rsid w:val="00871300"/>
    <w:rsid w:val="00871BB2"/>
    <w:rsid w:val="0087457D"/>
    <w:rsid w:val="008767C3"/>
    <w:rsid w:val="00876926"/>
    <w:rsid w:val="008A068A"/>
    <w:rsid w:val="008A0A76"/>
    <w:rsid w:val="008A53DB"/>
    <w:rsid w:val="008A6143"/>
    <w:rsid w:val="008A6DDB"/>
    <w:rsid w:val="008A6EEC"/>
    <w:rsid w:val="008B019D"/>
    <w:rsid w:val="008B4359"/>
    <w:rsid w:val="008C33D3"/>
    <w:rsid w:val="008D285E"/>
    <w:rsid w:val="008E0D30"/>
    <w:rsid w:val="008E324F"/>
    <w:rsid w:val="008E57E6"/>
    <w:rsid w:val="008E6700"/>
    <w:rsid w:val="008F3E08"/>
    <w:rsid w:val="008F5475"/>
    <w:rsid w:val="00916523"/>
    <w:rsid w:val="009245CA"/>
    <w:rsid w:val="009347F8"/>
    <w:rsid w:val="009379DE"/>
    <w:rsid w:val="00945AC3"/>
    <w:rsid w:val="009516B1"/>
    <w:rsid w:val="009545B6"/>
    <w:rsid w:val="009568D7"/>
    <w:rsid w:val="00960764"/>
    <w:rsid w:val="009640DB"/>
    <w:rsid w:val="00966422"/>
    <w:rsid w:val="00970C40"/>
    <w:rsid w:val="009732FA"/>
    <w:rsid w:val="00976900"/>
    <w:rsid w:val="00977A16"/>
    <w:rsid w:val="00981057"/>
    <w:rsid w:val="00984619"/>
    <w:rsid w:val="009849B6"/>
    <w:rsid w:val="00985C45"/>
    <w:rsid w:val="00986690"/>
    <w:rsid w:val="0098731F"/>
    <w:rsid w:val="009976AB"/>
    <w:rsid w:val="009A32EE"/>
    <w:rsid w:val="009A6053"/>
    <w:rsid w:val="009B0566"/>
    <w:rsid w:val="009B19B3"/>
    <w:rsid w:val="009B4EC4"/>
    <w:rsid w:val="009D2CA3"/>
    <w:rsid w:val="009D7865"/>
    <w:rsid w:val="009F0EE6"/>
    <w:rsid w:val="00A011E0"/>
    <w:rsid w:val="00A019DC"/>
    <w:rsid w:val="00A053EC"/>
    <w:rsid w:val="00A20682"/>
    <w:rsid w:val="00A20869"/>
    <w:rsid w:val="00A21B4B"/>
    <w:rsid w:val="00A23CC9"/>
    <w:rsid w:val="00A31633"/>
    <w:rsid w:val="00A333A8"/>
    <w:rsid w:val="00A33C4E"/>
    <w:rsid w:val="00A42BA0"/>
    <w:rsid w:val="00A437F1"/>
    <w:rsid w:val="00A4638A"/>
    <w:rsid w:val="00A56380"/>
    <w:rsid w:val="00A724BB"/>
    <w:rsid w:val="00A76F2C"/>
    <w:rsid w:val="00A828DC"/>
    <w:rsid w:val="00A85917"/>
    <w:rsid w:val="00A86C39"/>
    <w:rsid w:val="00AA2782"/>
    <w:rsid w:val="00AB1454"/>
    <w:rsid w:val="00AC2C69"/>
    <w:rsid w:val="00AD6356"/>
    <w:rsid w:val="00AD7F95"/>
    <w:rsid w:val="00AE1454"/>
    <w:rsid w:val="00AE1E55"/>
    <w:rsid w:val="00AF3753"/>
    <w:rsid w:val="00AF57E1"/>
    <w:rsid w:val="00B03FA1"/>
    <w:rsid w:val="00B047C5"/>
    <w:rsid w:val="00B063D5"/>
    <w:rsid w:val="00B11981"/>
    <w:rsid w:val="00B14564"/>
    <w:rsid w:val="00B150F1"/>
    <w:rsid w:val="00B1706B"/>
    <w:rsid w:val="00B241DC"/>
    <w:rsid w:val="00B24922"/>
    <w:rsid w:val="00B327C8"/>
    <w:rsid w:val="00B35ADB"/>
    <w:rsid w:val="00B37501"/>
    <w:rsid w:val="00B43476"/>
    <w:rsid w:val="00B44E28"/>
    <w:rsid w:val="00B525C6"/>
    <w:rsid w:val="00B61130"/>
    <w:rsid w:val="00B614A1"/>
    <w:rsid w:val="00B73A28"/>
    <w:rsid w:val="00B84802"/>
    <w:rsid w:val="00B87216"/>
    <w:rsid w:val="00B94AEF"/>
    <w:rsid w:val="00BA5B48"/>
    <w:rsid w:val="00BB3C0B"/>
    <w:rsid w:val="00BB6FB7"/>
    <w:rsid w:val="00BB71AE"/>
    <w:rsid w:val="00BC4ACD"/>
    <w:rsid w:val="00BD1960"/>
    <w:rsid w:val="00BE47E8"/>
    <w:rsid w:val="00BF58A4"/>
    <w:rsid w:val="00BF69EA"/>
    <w:rsid w:val="00C01288"/>
    <w:rsid w:val="00C20EC9"/>
    <w:rsid w:val="00C266D2"/>
    <w:rsid w:val="00C26BC0"/>
    <w:rsid w:val="00C314B5"/>
    <w:rsid w:val="00C31ECE"/>
    <w:rsid w:val="00C34F82"/>
    <w:rsid w:val="00C4111F"/>
    <w:rsid w:val="00C5180B"/>
    <w:rsid w:val="00C545CE"/>
    <w:rsid w:val="00C5521A"/>
    <w:rsid w:val="00C57574"/>
    <w:rsid w:val="00C659B4"/>
    <w:rsid w:val="00C66EDA"/>
    <w:rsid w:val="00C71261"/>
    <w:rsid w:val="00C903FE"/>
    <w:rsid w:val="00C90E8C"/>
    <w:rsid w:val="00C95743"/>
    <w:rsid w:val="00CA4D41"/>
    <w:rsid w:val="00CA5928"/>
    <w:rsid w:val="00CB1ED8"/>
    <w:rsid w:val="00CB751C"/>
    <w:rsid w:val="00CC02F5"/>
    <w:rsid w:val="00CC2FE6"/>
    <w:rsid w:val="00CD6F3B"/>
    <w:rsid w:val="00CE1482"/>
    <w:rsid w:val="00CE55F6"/>
    <w:rsid w:val="00CF249D"/>
    <w:rsid w:val="00CF5E83"/>
    <w:rsid w:val="00D007CE"/>
    <w:rsid w:val="00D01106"/>
    <w:rsid w:val="00D07C35"/>
    <w:rsid w:val="00D143B3"/>
    <w:rsid w:val="00D16C12"/>
    <w:rsid w:val="00D224E4"/>
    <w:rsid w:val="00D3006E"/>
    <w:rsid w:val="00D327EC"/>
    <w:rsid w:val="00D3615F"/>
    <w:rsid w:val="00D402BA"/>
    <w:rsid w:val="00D408D0"/>
    <w:rsid w:val="00D55E8C"/>
    <w:rsid w:val="00D80592"/>
    <w:rsid w:val="00D81AB8"/>
    <w:rsid w:val="00D85E50"/>
    <w:rsid w:val="00D92ED1"/>
    <w:rsid w:val="00DA5B01"/>
    <w:rsid w:val="00DB2D9A"/>
    <w:rsid w:val="00DD10B4"/>
    <w:rsid w:val="00DD4792"/>
    <w:rsid w:val="00DD6A30"/>
    <w:rsid w:val="00DE791B"/>
    <w:rsid w:val="00DF15BD"/>
    <w:rsid w:val="00DF7356"/>
    <w:rsid w:val="00E02AE9"/>
    <w:rsid w:val="00E049C8"/>
    <w:rsid w:val="00E129F8"/>
    <w:rsid w:val="00E144BB"/>
    <w:rsid w:val="00E27EE9"/>
    <w:rsid w:val="00E30DEB"/>
    <w:rsid w:val="00E33EFE"/>
    <w:rsid w:val="00E430A6"/>
    <w:rsid w:val="00E46A26"/>
    <w:rsid w:val="00E505E0"/>
    <w:rsid w:val="00E55B0D"/>
    <w:rsid w:val="00E61CED"/>
    <w:rsid w:val="00E645AF"/>
    <w:rsid w:val="00E75B2F"/>
    <w:rsid w:val="00E77119"/>
    <w:rsid w:val="00E92470"/>
    <w:rsid w:val="00E955CC"/>
    <w:rsid w:val="00EA12C1"/>
    <w:rsid w:val="00EA2A2D"/>
    <w:rsid w:val="00EA3634"/>
    <w:rsid w:val="00EA5CDF"/>
    <w:rsid w:val="00EA6B80"/>
    <w:rsid w:val="00EB156E"/>
    <w:rsid w:val="00EB574D"/>
    <w:rsid w:val="00EB6DFA"/>
    <w:rsid w:val="00EC0133"/>
    <w:rsid w:val="00EC36EB"/>
    <w:rsid w:val="00EC7A79"/>
    <w:rsid w:val="00ED3C09"/>
    <w:rsid w:val="00EE1E1E"/>
    <w:rsid w:val="00EE29F0"/>
    <w:rsid w:val="00EE36F3"/>
    <w:rsid w:val="00EE69DD"/>
    <w:rsid w:val="00EF5BC8"/>
    <w:rsid w:val="00F005E2"/>
    <w:rsid w:val="00F10FD7"/>
    <w:rsid w:val="00F16F75"/>
    <w:rsid w:val="00F201F4"/>
    <w:rsid w:val="00F21D92"/>
    <w:rsid w:val="00F32657"/>
    <w:rsid w:val="00F36247"/>
    <w:rsid w:val="00F405D0"/>
    <w:rsid w:val="00F4072A"/>
    <w:rsid w:val="00F416D6"/>
    <w:rsid w:val="00F424E1"/>
    <w:rsid w:val="00F45FB3"/>
    <w:rsid w:val="00F50CE9"/>
    <w:rsid w:val="00F52218"/>
    <w:rsid w:val="00F53245"/>
    <w:rsid w:val="00F5552D"/>
    <w:rsid w:val="00F61D32"/>
    <w:rsid w:val="00F622F9"/>
    <w:rsid w:val="00F62A8B"/>
    <w:rsid w:val="00F6439F"/>
    <w:rsid w:val="00F8030E"/>
    <w:rsid w:val="00F8305D"/>
    <w:rsid w:val="00F85E60"/>
    <w:rsid w:val="00F87754"/>
    <w:rsid w:val="00FA48B7"/>
    <w:rsid w:val="00FC6843"/>
    <w:rsid w:val="00FC754C"/>
    <w:rsid w:val="00FD19D2"/>
    <w:rsid w:val="00FF083E"/>
    <w:rsid w:val="00FF35CC"/>
    <w:rsid w:val="02961C63"/>
    <w:rsid w:val="054A2FEC"/>
    <w:rsid w:val="067F2731"/>
    <w:rsid w:val="0B274E6F"/>
    <w:rsid w:val="0C893C0D"/>
    <w:rsid w:val="0EEC5902"/>
    <w:rsid w:val="0F946FD9"/>
    <w:rsid w:val="0FAF3253"/>
    <w:rsid w:val="11311F96"/>
    <w:rsid w:val="14AC5FE6"/>
    <w:rsid w:val="17046B3B"/>
    <w:rsid w:val="1AA572FB"/>
    <w:rsid w:val="1BC30184"/>
    <w:rsid w:val="1CDB3593"/>
    <w:rsid w:val="1DFD4922"/>
    <w:rsid w:val="20603A0B"/>
    <w:rsid w:val="2406637B"/>
    <w:rsid w:val="254914F1"/>
    <w:rsid w:val="2E175AA3"/>
    <w:rsid w:val="31DA02AF"/>
    <w:rsid w:val="36A130A2"/>
    <w:rsid w:val="398B4267"/>
    <w:rsid w:val="3996388A"/>
    <w:rsid w:val="3DF9176C"/>
    <w:rsid w:val="3F821FA5"/>
    <w:rsid w:val="408940CF"/>
    <w:rsid w:val="41F44A83"/>
    <w:rsid w:val="43F40AC5"/>
    <w:rsid w:val="447B0B22"/>
    <w:rsid w:val="46505364"/>
    <w:rsid w:val="47616255"/>
    <w:rsid w:val="48892395"/>
    <w:rsid w:val="4A1C0947"/>
    <w:rsid w:val="4E667449"/>
    <w:rsid w:val="52566D98"/>
    <w:rsid w:val="599A3670"/>
    <w:rsid w:val="5DA614D2"/>
    <w:rsid w:val="5F1E39B4"/>
    <w:rsid w:val="60374C2B"/>
    <w:rsid w:val="6041575D"/>
    <w:rsid w:val="6C6D76D3"/>
    <w:rsid w:val="6EFD712C"/>
    <w:rsid w:val="7031133E"/>
    <w:rsid w:val="75AA2B26"/>
    <w:rsid w:val="76D760E6"/>
    <w:rsid w:val="781F38A4"/>
    <w:rsid w:val="79373C3E"/>
    <w:rsid w:val="7C0F5DD9"/>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6">
    <w:name w:val="Default Paragraph Font"/>
    <w:unhideWhenUsed/>
    <w:uiPriority w:val="1"/>
  </w:style>
  <w:style w:type="table" w:default="1" w:styleId="8">
    <w:name w:val="Normal Table"/>
    <w:unhideWhenUsed/>
    <w:qFormat/>
    <w:uiPriority w:val="99"/>
    <w:tblPr>
      <w:tblStyle w:val="8"/>
      <w:tblLayout w:type="fixed"/>
      <w:tblCellMar>
        <w:top w:w="0" w:type="dxa"/>
        <w:left w:w="108" w:type="dxa"/>
        <w:bottom w:w="0" w:type="dxa"/>
        <w:right w:w="108" w:type="dxa"/>
      </w:tblCellMar>
    </w:tblPr>
    <w:tcPr>
      <w:textDirection w:val="lrTb"/>
    </w:tcPr>
  </w:style>
  <w:style w:type="paragraph" w:styleId="2">
    <w:name w:val="toc 3"/>
    <w:basedOn w:val="1"/>
    <w:next w:val="1"/>
    <w:unhideWhenUsed/>
    <w:qFormat/>
    <w:uiPriority w:val="39"/>
    <w:pPr>
      <w:ind w:left="840" w:leftChars="400"/>
    </w:pPr>
  </w:style>
  <w:style w:type="paragraph" w:styleId="3">
    <w:name w:val="Balloon Text"/>
    <w:basedOn w:val="1"/>
    <w:link w:val="15"/>
    <w:unhideWhenUsed/>
    <w:qFormat/>
    <w:uiPriority w:val="99"/>
    <w:rPr>
      <w:sz w:val="18"/>
      <w:szCs w:val="18"/>
    </w:rPr>
  </w:style>
  <w:style w:type="paragraph" w:styleId="4">
    <w:name w:val="footer"/>
    <w:basedOn w:val="1"/>
    <w:link w:val="14"/>
    <w:unhideWhenUsed/>
    <w:qFormat/>
    <w:uiPriority w:val="99"/>
    <w:pPr>
      <w:tabs>
        <w:tab w:val="center" w:pos="4153"/>
        <w:tab w:val="right" w:pos="8306"/>
      </w:tabs>
      <w:snapToGrid w:val="0"/>
      <w:jc w:val="left"/>
    </w:pPr>
    <w:rPr>
      <w:sz w:val="18"/>
      <w:szCs w:val="18"/>
    </w:rPr>
  </w:style>
  <w:style w:type="paragraph" w:styleId="5">
    <w:name w:val="header"/>
    <w:basedOn w:val="1"/>
    <w:link w:val="13"/>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qFormat/>
    <w:uiPriority w:val="99"/>
    <w:rPr>
      <w:color w:val="0000FF"/>
      <w:u w:val="single"/>
    </w:rPr>
  </w:style>
  <w:style w:type="table" w:styleId="9">
    <w:name w:val="Table Grid"/>
    <w:basedOn w:val="8"/>
    <w:qFormat/>
    <w:uiPriority w:val="59"/>
    <w:pPr/>
    <w:tblPr>
      <w:tblStyle w:val="8"/>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cPr>
      <w:textDirection w:val="lrTb"/>
    </w:tcPr>
  </w:style>
  <w:style w:type="paragraph" w:customStyle="1" w:styleId="10">
    <w:name w:val="List Paragraph"/>
    <w:basedOn w:val="1"/>
    <w:qFormat/>
    <w:uiPriority w:val="34"/>
    <w:pPr>
      <w:ind w:firstLine="420" w:firstLineChars="200"/>
    </w:pPr>
  </w:style>
  <w:style w:type="paragraph" w:customStyle="1" w:styleId="11">
    <w:name w:val="Revision"/>
    <w:hidden/>
    <w:semiHidden/>
    <w:qFormat/>
    <w:uiPriority w:val="99"/>
    <w:rPr>
      <w:rFonts w:ascii="Calibri" w:hAnsi="Calibri" w:eastAsia="宋体" w:cs="黑体"/>
      <w:kern w:val="2"/>
      <w:sz w:val="21"/>
      <w:szCs w:val="22"/>
      <w:lang w:val="en-US" w:eastAsia="zh-CN" w:bidi="ar-SA"/>
    </w:rPr>
  </w:style>
  <w:style w:type="paragraph" w:customStyle="1" w:styleId="12">
    <w:name w:val="Heading 1"/>
    <w:basedOn w:val="1"/>
    <w:qFormat/>
    <w:uiPriority w:val="1"/>
    <w:pPr>
      <w:spacing w:line="541" w:lineRule="exact"/>
      <w:ind w:left="1919" w:right="2017"/>
      <w:jc w:val="center"/>
      <w:outlineLvl w:val="1"/>
    </w:pPr>
    <w:rPr>
      <w:rFonts w:ascii="Noto Sans Mono CJK JP Regular" w:hAnsi="Noto Sans Mono CJK JP Regular" w:eastAsia="Noto Sans Mono CJK JP Regular" w:cs="Noto Sans Mono CJK JP Regular"/>
      <w:sz w:val="36"/>
      <w:szCs w:val="36"/>
    </w:rPr>
  </w:style>
  <w:style w:type="character" w:customStyle="1" w:styleId="13">
    <w:name w:val="页眉 Char"/>
    <w:basedOn w:val="6"/>
    <w:link w:val="5"/>
    <w:qFormat/>
    <w:uiPriority w:val="99"/>
    <w:rPr>
      <w:sz w:val="18"/>
      <w:szCs w:val="18"/>
    </w:rPr>
  </w:style>
  <w:style w:type="character" w:customStyle="1" w:styleId="14">
    <w:name w:val="页脚 Char"/>
    <w:basedOn w:val="6"/>
    <w:link w:val="4"/>
    <w:qFormat/>
    <w:uiPriority w:val="99"/>
    <w:rPr>
      <w:sz w:val="18"/>
      <w:szCs w:val="18"/>
    </w:rPr>
  </w:style>
  <w:style w:type="character" w:customStyle="1" w:styleId="15">
    <w:name w:val="批注框文本 Char"/>
    <w:basedOn w:val="6"/>
    <w:link w:val="3"/>
    <w:semiHidden/>
    <w:qFormat/>
    <w:uiPriority w:val="99"/>
    <w:rPr>
      <w:sz w:val="18"/>
      <w:szCs w:val="18"/>
    </w:rPr>
  </w:style>
  <w:style w:type="character" w:customStyle="1" w:styleId="16">
    <w:name w:val="mini-outputtext"/>
    <w:basedOn w:val="6"/>
    <w:qFormat/>
    <w:uiPriority w:val="0"/>
    <w:rPr/>
  </w:style>
</w:styles>
</file>

<file path=word/_rels/document.xml.rels><?xml version="1.0" encoding="UTF-8" standalone="yes"?>
<Relationships xmlns="http://schemas.openxmlformats.org/package/2006/relationships"><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2762</Words>
  <Characters>2971</Characters>
  <Lines>41</Lines>
  <Paragraphs>11</Paragraphs>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2020-04-22T08:12:00Z</dcterms:created>
  <dc:creator>吴</dc:creator>
  <cp:lastModifiedBy>陆妙芳</cp:lastModifiedBy>
  <cp:lastPrinted>2020-05-08T08:38:00Z</cp:lastPrinted>
  <dcterms:modified xsi:type="dcterms:W3CDTF">2026-07-08T00:46:16Z</dcterms:modified>
  <dc:title>编号：57001-2              </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179FB554B1A4497DB62F704A6F330B4F_12</vt:lpwstr>
  </property>
</Properties>
</file>