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jc w:val="left"/>
        <w:rPr>
          <w:rFonts w:hint="eastAsia" w:ascii="黑体" w:hAnsi="黑体" w:eastAsia="黑体" w:cs="黑体"/>
          <w:color w:val="auto"/>
          <w:sz w:val="30"/>
          <w:szCs w:val="30"/>
        </w:rPr>
      </w:pPr>
      <w:r>
        <w:rPr>
          <w:rFonts w:hint="eastAsia" w:ascii="黑体" w:hAnsi="黑体" w:eastAsia="黑体" w:cs="黑体"/>
          <w:color w:val="auto"/>
          <w:sz w:val="30"/>
          <w:szCs w:val="30"/>
        </w:rPr>
        <w:t xml:space="preserve">编号：000171102001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w:t>
      </w:r>
      <w:r>
        <w:rPr>
          <w:rFonts w:hint="eastAsia" w:ascii="Times New Roman" w:hAnsi="Times New Roman" w:eastAsia="黑体" w:cs="Times New Roman"/>
          <w:color w:val="auto"/>
          <w:sz w:val="52"/>
          <w:szCs w:val="52"/>
          <w:lang w:val="en-US" w:eastAsia="zh-CN"/>
        </w:rPr>
        <w:t>省级分局和计划单列市</w:t>
      </w:r>
      <w:r>
        <w:rPr>
          <w:rFonts w:hint="default" w:ascii="Times New Roman" w:hAnsi="Times New Roman" w:eastAsia="黑体" w:cs="Times New Roman"/>
          <w:color w:val="auto"/>
          <w:sz w:val="52"/>
          <w:szCs w:val="52"/>
          <w:lang w:val="en-US" w:eastAsia="zh-CN"/>
        </w:rPr>
        <w:t>分局办理的C类企业经常项目收支登记</w:t>
      </w:r>
      <w:r>
        <w:rPr>
          <w:rFonts w:ascii="Times New Roman" w:hAnsi="Times New Roman" w:eastAsia="黑体" w:cs="Times New Roman"/>
          <w:color w:val="auto"/>
          <w:sz w:val="52"/>
          <w:szCs w:val="52"/>
        </w:rPr>
        <w:t xml:space="preserve">” </w:t>
      </w: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行政审批服务指南</w:t>
      </w: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12"/>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ind w:right="300"/>
        <w:rPr>
          <w:rFonts w:ascii="Times New Roman" w:hAnsi="Times New Roman" w:eastAsia="仿宋_GB2312" w:cs="Times New Roman"/>
          <w:color w:val="auto"/>
          <w:sz w:val="30"/>
          <w:szCs w:val="30"/>
        </w:rPr>
        <w:sectPr>
          <w:footerReference r:id="rId4" w:type="default"/>
          <w:pgSz w:w="11906" w:h="16838"/>
          <w:pgMar w:top="1440" w:right="1800" w:bottom="1440" w:left="1800" w:header="851" w:footer="992" w:gutter="0"/>
          <w:cols w:space="720" w:num="1"/>
          <w:docGrid w:type="lines" w:linePitch="312" w:charSpace="0"/>
        </w:sectPr>
      </w:pPr>
    </w:p>
    <w:p>
      <w:pPr>
        <w:spacing w:line="540" w:lineRule="exact"/>
        <w:outlineLvl w:val="1"/>
        <w:rPr>
          <w:rFonts w:ascii="Times New Roman" w:hAnsi="Times New Roman" w:eastAsia="黑体"/>
          <w:sz w:val="28"/>
          <w:szCs w:val="28"/>
        </w:rPr>
      </w:pPr>
      <w:r>
        <w:rPr>
          <w:rFonts w:ascii="Times New Roman" w:hAnsi="Times New Roman" w:eastAsia="黑体" w:cs="Times New Roman"/>
          <w:color w:val="auto"/>
          <w:sz w:val="30"/>
          <w:szCs w:val="30"/>
        </w:rPr>
        <w:t xml:space="preserve">   </w:t>
      </w: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经常项目特定收支业务核准【00017110200Y】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省级分局和计划单列市分局办理的C类企业经常项目收支登记【000171102001】</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1.省级分局和计划单列市分局办理的C类企业经常项目收支登记(00017110200101)</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（1）《经常项目外汇业务指引（2020年版）》（汇发〔2020〕14号文印发）第三十五条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（2）《经常项目外汇业务指引（2020年版）》（汇发〔2020〕14号文印发）第二十三条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color w:val="auto"/>
          <w:sz w:val="28"/>
          <w:szCs w:val="28"/>
          <w:lang w:val="en-US" w:eastAsia="zh-CN"/>
        </w:rPr>
        <w:t>（3）《国家外汇管理局关于进一步优化贸易外汇业务管理的通知》（汇发〔2024〕11号文印发）</w:t>
      </w:r>
      <w:bookmarkStart w:id="6" w:name="_GoBack"/>
      <w:bookmarkEnd w:id="6"/>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4</w:t>
      </w:r>
      <w:r>
        <w:rPr>
          <w:rFonts w:ascii="方正仿宋_GBK" w:hAnsi="方正仿宋_GBK" w:eastAsia="方正仿宋_GBK" w:cs="方正仿宋_GBK"/>
          <w:sz w:val="28"/>
          <w:szCs w:val="28"/>
        </w:rPr>
        <w:t>）《国家外汇管理局行政许可实施办法》（国家外汇管理局公告2021年第1号）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进口付汇事前审核,出口收汇事前审核</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原则上不得办理以下业务的基于真实合规交易背景的C类企业：（1）90天以上（不含）的远期信用证（含展期）、海外代付等进口贸易融资业务；（</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）签订包含90天以上（不含）收汇条款的出口合同；（</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）离岸转手买卖外汇收支业务。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（1）《经常项目外汇业务指引（2020年版）》（汇发〔2020〕14号文印发）第三十五条</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C类企业在分类监管有效期内的货物贸易外汇收支业务应按照下列规定办理：……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（三）企业原则上不得办理90天以上（不含）的远期信用证（含展期）、海外代付等进口贸易融资业务；</w:t>
      </w:r>
      <w:r>
        <w:rPr>
          <w:rFonts w:ascii="方正仿宋_GBK" w:hAnsi="方正仿宋_GBK" w:eastAsia="方正仿宋_GBK" w:cs="方正仿宋_GBK"/>
          <w:color w:val="auto"/>
          <w:sz w:val="28"/>
          <w:szCs w:val="28"/>
        </w:rPr>
        <w:t>不得办理90天以上（不含）的延期付款、托收业务；</w:t>
      </w:r>
      <w:r>
        <w:rPr>
          <w:rFonts w:ascii="方正仿宋_GBK" w:hAnsi="方正仿宋_GBK" w:eastAsia="方正仿宋_GBK" w:cs="方正仿宋_GBK"/>
          <w:sz w:val="28"/>
          <w:szCs w:val="28"/>
        </w:rPr>
        <w:t>不得签订包含90天以上（不含）收汇条款的出口合同；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（四）企业不得办理离岸转手买卖外汇收支业务。</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eastAsia="zh-CN"/>
        </w:rPr>
        <w:t>（</w:t>
      </w:r>
      <w:r>
        <w:rPr>
          <w:rFonts w:hint="eastAsia" w:ascii="方正仿宋_GBK" w:hAnsi="方正仿宋_GBK" w:eastAsia="方正仿宋_GBK" w:cs="方正仿宋_GBK"/>
          <w:color w:val="auto"/>
          <w:sz w:val="28"/>
          <w:szCs w:val="28"/>
          <w:lang w:val="en-US" w:eastAsia="zh-CN"/>
        </w:rPr>
        <w:t>2 )《国家外汇管理局关于进一步优化贸易外汇业务管理的通知》（汇发〔2024〕11号文印发）第四点：“</w:t>
      </w:r>
    </w:p>
    <w:p>
      <w:pPr>
        <w:spacing w:line="600" w:lineRule="exact"/>
        <w:ind w:firstLine="560" w:firstLineChars="200"/>
        <w:rPr>
          <w:rFonts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四、优化B、C类企业贸易外汇业务管理。B、C类企业办理90天以上（不含）的延期收款或延期付款业务时，若</w:t>
      </w:r>
      <w:r>
        <w:rPr>
          <w:rFonts w:hint="eastAsia" w:ascii="方正仿宋_GBK" w:hAnsi="方正仿宋_GBK" w:eastAsia="方正仿宋_GBK" w:cs="方正仿宋_GBK"/>
          <w:color w:val="auto"/>
          <w:sz w:val="28"/>
          <w:szCs w:val="28"/>
          <w:lang w:eastAsia="zh-CN"/>
        </w:rPr>
        <w:t>在分类监管有效期内，此前导致列入</w:t>
      </w:r>
      <w:r>
        <w:rPr>
          <w:rFonts w:hint="eastAsia" w:ascii="方正仿宋_GBK" w:hAnsi="方正仿宋_GBK" w:eastAsia="方正仿宋_GBK" w:cs="方正仿宋_GBK"/>
          <w:color w:val="auto"/>
          <w:sz w:val="28"/>
          <w:szCs w:val="28"/>
          <w:lang w:val="en-US" w:eastAsia="zh-CN"/>
        </w:rPr>
        <w:t>B、C类企业的情况已改善或纠正，且未出现新的列入B、C类企业情形，自列入B、C类企业之日起6个月后，可在所在地外汇局办理登记，银行凭《贸易外汇业务登记表》为企业办理该业务。”</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6.具体改革举措: </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1.申请材料名称</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(1)加盖公章的书面申请</w:t>
      </w:r>
      <w:r>
        <w:rPr>
          <w:rFonts w:hint="eastAsia" w:ascii="方正仿宋_GBK" w:hAnsi="方正仿宋_GBK" w:eastAsia="方正仿宋_GBK" w:cs="方正仿宋_GBK"/>
          <w:color w:val="auto"/>
          <w:sz w:val="28"/>
          <w:szCs w:val="28"/>
        </w:rPr>
        <w:t>原件1份</w:t>
      </w:r>
      <w:r>
        <w:rPr>
          <w:rFonts w:hint="eastAsia" w:ascii="方正仿宋_GBK" w:hAnsi="方正仿宋_GBK" w:eastAsia="方正仿宋_GBK" w:cs="方正仿宋_GBK"/>
          <w:color w:val="auto"/>
          <w:sz w:val="28"/>
          <w:szCs w:val="28"/>
          <w:lang w:val="en-US" w:eastAsia="zh-CN"/>
        </w:rPr>
        <w:t>(内容包括但不限于说明需登记的事项、具体内容和原因);</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(2)以信用证、托收方式结算的,提交合同</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(3)以预付、预收贷款方式结算的,提交合同和发票</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(4)以其他方式结算的、提交报关单和合同</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。货物不报关的可提供运输单据等其他证明材料代替报关单;</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(5)收付汇与进出口主体不一致业务，还应区分情况提交捐赠协议、相关部门出具的分立，合并证明文件或其他相关材料</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(6)发生90天以上延期收款、付款的,还应提交需延期的证明材料</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(7)出口贸易融资放款还应提交与金融机构签订的协议和发票</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w:t>
      </w:r>
    </w:p>
    <w:p>
      <w:pPr>
        <w:spacing w:line="600" w:lineRule="exact"/>
        <w:ind w:firstLine="560" w:firstLineChars="200"/>
        <w:outlineLvl w:val="9"/>
        <w:rPr>
          <w:rFonts w:hint="eastAsia" w:ascii="方正仿宋_GBK" w:hAnsi="方正仿宋_GBK" w:eastAsia="方正仿宋_GBK" w:cs="方正仿宋_GBK"/>
          <w:color w:val="auto"/>
          <w:sz w:val="28"/>
          <w:szCs w:val="28"/>
          <w:lang w:eastAsia="zh-CN"/>
        </w:rPr>
      </w:pPr>
      <w:r>
        <w:rPr>
          <w:rFonts w:hint="eastAsia" w:ascii="方正仿宋_GBK" w:hAnsi="方正仿宋_GBK" w:eastAsia="方正仿宋_GBK" w:cs="方正仿宋_GBK"/>
          <w:color w:val="auto"/>
          <w:sz w:val="28"/>
          <w:szCs w:val="28"/>
          <w:lang w:val="en-US" w:eastAsia="zh-CN"/>
        </w:rPr>
        <w:t>(8)外币现钞结汇金额达到规定入境申报金额的，还应提交经海关签章的《中华人民共和国海关进境旅客行李物品申报单》</w:t>
      </w:r>
      <w:r>
        <w:rPr>
          <w:rFonts w:hint="eastAsia" w:ascii="方正仿宋_GBK" w:hAnsi="方正仿宋_GBK" w:eastAsia="方正仿宋_GBK" w:cs="方正仿宋_GBK"/>
          <w:color w:val="auto"/>
          <w:sz w:val="28"/>
          <w:szCs w:val="28"/>
        </w:rPr>
        <w:t>原件或加盖公章的复印件</w:t>
      </w:r>
      <w:r>
        <w:rPr>
          <w:rFonts w:hint="eastAsia" w:ascii="方正仿宋_GBK" w:hAnsi="方正仿宋_GBK" w:eastAsia="方正仿宋_GBK" w:cs="方正仿宋_GBK"/>
          <w:color w:val="auto"/>
          <w:sz w:val="28"/>
          <w:szCs w:val="28"/>
          <w:lang w:val="en-US" w:eastAsia="zh-CN"/>
        </w:rPr>
        <w:t>。</w:t>
      </w:r>
    </w:p>
    <w:p>
      <w:pPr>
        <w:spacing w:line="540" w:lineRule="exact"/>
        <w:ind w:firstLine="562" w:firstLineChars="200"/>
        <w:outlineLvl w:val="2"/>
        <w:rPr>
          <w:rFonts w:ascii="Times New Roman" w:hAnsi="Times New Roman" w:eastAsia="仿宋GB2312"/>
          <w:b/>
          <w:bCs/>
          <w:color w:val="auto"/>
          <w:sz w:val="28"/>
          <w:szCs w:val="28"/>
        </w:rPr>
      </w:pPr>
      <w:r>
        <w:rPr>
          <w:rFonts w:hint="eastAsia" w:ascii="Times New Roman" w:hAnsi="Times New Roman" w:eastAsia="仿宋GB2312"/>
          <w:b/>
          <w:bCs/>
          <w:color w:val="auto"/>
          <w:sz w:val="28"/>
          <w:szCs w:val="28"/>
        </w:rPr>
        <w:t>2.</w:t>
      </w:r>
      <w:r>
        <w:rPr>
          <w:rFonts w:ascii="Times New Roman" w:hAnsi="Times New Roman" w:eastAsia="仿宋GB2312"/>
          <w:b/>
          <w:bCs/>
          <w:color w:val="auto"/>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经常项目外汇业务指引（2020年版）》（汇发〔2020〕14号文印发）第十一条企业办理货物贸易外汇收支业务时，银行应通过货贸系统查询企业名录信息与分类信息，按照“了解客户”“了解业务”“尽职审查”的展业原则（以下简称展业原则）和本指引规定进行审核，确认收支的真实性、合理性和逻辑性。</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企业办理货物贸易外汇收入时，银行应确认资金性质，无法确认的及时与企业核实。企业办理货物贸易外汇支出时，银行应确认交易单证所列的交易主体、金额、性质等要素与其申请办理的外汇业务相一致。</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交易单证包括但不限于合同（协议）、发票、进出口报关单、进出境备案清单、运输单据、保税核注清单等有效凭证和商业单据。银行可根据展业原则和业务实际，自主决定审核交易单证的种类。……</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经常项目外汇业务指引（2020年版）》（汇发〔2020〕14号文印发）第二十六条货物贸易项下因汇路不畅需要使用外币现钞结汇的，银行应按照本指引第十一条等规定审核。外币现钞结汇金额达到规定入境申报金额的，银行还应审核企业提交的经海关签章的《中华人民共和国海关进境旅客行李物品申报单》（以下简称《海关申报单》）正本。</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经常项目外汇业务指引（2020年版）》（汇发〔2020〕14号文印发）第三十五条C类企业在分类监管有效期内的货物贸易外汇收支业务应按照下列规定办理：企业需事前逐笔到所在地外汇局办理登记手续，银行凭《登记表》办理。外汇局办理登记手续时，对于以信用证、托收等方式结算的，审核合同；对于以预付、预收货款方式结算的，审核合同和发票；对于以其他方式结算的，审核报关单和合同，货物不报关的，可提供运输单据等其他证明材料代替报关单。</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（4）《国家外汇管理局关于进一步优化贸易外汇业务管理的通知》（汇发〔2024〕11号文印发）附件3《货物贸易外汇登记有关业务办理材料》:“....</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企业到所在地外汇局办理B类企业超可收/付汇额度或90天以上(不含)延期收/付款的贸易外汇收支登记，以及C类企业贸易外汇收支登记时,需提交以下材料:</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1.加盖公章的书面申请(内容包括但不限于说明需登记的事项、具体内容和原因);</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2.以信用证、托收方式结算的,提交合同:</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3.以预付、预收贷款方式结算的,提交合同和发票;</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4.以其他方式结算的,提交报关单和合同。货物不报关的可提供运输单据等其他证明材料代替报关单;</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5.收付汇与进出口主体不一致业务，还应区分情况提交捐赠协议、相关部门出具的分立、合并证明文件或其他相关材料；</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6.发生90天以上延期收款、付款的，还应提交需延期的证明材料；</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7.出口贸易融资放款还应提交与金融机构签订的协议和发票;</w:t>
      </w:r>
    </w:p>
    <w:p>
      <w:pPr>
        <w:spacing w:line="600" w:lineRule="exact"/>
        <w:ind w:firstLine="560" w:firstLineChars="20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8.外币现钞结汇金额达到规定入境申报金额的，还应提交经海关签章的《中华人民共和国海关进境旅客行李物品申报单》。</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 xml:space="preserve">: </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2.收费项目的名称、收费项目的标准、设定收费项目的依据、规定收费标准的依据: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《贸易外汇业务登记表》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原则上不超过1个月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（1）国家外汇管理局关于</w:t>
      </w:r>
      <w:r>
        <w:rPr>
          <w:rFonts w:hint="eastAsia" w:ascii="方正仿宋_GBK" w:hAnsi="方正仿宋_GBK" w:eastAsia="方正仿宋_GBK" w:cs="方正仿宋_GBK"/>
          <w:sz w:val="28"/>
          <w:szCs w:val="28"/>
          <w:lang w:eastAsia="zh-CN"/>
        </w:rPr>
        <w:t>进一步优化贸易外汇业务管理</w:t>
      </w:r>
      <w:r>
        <w:rPr>
          <w:rFonts w:hint="eastAsia" w:ascii="方正仿宋_GBK" w:hAnsi="方正仿宋_GBK" w:eastAsia="方正仿宋_GBK" w:cs="方正仿宋_GBK"/>
          <w:sz w:val="28"/>
          <w:szCs w:val="28"/>
        </w:rPr>
        <w:t>的通知》（汇发〔20</w:t>
      </w:r>
      <w:r>
        <w:rPr>
          <w:rFonts w:hint="eastAsia" w:ascii="方正仿宋_GBK" w:hAnsi="方正仿宋_GBK" w:eastAsia="方正仿宋_GBK" w:cs="方正仿宋_GBK"/>
          <w:sz w:val="28"/>
          <w:szCs w:val="28"/>
          <w:lang w:val="en-US" w:eastAsia="zh-CN"/>
        </w:rPr>
        <w:t>24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11</w:t>
      </w:r>
      <w:r>
        <w:rPr>
          <w:rFonts w:hint="eastAsia" w:ascii="方正仿宋_GBK" w:hAnsi="方正仿宋_GBK" w:eastAsia="方正仿宋_GBK" w:cs="方正仿宋_GBK"/>
          <w:sz w:val="28"/>
          <w:szCs w:val="28"/>
        </w:rPr>
        <w:t>号）附件</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贸易外汇业务</w:t>
      </w:r>
      <w:r>
        <w:rPr>
          <w:rFonts w:hint="eastAsia" w:ascii="方正仿宋_GBK" w:hAnsi="方正仿宋_GBK" w:eastAsia="方正仿宋_GBK" w:cs="方正仿宋_GBK"/>
          <w:sz w:val="28"/>
          <w:szCs w:val="28"/>
        </w:rPr>
        <w:t>登记表》的有效期原则上不超过1个月。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6.办理审批结果变更手续的要求: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8.办理审批结果延续手续的要求: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9.审批结果的有效地域范围: </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10.规定审批结果有效地域范围的依据: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 xml:space="preserve">5.规定在数量限制条件下实施行政许可方式的依据: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2.设定年检要求的依据: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7.年检收费项目的名称、年检收费项目的标准、设定年检收费项目的依据、规定年检项目收费标准的依据: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 xml:space="preserve">: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1.</w:t>
      </w:r>
      <w:r>
        <w:rPr>
          <w:rFonts w:hint="eastAsia" w:eastAsia="仿宋GB2312"/>
          <w:b/>
          <w:bCs/>
          <w:color w:val="auto"/>
          <w:sz w:val="28"/>
          <w:szCs w:val="28"/>
          <w:lang w:eastAsia="zh-CN"/>
        </w:rPr>
        <w:t>办理地址：</w:t>
      </w:r>
      <w:r>
        <w:rPr>
          <w:rFonts w:hint="eastAsia" w:ascii="方正仿宋_GBK" w:hAnsi="方正仿宋_GBK" w:eastAsia="方正仿宋_GBK" w:cs="方正仿宋_GBK"/>
          <w:color w:val="auto"/>
          <w:sz w:val="28"/>
          <w:szCs w:val="28"/>
          <w:lang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 xml:space="preserve">:30 </w:t>
      </w:r>
    </w:p>
    <w:p>
      <w:pPr>
        <w:rPr>
          <w:rFonts w:eastAsia="黑体"/>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sz w:val="28"/>
          <w:szCs w:val="28"/>
        </w:rPr>
        <w:t>十六、</w:t>
      </w:r>
      <w:r>
        <w:rPr>
          <w:rFonts w:eastAsia="黑体"/>
          <w:sz w:val="28"/>
          <w:szCs w:val="28"/>
        </w:rPr>
        <w:t>咨询途径</w:t>
      </w:r>
      <w:bookmarkEnd w:id="0"/>
      <w:bookmarkEnd w:id="1"/>
      <w:bookmarkEnd w:id="2"/>
      <w:bookmarkEnd w:id="3"/>
      <w:bookmarkEnd w:id="4"/>
      <w:bookmarkEnd w:id="5"/>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1.</w:t>
      </w:r>
      <w:r>
        <w:rPr>
          <w:rFonts w:hint="eastAsia" w:eastAsia="仿宋GB2312"/>
          <w:b/>
          <w:bCs/>
          <w:color w:val="auto"/>
          <w:sz w:val="28"/>
          <w:szCs w:val="28"/>
          <w:lang w:eastAsia="zh-CN"/>
        </w:rPr>
        <w:t>窗口咨询地址：</w:t>
      </w:r>
      <w:r>
        <w:rPr>
          <w:rFonts w:hint="eastAsia" w:ascii="方正仿宋_GBK" w:hAnsi="方正仿宋_GBK" w:eastAsia="方正仿宋_GBK" w:cs="方正仿宋_GBK"/>
          <w:color w:val="auto"/>
          <w:sz w:val="28"/>
          <w:szCs w:val="28"/>
          <w:lang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0771-6111201</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Pr>
        <w:rPr>
          <w:rFonts w:ascii="Times New Roman" w:hAnsi="Times New Roman" w:cs="Times New Roman"/>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15</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9B19B3"/>
    <w:rsid w:val="000003C0"/>
    <w:rsid w:val="000021D6"/>
    <w:rsid w:val="00004BD5"/>
    <w:rsid w:val="00007A67"/>
    <w:rsid w:val="000233D5"/>
    <w:rsid w:val="00027E45"/>
    <w:rsid w:val="000351A4"/>
    <w:rsid w:val="00037A07"/>
    <w:rsid w:val="0004414D"/>
    <w:rsid w:val="00050681"/>
    <w:rsid w:val="00061C5F"/>
    <w:rsid w:val="000652D6"/>
    <w:rsid w:val="00070716"/>
    <w:rsid w:val="000B0E34"/>
    <w:rsid w:val="000D3467"/>
    <w:rsid w:val="000D61BB"/>
    <w:rsid w:val="000E2AD6"/>
    <w:rsid w:val="000E2D98"/>
    <w:rsid w:val="000E55BC"/>
    <w:rsid w:val="000E5910"/>
    <w:rsid w:val="000F1C17"/>
    <w:rsid w:val="000F24B5"/>
    <w:rsid w:val="00102A7C"/>
    <w:rsid w:val="00106460"/>
    <w:rsid w:val="001156C5"/>
    <w:rsid w:val="001172B3"/>
    <w:rsid w:val="00134BF3"/>
    <w:rsid w:val="00140DE8"/>
    <w:rsid w:val="001418D3"/>
    <w:rsid w:val="001437E6"/>
    <w:rsid w:val="00154329"/>
    <w:rsid w:val="00163202"/>
    <w:rsid w:val="001870AC"/>
    <w:rsid w:val="00193A89"/>
    <w:rsid w:val="00195B37"/>
    <w:rsid w:val="001A1E83"/>
    <w:rsid w:val="001A61DE"/>
    <w:rsid w:val="001C084E"/>
    <w:rsid w:val="001C2B84"/>
    <w:rsid w:val="001C3568"/>
    <w:rsid w:val="001C4BB1"/>
    <w:rsid w:val="001D095F"/>
    <w:rsid w:val="001D2DD9"/>
    <w:rsid w:val="001D56F0"/>
    <w:rsid w:val="001D5C07"/>
    <w:rsid w:val="001E37D7"/>
    <w:rsid w:val="001F1B4B"/>
    <w:rsid w:val="001F2A75"/>
    <w:rsid w:val="00212F1A"/>
    <w:rsid w:val="00215F91"/>
    <w:rsid w:val="002178A9"/>
    <w:rsid w:val="002226D7"/>
    <w:rsid w:val="0023361F"/>
    <w:rsid w:val="00233CB8"/>
    <w:rsid w:val="00233F9E"/>
    <w:rsid w:val="00235C6D"/>
    <w:rsid w:val="002453CB"/>
    <w:rsid w:val="00253212"/>
    <w:rsid w:val="00254875"/>
    <w:rsid w:val="00256B77"/>
    <w:rsid w:val="002654CB"/>
    <w:rsid w:val="00266E25"/>
    <w:rsid w:val="00273E50"/>
    <w:rsid w:val="002756E4"/>
    <w:rsid w:val="002A0834"/>
    <w:rsid w:val="002B0553"/>
    <w:rsid w:val="002B05F7"/>
    <w:rsid w:val="002B3F08"/>
    <w:rsid w:val="002B4E65"/>
    <w:rsid w:val="002C7EAF"/>
    <w:rsid w:val="002F2577"/>
    <w:rsid w:val="002F6202"/>
    <w:rsid w:val="00316E50"/>
    <w:rsid w:val="00316F0E"/>
    <w:rsid w:val="00321272"/>
    <w:rsid w:val="00325547"/>
    <w:rsid w:val="00326B8C"/>
    <w:rsid w:val="003314E4"/>
    <w:rsid w:val="00331E1E"/>
    <w:rsid w:val="003371EB"/>
    <w:rsid w:val="00337ED9"/>
    <w:rsid w:val="00345800"/>
    <w:rsid w:val="003508A5"/>
    <w:rsid w:val="00354A7C"/>
    <w:rsid w:val="00364BB9"/>
    <w:rsid w:val="00377012"/>
    <w:rsid w:val="00387FD0"/>
    <w:rsid w:val="00396CD5"/>
    <w:rsid w:val="003A1721"/>
    <w:rsid w:val="003A2E79"/>
    <w:rsid w:val="003A4630"/>
    <w:rsid w:val="003A496B"/>
    <w:rsid w:val="003B1325"/>
    <w:rsid w:val="003B6057"/>
    <w:rsid w:val="003C3480"/>
    <w:rsid w:val="003C5C1F"/>
    <w:rsid w:val="003D1EDA"/>
    <w:rsid w:val="003D1F9B"/>
    <w:rsid w:val="003D2BBB"/>
    <w:rsid w:val="003D3BB2"/>
    <w:rsid w:val="003D7B66"/>
    <w:rsid w:val="00404086"/>
    <w:rsid w:val="0040580D"/>
    <w:rsid w:val="00413782"/>
    <w:rsid w:val="00417C88"/>
    <w:rsid w:val="004311DF"/>
    <w:rsid w:val="00436919"/>
    <w:rsid w:val="00437717"/>
    <w:rsid w:val="0044021E"/>
    <w:rsid w:val="00445A64"/>
    <w:rsid w:val="0045411C"/>
    <w:rsid w:val="004573E4"/>
    <w:rsid w:val="00460F9A"/>
    <w:rsid w:val="004735FC"/>
    <w:rsid w:val="004924A7"/>
    <w:rsid w:val="004935B2"/>
    <w:rsid w:val="00497B08"/>
    <w:rsid w:val="00497FC6"/>
    <w:rsid w:val="004A6503"/>
    <w:rsid w:val="004B1BDA"/>
    <w:rsid w:val="004B3A9F"/>
    <w:rsid w:val="004C5477"/>
    <w:rsid w:val="004D3F83"/>
    <w:rsid w:val="004E4AD4"/>
    <w:rsid w:val="004E746C"/>
    <w:rsid w:val="004E7E2D"/>
    <w:rsid w:val="00512742"/>
    <w:rsid w:val="00512786"/>
    <w:rsid w:val="00514ABC"/>
    <w:rsid w:val="005263C0"/>
    <w:rsid w:val="00544909"/>
    <w:rsid w:val="00551A5A"/>
    <w:rsid w:val="0056706F"/>
    <w:rsid w:val="00567128"/>
    <w:rsid w:val="005845DF"/>
    <w:rsid w:val="00584DF2"/>
    <w:rsid w:val="0058649D"/>
    <w:rsid w:val="00593352"/>
    <w:rsid w:val="00595487"/>
    <w:rsid w:val="005A32AB"/>
    <w:rsid w:val="005A3A70"/>
    <w:rsid w:val="005A61D4"/>
    <w:rsid w:val="005B322C"/>
    <w:rsid w:val="005C4A17"/>
    <w:rsid w:val="005E1F6F"/>
    <w:rsid w:val="005E6464"/>
    <w:rsid w:val="005F1522"/>
    <w:rsid w:val="005F1DCD"/>
    <w:rsid w:val="005F3C89"/>
    <w:rsid w:val="005F5952"/>
    <w:rsid w:val="006017F9"/>
    <w:rsid w:val="00603617"/>
    <w:rsid w:val="00611E81"/>
    <w:rsid w:val="0064768C"/>
    <w:rsid w:val="006509E6"/>
    <w:rsid w:val="00654AA7"/>
    <w:rsid w:val="006553EF"/>
    <w:rsid w:val="006603EC"/>
    <w:rsid w:val="006667EE"/>
    <w:rsid w:val="006675D3"/>
    <w:rsid w:val="00673F17"/>
    <w:rsid w:val="00675C64"/>
    <w:rsid w:val="006847AE"/>
    <w:rsid w:val="00693E03"/>
    <w:rsid w:val="00696646"/>
    <w:rsid w:val="00696A7B"/>
    <w:rsid w:val="006B1D92"/>
    <w:rsid w:val="006B28AD"/>
    <w:rsid w:val="006B3076"/>
    <w:rsid w:val="006B5EF5"/>
    <w:rsid w:val="006B6370"/>
    <w:rsid w:val="006B71D2"/>
    <w:rsid w:val="006C4C39"/>
    <w:rsid w:val="006C5121"/>
    <w:rsid w:val="006D3427"/>
    <w:rsid w:val="006D6A5B"/>
    <w:rsid w:val="006E7C82"/>
    <w:rsid w:val="006F61C6"/>
    <w:rsid w:val="0071311B"/>
    <w:rsid w:val="007157B6"/>
    <w:rsid w:val="0072541C"/>
    <w:rsid w:val="00732949"/>
    <w:rsid w:val="0073340E"/>
    <w:rsid w:val="00735659"/>
    <w:rsid w:val="00735A28"/>
    <w:rsid w:val="007510E5"/>
    <w:rsid w:val="007544BC"/>
    <w:rsid w:val="007632A0"/>
    <w:rsid w:val="007634FF"/>
    <w:rsid w:val="0076451B"/>
    <w:rsid w:val="007704CD"/>
    <w:rsid w:val="0078686C"/>
    <w:rsid w:val="00795D93"/>
    <w:rsid w:val="007A1978"/>
    <w:rsid w:val="007B0E48"/>
    <w:rsid w:val="007B0EBE"/>
    <w:rsid w:val="007B6675"/>
    <w:rsid w:val="007D1D7B"/>
    <w:rsid w:val="007E7441"/>
    <w:rsid w:val="007F233E"/>
    <w:rsid w:val="0080044E"/>
    <w:rsid w:val="0081373A"/>
    <w:rsid w:val="00815287"/>
    <w:rsid w:val="00824D07"/>
    <w:rsid w:val="008269C3"/>
    <w:rsid w:val="00827911"/>
    <w:rsid w:val="00832D42"/>
    <w:rsid w:val="00833A95"/>
    <w:rsid w:val="00834DF4"/>
    <w:rsid w:val="00837990"/>
    <w:rsid w:val="00841DE9"/>
    <w:rsid w:val="00842C2F"/>
    <w:rsid w:val="00846D5D"/>
    <w:rsid w:val="00864463"/>
    <w:rsid w:val="00865B37"/>
    <w:rsid w:val="00871300"/>
    <w:rsid w:val="00871BB2"/>
    <w:rsid w:val="0087457D"/>
    <w:rsid w:val="008767C3"/>
    <w:rsid w:val="00876926"/>
    <w:rsid w:val="008A068A"/>
    <w:rsid w:val="008A0A76"/>
    <w:rsid w:val="008A53DB"/>
    <w:rsid w:val="008A6143"/>
    <w:rsid w:val="008A6DDB"/>
    <w:rsid w:val="008A6EEC"/>
    <w:rsid w:val="008B019D"/>
    <w:rsid w:val="008B4359"/>
    <w:rsid w:val="008C33D3"/>
    <w:rsid w:val="008D285E"/>
    <w:rsid w:val="008E0D30"/>
    <w:rsid w:val="008E324F"/>
    <w:rsid w:val="008E57E6"/>
    <w:rsid w:val="008E6700"/>
    <w:rsid w:val="008F3E08"/>
    <w:rsid w:val="008F5475"/>
    <w:rsid w:val="00916523"/>
    <w:rsid w:val="009245CA"/>
    <w:rsid w:val="009347F8"/>
    <w:rsid w:val="009379DE"/>
    <w:rsid w:val="00945AC3"/>
    <w:rsid w:val="009516B1"/>
    <w:rsid w:val="009545B6"/>
    <w:rsid w:val="009568D7"/>
    <w:rsid w:val="00960764"/>
    <w:rsid w:val="009640DB"/>
    <w:rsid w:val="00966422"/>
    <w:rsid w:val="00970C40"/>
    <w:rsid w:val="009732FA"/>
    <w:rsid w:val="00976900"/>
    <w:rsid w:val="00977A16"/>
    <w:rsid w:val="00981057"/>
    <w:rsid w:val="00984619"/>
    <w:rsid w:val="009849B6"/>
    <w:rsid w:val="00985C45"/>
    <w:rsid w:val="00986690"/>
    <w:rsid w:val="0098731F"/>
    <w:rsid w:val="009976AB"/>
    <w:rsid w:val="009A32EE"/>
    <w:rsid w:val="009A6053"/>
    <w:rsid w:val="009B0566"/>
    <w:rsid w:val="009B19B3"/>
    <w:rsid w:val="009B4EC4"/>
    <w:rsid w:val="009D2CA3"/>
    <w:rsid w:val="009D7865"/>
    <w:rsid w:val="009F0EE6"/>
    <w:rsid w:val="00A011E0"/>
    <w:rsid w:val="00A019DC"/>
    <w:rsid w:val="00A053EC"/>
    <w:rsid w:val="00A20682"/>
    <w:rsid w:val="00A20869"/>
    <w:rsid w:val="00A21B4B"/>
    <w:rsid w:val="00A23CC9"/>
    <w:rsid w:val="00A31633"/>
    <w:rsid w:val="00A333A8"/>
    <w:rsid w:val="00A33C4E"/>
    <w:rsid w:val="00A42BA0"/>
    <w:rsid w:val="00A437F1"/>
    <w:rsid w:val="00A4638A"/>
    <w:rsid w:val="00A56380"/>
    <w:rsid w:val="00A724BB"/>
    <w:rsid w:val="00A76F2C"/>
    <w:rsid w:val="00A828DC"/>
    <w:rsid w:val="00A85917"/>
    <w:rsid w:val="00A86C39"/>
    <w:rsid w:val="00AA2782"/>
    <w:rsid w:val="00AB1454"/>
    <w:rsid w:val="00AC2C69"/>
    <w:rsid w:val="00AD6356"/>
    <w:rsid w:val="00AD7F95"/>
    <w:rsid w:val="00AE1454"/>
    <w:rsid w:val="00AE1E55"/>
    <w:rsid w:val="00AF3753"/>
    <w:rsid w:val="00AF57E1"/>
    <w:rsid w:val="00B03FA1"/>
    <w:rsid w:val="00B047C5"/>
    <w:rsid w:val="00B063D5"/>
    <w:rsid w:val="00B11981"/>
    <w:rsid w:val="00B14564"/>
    <w:rsid w:val="00B150F1"/>
    <w:rsid w:val="00B1706B"/>
    <w:rsid w:val="00B241DC"/>
    <w:rsid w:val="00B24922"/>
    <w:rsid w:val="00B327C8"/>
    <w:rsid w:val="00B35ADB"/>
    <w:rsid w:val="00B37501"/>
    <w:rsid w:val="00B43476"/>
    <w:rsid w:val="00B44E28"/>
    <w:rsid w:val="00B525C6"/>
    <w:rsid w:val="00B61130"/>
    <w:rsid w:val="00B614A1"/>
    <w:rsid w:val="00B73A28"/>
    <w:rsid w:val="00B84802"/>
    <w:rsid w:val="00B87216"/>
    <w:rsid w:val="00B94AEF"/>
    <w:rsid w:val="00BA5B48"/>
    <w:rsid w:val="00BB3C0B"/>
    <w:rsid w:val="00BB6FB7"/>
    <w:rsid w:val="00BB71AE"/>
    <w:rsid w:val="00BC4ACD"/>
    <w:rsid w:val="00BD1960"/>
    <w:rsid w:val="00BE47E8"/>
    <w:rsid w:val="00BF58A4"/>
    <w:rsid w:val="00BF69EA"/>
    <w:rsid w:val="00C01288"/>
    <w:rsid w:val="00C20EC9"/>
    <w:rsid w:val="00C266D2"/>
    <w:rsid w:val="00C26BC0"/>
    <w:rsid w:val="00C314B5"/>
    <w:rsid w:val="00C31ECE"/>
    <w:rsid w:val="00C34F82"/>
    <w:rsid w:val="00C4111F"/>
    <w:rsid w:val="00C5180B"/>
    <w:rsid w:val="00C545CE"/>
    <w:rsid w:val="00C5521A"/>
    <w:rsid w:val="00C57574"/>
    <w:rsid w:val="00C659B4"/>
    <w:rsid w:val="00C66EDA"/>
    <w:rsid w:val="00C71261"/>
    <w:rsid w:val="00C903FE"/>
    <w:rsid w:val="00C90E8C"/>
    <w:rsid w:val="00C95743"/>
    <w:rsid w:val="00CA4D41"/>
    <w:rsid w:val="00CA5928"/>
    <w:rsid w:val="00CB1ED8"/>
    <w:rsid w:val="00CB751C"/>
    <w:rsid w:val="00CC02F5"/>
    <w:rsid w:val="00CC2FE6"/>
    <w:rsid w:val="00CD6F3B"/>
    <w:rsid w:val="00CE1482"/>
    <w:rsid w:val="00CE55F6"/>
    <w:rsid w:val="00CF249D"/>
    <w:rsid w:val="00CF5E83"/>
    <w:rsid w:val="00D007CE"/>
    <w:rsid w:val="00D01106"/>
    <w:rsid w:val="00D07C35"/>
    <w:rsid w:val="00D143B3"/>
    <w:rsid w:val="00D16C12"/>
    <w:rsid w:val="00D224E4"/>
    <w:rsid w:val="00D3006E"/>
    <w:rsid w:val="00D327EC"/>
    <w:rsid w:val="00D3615F"/>
    <w:rsid w:val="00D402BA"/>
    <w:rsid w:val="00D408D0"/>
    <w:rsid w:val="00D55E8C"/>
    <w:rsid w:val="00D80592"/>
    <w:rsid w:val="00D81AB8"/>
    <w:rsid w:val="00D85E50"/>
    <w:rsid w:val="00D92ED1"/>
    <w:rsid w:val="00DA5B01"/>
    <w:rsid w:val="00DB2D9A"/>
    <w:rsid w:val="00DD10B4"/>
    <w:rsid w:val="00DD4792"/>
    <w:rsid w:val="00DD6A30"/>
    <w:rsid w:val="00DE791B"/>
    <w:rsid w:val="00DF15BD"/>
    <w:rsid w:val="00DF7356"/>
    <w:rsid w:val="00E02AE9"/>
    <w:rsid w:val="00E049C8"/>
    <w:rsid w:val="00E129F8"/>
    <w:rsid w:val="00E144BB"/>
    <w:rsid w:val="00E27EE9"/>
    <w:rsid w:val="00E30DEB"/>
    <w:rsid w:val="00E33EFE"/>
    <w:rsid w:val="00E430A6"/>
    <w:rsid w:val="00E46A26"/>
    <w:rsid w:val="00E505E0"/>
    <w:rsid w:val="00E55B0D"/>
    <w:rsid w:val="00E61CED"/>
    <w:rsid w:val="00E645AF"/>
    <w:rsid w:val="00E75B2F"/>
    <w:rsid w:val="00E77119"/>
    <w:rsid w:val="00E92470"/>
    <w:rsid w:val="00E955CC"/>
    <w:rsid w:val="00EA12C1"/>
    <w:rsid w:val="00EA2A2D"/>
    <w:rsid w:val="00EA3634"/>
    <w:rsid w:val="00EA5CDF"/>
    <w:rsid w:val="00EA6B80"/>
    <w:rsid w:val="00EB156E"/>
    <w:rsid w:val="00EB574D"/>
    <w:rsid w:val="00EB6DFA"/>
    <w:rsid w:val="00EC0133"/>
    <w:rsid w:val="00EC36EB"/>
    <w:rsid w:val="00EC7A79"/>
    <w:rsid w:val="00ED3C09"/>
    <w:rsid w:val="00EE1E1E"/>
    <w:rsid w:val="00EE29F0"/>
    <w:rsid w:val="00EE36F3"/>
    <w:rsid w:val="00EE69DD"/>
    <w:rsid w:val="00EF5BC8"/>
    <w:rsid w:val="00F005E2"/>
    <w:rsid w:val="00F10FD7"/>
    <w:rsid w:val="00F16F75"/>
    <w:rsid w:val="00F17339"/>
    <w:rsid w:val="00F201F4"/>
    <w:rsid w:val="00F21D92"/>
    <w:rsid w:val="00F32657"/>
    <w:rsid w:val="00F36247"/>
    <w:rsid w:val="00F405D0"/>
    <w:rsid w:val="00F4072A"/>
    <w:rsid w:val="00F416D6"/>
    <w:rsid w:val="00F424E1"/>
    <w:rsid w:val="00F45FB3"/>
    <w:rsid w:val="00F50CE9"/>
    <w:rsid w:val="00F52218"/>
    <w:rsid w:val="00F53245"/>
    <w:rsid w:val="00F5552D"/>
    <w:rsid w:val="00F61D32"/>
    <w:rsid w:val="00F622F9"/>
    <w:rsid w:val="00F62A8B"/>
    <w:rsid w:val="00F6439F"/>
    <w:rsid w:val="00F8030E"/>
    <w:rsid w:val="00F8305D"/>
    <w:rsid w:val="00F85E60"/>
    <w:rsid w:val="00F87754"/>
    <w:rsid w:val="00FA48B7"/>
    <w:rsid w:val="00FC6843"/>
    <w:rsid w:val="00FC754C"/>
    <w:rsid w:val="00FD19D2"/>
    <w:rsid w:val="00FF083E"/>
    <w:rsid w:val="00FF35CC"/>
    <w:rsid w:val="01A67040"/>
    <w:rsid w:val="02961C63"/>
    <w:rsid w:val="03106C54"/>
    <w:rsid w:val="048B1B95"/>
    <w:rsid w:val="07373AE1"/>
    <w:rsid w:val="08557452"/>
    <w:rsid w:val="0ADD1747"/>
    <w:rsid w:val="0FAF3253"/>
    <w:rsid w:val="10BD3568"/>
    <w:rsid w:val="11311F96"/>
    <w:rsid w:val="17157CEB"/>
    <w:rsid w:val="1B7E4E78"/>
    <w:rsid w:val="1BC30184"/>
    <w:rsid w:val="1CDB3593"/>
    <w:rsid w:val="1FCE12E9"/>
    <w:rsid w:val="22615D20"/>
    <w:rsid w:val="2406637B"/>
    <w:rsid w:val="25585952"/>
    <w:rsid w:val="2AC51079"/>
    <w:rsid w:val="2CA51EDD"/>
    <w:rsid w:val="30FE746D"/>
    <w:rsid w:val="328A5CFA"/>
    <w:rsid w:val="33893BF3"/>
    <w:rsid w:val="34874932"/>
    <w:rsid w:val="350F2EB5"/>
    <w:rsid w:val="36A130A2"/>
    <w:rsid w:val="38A108CE"/>
    <w:rsid w:val="3996388A"/>
    <w:rsid w:val="3DF9176C"/>
    <w:rsid w:val="43F40AC5"/>
    <w:rsid w:val="48892395"/>
    <w:rsid w:val="4CA91E99"/>
    <w:rsid w:val="4DE23AD3"/>
    <w:rsid w:val="4FAE3931"/>
    <w:rsid w:val="513A7953"/>
    <w:rsid w:val="526036BE"/>
    <w:rsid w:val="55E32AF2"/>
    <w:rsid w:val="5A6D51AC"/>
    <w:rsid w:val="646D4199"/>
    <w:rsid w:val="678F58E2"/>
    <w:rsid w:val="67B87082"/>
    <w:rsid w:val="686F3B18"/>
    <w:rsid w:val="6B3469DD"/>
    <w:rsid w:val="6C6D76D3"/>
    <w:rsid w:val="77686DEB"/>
    <w:rsid w:val="78815871"/>
    <w:rsid w:val="78915D4E"/>
    <w:rsid w:val="7A0746E3"/>
    <w:rsid w:val="7FDE58D4"/>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toc 3"/>
    <w:basedOn w:val="1"/>
    <w:next w:val="1"/>
    <w:unhideWhenUsed/>
    <w:qFormat/>
    <w:uiPriority w:val="39"/>
    <w:pPr>
      <w:ind w:left="840" w:leftChars="400"/>
    </w:pPr>
  </w:style>
  <w:style w:type="paragraph" w:styleId="3">
    <w:name w:val="Balloon Text"/>
    <w:basedOn w:val="1"/>
    <w:link w:val="15"/>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u w:val="single"/>
    </w:rPr>
  </w:style>
  <w:style w:type="table" w:styleId="9">
    <w:name w:val="Table Grid"/>
    <w:basedOn w:val="8"/>
    <w:qFormat/>
    <w:uiPriority w:val="59"/>
    <w:pPr/>
    <w:tblPr>
      <w:tblStyle w:val="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0">
    <w:name w:val="List Paragraph"/>
    <w:basedOn w:val="1"/>
    <w:qFormat/>
    <w:uiPriority w:val="34"/>
    <w:pPr>
      <w:ind w:firstLine="420" w:firstLineChars="200"/>
    </w:pPr>
  </w:style>
  <w:style w:type="paragraph" w:customStyle="1" w:styleId="11">
    <w:name w:val="Revision"/>
    <w:hidden/>
    <w:semiHidden/>
    <w:qFormat/>
    <w:uiPriority w:val="99"/>
    <w:rPr>
      <w:rFonts w:ascii="Calibri" w:hAnsi="Calibri" w:eastAsia="宋体" w:cs="黑体"/>
      <w:kern w:val="2"/>
      <w:sz w:val="21"/>
      <w:szCs w:val="22"/>
      <w:lang w:val="en-US" w:eastAsia="zh-CN" w:bidi="ar-SA"/>
    </w:rPr>
  </w:style>
  <w:style w:type="paragraph" w:customStyle="1" w:styleId="12">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13">
    <w:name w:val="页眉 Char"/>
    <w:basedOn w:val="6"/>
    <w:link w:val="5"/>
    <w:qFormat/>
    <w:uiPriority w:val="99"/>
    <w:rPr>
      <w:sz w:val="18"/>
      <w:szCs w:val="18"/>
    </w:rPr>
  </w:style>
  <w:style w:type="character" w:customStyle="1" w:styleId="14">
    <w:name w:val="页脚 Char"/>
    <w:basedOn w:val="6"/>
    <w:link w:val="4"/>
    <w:qFormat/>
    <w:uiPriority w:val="99"/>
    <w:rPr>
      <w:sz w:val="18"/>
      <w:szCs w:val="18"/>
    </w:rPr>
  </w:style>
  <w:style w:type="character" w:customStyle="1" w:styleId="15">
    <w:name w:val="批注框文本 Char"/>
    <w:basedOn w:val="6"/>
    <w:link w:val="3"/>
    <w:semiHidden/>
    <w:qFormat/>
    <w:uiPriority w:val="99"/>
    <w:rPr>
      <w:sz w:val="18"/>
      <w:szCs w:val="18"/>
    </w:rPr>
  </w:style>
  <w:style w:type="character" w:customStyle="1" w:styleId="16">
    <w:name w:val="mini-outputtext"/>
    <w:basedOn w:val="6"/>
    <w:qFormat/>
    <w:uiPriority w:val="0"/>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3221</Words>
  <Characters>3452</Characters>
  <Lines>41</Lines>
  <Paragraphs>11</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2020-04-22T08:12:00Z</dcterms:created>
  <dc:creator>吴</dc:creator>
  <cp:lastModifiedBy>陆妙芳</cp:lastModifiedBy>
  <cp:lastPrinted>2020-05-08T08:38:00Z</cp:lastPrinted>
  <dcterms:modified xsi:type="dcterms:W3CDTF">2026-07-09T02:27:31Z</dcterms:modified>
  <dc:title>编号：57001-2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24595E6B2865473EACA45BB9A67A76A4_12</vt:lpwstr>
  </property>
</Properties>
</file>