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insoku w:val="0"/>
        <w:wordWrap/>
        <w:autoSpaceDE w:val="0"/>
        <w:autoSpaceDN w:val="0"/>
        <w:spacing w:line="570" w:lineRule="exact"/>
        <w:ind w:left="0" w:leftChars="0" w:right="0"/>
        <w:outlineLvl w:val="9"/>
        <w:rPr>
          <w:rFonts w:hint="eastAsia" w:ascii="黑体" w:hAnsi="黑体" w:eastAsia="黑体" w:cs="黑体"/>
          <w:spacing w:val="0"/>
          <w:lang w:eastAsia="zh-CN"/>
        </w:rPr>
      </w:pPr>
      <w:r>
        <w:rPr>
          <w:rFonts w:hint="eastAsia" w:ascii="黑体" w:hAnsi="黑体" w:eastAsia="黑体" w:cs="黑体"/>
          <w:spacing w:val="0"/>
          <w:lang w:eastAsia="zh-CN"/>
        </w:rPr>
        <w:t>附件</w:t>
      </w:r>
    </w:p>
    <w:p>
      <w:pPr>
        <w:kinsoku w:val="0"/>
        <w:wordWrap/>
        <w:autoSpaceDE w:val="0"/>
        <w:autoSpaceDN w:val="0"/>
        <w:spacing w:line="570" w:lineRule="exact"/>
        <w:ind w:left="0" w:leftChars="0" w:right="0"/>
        <w:outlineLvl w:val="9"/>
        <w:rPr>
          <w:rFonts w:hint="eastAsia" w:ascii="黑体" w:hAnsi="黑体" w:eastAsia="黑体" w:cs="黑体"/>
          <w:spacing w:val="0"/>
          <w:lang w:eastAsia="zh-CN"/>
        </w:rPr>
      </w:pPr>
    </w:p>
    <w:p>
      <w:pPr>
        <w:widowControl w:val="0"/>
        <w:kinsoku w:val="0"/>
        <w:wordWrap/>
        <w:autoSpaceDE w:val="0"/>
        <w:autoSpaceDN w:val="0"/>
        <w:adjustRightInd/>
        <w:snapToGrid/>
        <w:spacing w:line="720" w:lineRule="exact"/>
        <w:ind w:left="0" w:leftChars="0" w:right="0" w:firstLine="0" w:firstLineChars="0"/>
        <w:jc w:val="center"/>
        <w:textAlignment w:val="auto"/>
        <w:outlineLvl w:val="9"/>
        <w:rPr>
          <w:rFonts w:hint="eastAsia" w:ascii="方正小标宋_GBK" w:hAnsi="方正小标宋_GBK" w:eastAsia="方正小标宋_GBK" w:cs="方正小标宋_GBK"/>
          <w:spacing w:val="0"/>
          <w:kern w:val="2"/>
          <w:sz w:val="44"/>
          <w:szCs w:val="44"/>
          <w:lang w:eastAsia="zh-CN"/>
        </w:rPr>
      </w:pPr>
      <w:r>
        <w:rPr>
          <w:rFonts w:hint="eastAsia" w:ascii="方正小标宋_GBK" w:hAnsi="方正小标宋_GBK" w:eastAsia="方正小标宋_GBK" w:cs="方正小标宋_GBK"/>
          <w:spacing w:val="0"/>
          <w:kern w:val="2"/>
          <w:sz w:val="44"/>
          <w:szCs w:val="44"/>
          <w:lang w:eastAsia="zh-CN"/>
        </w:rPr>
        <w:t>广西壮族自治区边民互市贸易进口商品</w:t>
      </w:r>
    </w:p>
    <w:p>
      <w:pPr>
        <w:widowControl w:val="0"/>
        <w:kinsoku w:val="0"/>
        <w:wordWrap/>
        <w:autoSpaceDE w:val="0"/>
        <w:autoSpaceDN w:val="0"/>
        <w:adjustRightInd/>
        <w:snapToGrid/>
        <w:spacing w:line="720" w:lineRule="exact"/>
        <w:ind w:left="0" w:leftChars="0" w:right="0" w:firstLine="0" w:firstLineChars="0"/>
        <w:jc w:val="center"/>
        <w:textAlignment w:val="auto"/>
        <w:outlineLvl w:val="9"/>
        <w:rPr>
          <w:rFonts w:hint="eastAsia" w:ascii="方正小标宋_GBK" w:hAnsi="方正小标宋_GBK" w:eastAsia="方正小标宋_GBK" w:cs="方正小标宋_GBK"/>
          <w:spacing w:val="0"/>
          <w:sz w:val="44"/>
          <w:szCs w:val="44"/>
          <w:lang w:eastAsia="zh-CN"/>
        </w:rPr>
      </w:pPr>
      <w:r>
        <w:rPr>
          <w:rFonts w:hint="eastAsia" w:ascii="方正小标宋_GBK" w:hAnsi="方正小标宋_GBK" w:eastAsia="方正小标宋_GBK" w:cs="方正小标宋_GBK"/>
          <w:spacing w:val="0"/>
          <w:kern w:val="2"/>
          <w:sz w:val="44"/>
          <w:szCs w:val="44"/>
          <w:lang w:eastAsia="zh-CN"/>
        </w:rPr>
        <w:t>落地加工试点外汇结算操作规程</w:t>
      </w:r>
    </w:p>
    <w:p>
      <w:pPr>
        <w:widowControl/>
        <w:kinsoku w:val="0"/>
        <w:wordWrap/>
        <w:autoSpaceDE w:val="0"/>
        <w:autoSpaceDN w:val="0"/>
        <w:adjustRightInd/>
        <w:snapToGrid/>
        <w:spacing w:line="570" w:lineRule="exact"/>
        <w:ind w:left="0" w:leftChars="0" w:right="0" w:firstLine="0" w:firstLineChars="0"/>
        <w:jc w:val="left"/>
        <w:textAlignment w:val="baseline"/>
        <w:outlineLvl w:val="9"/>
        <w:rPr>
          <w:rFonts w:ascii="Times New Roman" w:hAnsi="Times New Roman" w:eastAsia="黑体" w:cs="Times New Roman"/>
          <w:spacing w:val="0"/>
          <w:sz w:val="32"/>
          <w:szCs w:val="32"/>
          <w:lang w:eastAsia="zh-CN"/>
        </w:rPr>
      </w:pPr>
    </w:p>
    <w:p>
      <w:pPr>
        <w:kinsoku w:val="0"/>
        <w:wordWrap/>
        <w:autoSpaceDE w:val="0"/>
        <w:autoSpaceDN w:val="0"/>
        <w:adjustRightInd/>
        <w:snapToGrid/>
        <w:spacing w:line="570" w:lineRule="exact"/>
        <w:ind w:left="0" w:leftChars="0" w:right="0" w:firstLine="630" w:firstLineChars="200"/>
        <w:jc w:val="both"/>
        <w:outlineLvl w:val="9"/>
        <w:rPr>
          <w:rFonts w:ascii="Times New Roman" w:hAnsi="Times New Roman" w:eastAsia="黑体" w:cs="Times New Roman"/>
          <w:b w:val="0"/>
          <w:bCs w:val="0"/>
          <w:spacing w:val="0"/>
          <w:sz w:val="32"/>
          <w:szCs w:val="32"/>
          <w:lang w:eastAsia="zh-CN"/>
        </w:rPr>
      </w:pPr>
      <w:r>
        <w:rPr>
          <w:rFonts w:hint="eastAsia" w:ascii="Times New Roman" w:hAnsi="黑体" w:eastAsia="黑体" w:cs="Times New Roman"/>
          <w:b w:val="0"/>
          <w:bCs w:val="0"/>
          <w:spacing w:val="0"/>
          <w:sz w:val="32"/>
          <w:szCs w:val="32"/>
          <w:lang w:eastAsia="zh-CN"/>
        </w:rPr>
        <w:t>一、适用范围</w:t>
      </w:r>
    </w:p>
    <w:p>
      <w:pPr>
        <w:widowControl w:val="0"/>
        <w:kinsoku w:val="0"/>
        <w:wordWrap/>
        <w:autoSpaceDE w:val="0"/>
        <w:autoSpaceDN w:val="0"/>
        <w:adjustRightInd/>
        <w:snapToGrid/>
        <w:spacing w:line="570" w:lineRule="exact"/>
        <w:ind w:left="0" w:leftChars="0" w:right="0" w:firstLine="630" w:firstLineChars="200"/>
        <w:jc w:val="both"/>
        <w:textAlignment w:val="auto"/>
        <w:outlineLvl w:val="9"/>
        <w:rPr>
          <w:rFonts w:ascii="Times New Roman" w:hAnsi="Times New Roman" w:eastAsia="仿宋_GB2312" w:cs="Times New Roman"/>
          <w:b w:val="0"/>
          <w:bCs w:val="0"/>
          <w:color w:val="auto"/>
          <w:spacing w:val="0"/>
          <w:kern w:val="2"/>
          <w:sz w:val="32"/>
          <w:szCs w:val="32"/>
          <w:lang w:eastAsia="zh-CN"/>
        </w:rPr>
      </w:pPr>
      <w:r>
        <w:rPr>
          <w:rFonts w:hint="eastAsia" w:ascii="Times New Roman" w:hAnsi="Times New Roman" w:eastAsia="仿宋_GB2312" w:cs="Times New Roman"/>
          <w:b w:val="0"/>
          <w:bCs w:val="0"/>
          <w:color w:val="auto"/>
          <w:spacing w:val="0"/>
          <w:kern w:val="2"/>
          <w:sz w:val="32"/>
          <w:szCs w:val="32"/>
          <w:lang w:eastAsia="zh-CN"/>
        </w:rPr>
        <w:t>本操作规程适用于广西壮族自治区边民互市贸易进口商品落地加工试点（以下简称新型互市贸易）代理付汇业务。新型互市贸易是指经批准的广西壮族自治区边境县（市、区）边民为服务落地加工企业生产，自周边国家进口原材料，委托符合条件的代理企业对外签订合同并办理付汇的边民互市贸易。</w:t>
      </w:r>
    </w:p>
    <w:p>
      <w:pPr>
        <w:kinsoku w:val="0"/>
        <w:wordWrap/>
        <w:autoSpaceDE w:val="0"/>
        <w:autoSpaceDN w:val="0"/>
        <w:adjustRightInd/>
        <w:snapToGrid/>
        <w:spacing w:line="570" w:lineRule="exact"/>
        <w:ind w:left="0" w:leftChars="0" w:right="0" w:firstLine="630" w:firstLineChars="200"/>
        <w:jc w:val="both"/>
        <w:outlineLvl w:val="9"/>
        <w:rPr>
          <w:rFonts w:ascii="Times New Roman" w:hAnsi="Times New Roman" w:eastAsia="黑体" w:cs="Times New Roman"/>
          <w:b w:val="0"/>
          <w:bCs w:val="0"/>
          <w:spacing w:val="0"/>
          <w:sz w:val="32"/>
          <w:szCs w:val="32"/>
          <w:lang w:eastAsia="zh-CN"/>
        </w:rPr>
      </w:pPr>
      <w:r>
        <w:rPr>
          <w:rFonts w:hint="eastAsia" w:ascii="Times New Roman" w:hAnsi="黑体" w:eastAsia="黑体" w:cs="Times New Roman"/>
          <w:b w:val="0"/>
          <w:bCs w:val="0"/>
          <w:spacing w:val="0"/>
          <w:sz w:val="32"/>
          <w:szCs w:val="32"/>
          <w:lang w:eastAsia="zh-CN"/>
        </w:rPr>
        <w:t>二、</w:t>
      </w:r>
      <w:r>
        <w:rPr>
          <w:rFonts w:ascii="Times New Roman" w:hAnsi="黑体" w:eastAsia="黑体" w:cs="Times New Roman"/>
          <w:b w:val="0"/>
          <w:bCs w:val="0"/>
          <w:spacing w:val="0"/>
          <w:sz w:val="32"/>
          <w:szCs w:val="32"/>
          <w:lang w:eastAsia="zh-CN"/>
        </w:rPr>
        <w:t>新型</w:t>
      </w:r>
      <w:r>
        <w:rPr>
          <w:rFonts w:hint="eastAsia" w:ascii="Times New Roman" w:hAnsi="黑体" w:eastAsia="黑体" w:cs="Times New Roman"/>
          <w:b w:val="0"/>
          <w:bCs w:val="0"/>
          <w:spacing w:val="0"/>
          <w:sz w:val="32"/>
          <w:szCs w:val="32"/>
          <w:lang w:eastAsia="zh-CN"/>
        </w:rPr>
        <w:t>互市贸易代理付汇业务管理</w:t>
      </w:r>
    </w:p>
    <w:p>
      <w:pPr>
        <w:kinsoku w:val="0"/>
        <w:wordWrap/>
        <w:autoSpaceDE w:val="0"/>
        <w:autoSpaceDN w:val="0"/>
        <w:adjustRightInd/>
        <w:snapToGrid/>
        <w:spacing w:line="570" w:lineRule="exact"/>
        <w:ind w:left="0" w:leftChars="0" w:right="0" w:firstLine="630" w:firstLineChars="200"/>
        <w:jc w:val="both"/>
        <w:outlineLvl w:val="9"/>
        <w:rPr>
          <w:rFonts w:ascii="Times New Roman" w:hAnsi="Times New Roman" w:eastAsia="楷体_GB2312" w:cs="Times New Roman"/>
          <w:b w:val="0"/>
          <w:bCs w:val="0"/>
          <w:spacing w:val="0"/>
          <w:sz w:val="32"/>
          <w:szCs w:val="32"/>
          <w:lang w:eastAsia="zh-CN"/>
        </w:rPr>
      </w:pPr>
      <w:r>
        <w:rPr>
          <w:rFonts w:hint="eastAsia" w:ascii="Times New Roman" w:hAnsi="楷体_GB2312" w:eastAsia="楷体_GB2312" w:cs="Times New Roman"/>
          <w:b w:val="0"/>
          <w:bCs w:val="0"/>
          <w:spacing w:val="0"/>
          <w:sz w:val="32"/>
          <w:szCs w:val="32"/>
          <w:lang w:eastAsia="zh-CN"/>
        </w:rPr>
        <w:t>（一）业务主体管理</w:t>
      </w:r>
    </w:p>
    <w:p>
      <w:pPr>
        <w:widowControl w:val="0"/>
        <w:kinsoku w:val="0"/>
        <w:wordWrap/>
        <w:autoSpaceDE w:val="0"/>
        <w:autoSpaceDN w:val="0"/>
        <w:adjustRightInd/>
        <w:snapToGrid/>
        <w:spacing w:line="570" w:lineRule="exact"/>
        <w:ind w:left="0" w:leftChars="0" w:right="0" w:firstLine="630" w:firstLineChars="200"/>
        <w:jc w:val="both"/>
        <w:textAlignment w:val="auto"/>
        <w:outlineLvl w:val="9"/>
        <w:rPr>
          <w:rFonts w:hint="eastAsia" w:ascii="仿宋_GB2312" w:hAnsi="仿宋_GB2312" w:eastAsia="仿宋_GB2312" w:cs="仿宋_GB2312"/>
          <w:b w:val="0"/>
          <w:bCs w:val="0"/>
          <w:spacing w:val="0"/>
          <w:kern w:val="2"/>
          <w:sz w:val="32"/>
          <w:szCs w:val="32"/>
          <w:lang w:eastAsia="zh-CN"/>
        </w:rPr>
      </w:pPr>
      <w:r>
        <w:rPr>
          <w:rFonts w:hint="eastAsia" w:ascii="仿宋_GB2312" w:hAnsi="仿宋_GB2312" w:eastAsia="仿宋_GB2312" w:cs="仿宋_GB2312"/>
          <w:b w:val="0"/>
          <w:bCs w:val="0"/>
          <w:spacing w:val="0"/>
          <w:kern w:val="2"/>
          <w:sz w:val="32"/>
          <w:szCs w:val="32"/>
          <w:lang w:eastAsia="zh-CN"/>
        </w:rPr>
        <w:t>1.代理企业</w:t>
      </w:r>
      <w:bookmarkStart w:id="0" w:name="_GoBack"/>
      <w:bookmarkEnd w:id="0"/>
    </w:p>
    <w:p>
      <w:pPr>
        <w:widowControl w:val="0"/>
        <w:kinsoku w:val="0"/>
        <w:wordWrap/>
        <w:autoSpaceDE w:val="0"/>
        <w:autoSpaceDN w:val="0"/>
        <w:adjustRightInd/>
        <w:snapToGrid/>
        <w:spacing w:line="570" w:lineRule="exact"/>
        <w:ind w:left="0" w:leftChars="0" w:right="0" w:firstLine="630" w:firstLineChars="200"/>
        <w:jc w:val="both"/>
        <w:textAlignment w:val="auto"/>
        <w:outlineLvl w:val="9"/>
        <w:rPr>
          <w:rFonts w:hint="eastAsia" w:ascii="仿宋_GB2312" w:hAnsi="仿宋_GB2312" w:eastAsia="仿宋_GB2312" w:cs="仿宋_GB2312"/>
          <w:b w:val="0"/>
          <w:bCs w:val="0"/>
          <w:spacing w:val="0"/>
          <w:kern w:val="2"/>
          <w:sz w:val="32"/>
          <w:szCs w:val="32"/>
          <w:lang w:eastAsia="zh-CN"/>
        </w:rPr>
      </w:pPr>
      <w:r>
        <w:rPr>
          <w:rFonts w:hint="eastAsia" w:ascii="仿宋_GB2312" w:hAnsi="仿宋_GB2312" w:eastAsia="仿宋_GB2312" w:cs="仿宋_GB2312"/>
          <w:b w:val="0"/>
          <w:bCs w:val="0"/>
          <w:spacing w:val="0"/>
          <w:kern w:val="2"/>
          <w:sz w:val="32"/>
          <w:szCs w:val="32"/>
          <w:lang w:eastAsia="zh-CN"/>
        </w:rPr>
        <w:t>（1）经属地商务部门备案</w:t>
      </w:r>
      <w:r>
        <w:rPr>
          <w:rFonts w:hint="eastAsia" w:ascii="仿宋_GB2312" w:hAnsi="仿宋_GB2312" w:cs="仿宋_GB2312"/>
          <w:b w:val="0"/>
          <w:bCs w:val="0"/>
          <w:spacing w:val="0"/>
          <w:kern w:val="2"/>
          <w:sz w:val="32"/>
          <w:szCs w:val="32"/>
          <w:lang w:eastAsia="zh-CN"/>
        </w:rPr>
        <w:t>，符合边民互市贸易管理相关要求的代理</w:t>
      </w:r>
      <w:r>
        <w:rPr>
          <w:rFonts w:hint="eastAsia" w:ascii="仿宋_GB2312" w:hAnsi="仿宋_GB2312" w:eastAsia="仿宋_GB2312" w:cs="仿宋_GB2312"/>
          <w:b w:val="0"/>
          <w:bCs w:val="0"/>
          <w:spacing w:val="0"/>
          <w:kern w:val="2"/>
          <w:sz w:val="32"/>
          <w:szCs w:val="32"/>
          <w:lang w:eastAsia="zh-CN"/>
        </w:rPr>
        <w:t>企业（含边民合作社）；</w:t>
      </w:r>
    </w:p>
    <w:p>
      <w:pPr>
        <w:widowControl w:val="0"/>
        <w:kinsoku w:val="0"/>
        <w:wordWrap/>
        <w:autoSpaceDE w:val="0"/>
        <w:autoSpaceDN w:val="0"/>
        <w:adjustRightInd/>
        <w:snapToGrid/>
        <w:spacing w:line="570" w:lineRule="exact"/>
        <w:ind w:left="0" w:leftChars="0" w:right="0" w:firstLine="630" w:firstLineChars="200"/>
        <w:jc w:val="both"/>
        <w:textAlignment w:val="auto"/>
        <w:outlineLvl w:val="9"/>
        <w:rPr>
          <w:rFonts w:hint="eastAsia" w:ascii="仿宋_GB2312" w:hAnsi="仿宋_GB2312" w:eastAsia="仿宋_GB2312" w:cs="仿宋_GB2312"/>
          <w:b w:val="0"/>
          <w:bCs w:val="0"/>
          <w:spacing w:val="0"/>
          <w:kern w:val="2"/>
          <w:sz w:val="32"/>
          <w:szCs w:val="32"/>
          <w:lang w:eastAsia="zh-CN"/>
        </w:rPr>
      </w:pPr>
      <w:r>
        <w:rPr>
          <w:rFonts w:hint="eastAsia" w:ascii="仿宋_GB2312" w:hAnsi="仿宋_GB2312" w:eastAsia="仿宋_GB2312" w:cs="仿宋_GB2312"/>
          <w:b w:val="0"/>
          <w:bCs w:val="0"/>
          <w:spacing w:val="0"/>
          <w:kern w:val="2"/>
          <w:sz w:val="32"/>
          <w:szCs w:val="32"/>
          <w:lang w:eastAsia="zh-CN"/>
        </w:rPr>
        <w:t>（2）货物贸易外汇管理分类结果为A类；</w:t>
      </w:r>
    </w:p>
    <w:p>
      <w:pPr>
        <w:widowControl w:val="0"/>
        <w:kinsoku w:val="0"/>
        <w:wordWrap/>
        <w:autoSpaceDE w:val="0"/>
        <w:autoSpaceDN w:val="0"/>
        <w:adjustRightInd/>
        <w:snapToGrid/>
        <w:spacing w:line="570" w:lineRule="exact"/>
        <w:ind w:left="0" w:leftChars="0" w:right="0" w:firstLine="630" w:firstLineChars="200"/>
        <w:jc w:val="both"/>
        <w:textAlignment w:val="auto"/>
        <w:outlineLvl w:val="9"/>
        <w:rPr>
          <w:rFonts w:hint="eastAsia" w:ascii="仿宋_GB2312" w:hAnsi="仿宋_GB2312" w:eastAsia="仿宋_GB2312" w:cs="仿宋_GB2312"/>
          <w:b w:val="0"/>
          <w:bCs w:val="0"/>
          <w:spacing w:val="0"/>
          <w:kern w:val="2"/>
          <w:sz w:val="32"/>
          <w:szCs w:val="32"/>
          <w:lang w:eastAsia="zh-CN"/>
        </w:rPr>
      </w:pPr>
      <w:r>
        <w:rPr>
          <w:rFonts w:hint="eastAsia" w:ascii="仿宋_GB2312" w:hAnsi="仿宋_GB2312" w:eastAsia="仿宋_GB2312" w:cs="仿宋_GB2312"/>
          <w:b w:val="0"/>
          <w:bCs w:val="0"/>
          <w:spacing w:val="0"/>
          <w:kern w:val="2"/>
          <w:sz w:val="32"/>
          <w:szCs w:val="32"/>
          <w:lang w:eastAsia="zh-CN"/>
        </w:rPr>
        <w:t>（3）无其他重大违法违规行为。</w:t>
      </w:r>
    </w:p>
    <w:p>
      <w:pPr>
        <w:widowControl w:val="0"/>
        <w:kinsoku w:val="0"/>
        <w:wordWrap/>
        <w:autoSpaceDE w:val="0"/>
        <w:autoSpaceDN w:val="0"/>
        <w:adjustRightInd/>
        <w:snapToGrid/>
        <w:spacing w:line="570" w:lineRule="exact"/>
        <w:ind w:left="0" w:leftChars="0" w:right="0" w:firstLine="630" w:firstLineChars="200"/>
        <w:jc w:val="both"/>
        <w:textAlignment w:val="auto"/>
        <w:outlineLvl w:val="9"/>
        <w:rPr>
          <w:rFonts w:hint="eastAsia" w:ascii="仿宋_GB2312" w:hAnsi="仿宋_GB2312" w:eastAsia="仿宋_GB2312" w:cs="仿宋_GB2312"/>
          <w:b w:val="0"/>
          <w:bCs w:val="0"/>
          <w:spacing w:val="0"/>
          <w:kern w:val="2"/>
          <w:sz w:val="32"/>
          <w:szCs w:val="32"/>
          <w:lang w:eastAsia="zh-CN"/>
        </w:rPr>
      </w:pPr>
      <w:r>
        <w:rPr>
          <w:rFonts w:hint="eastAsia" w:ascii="仿宋_GB2312" w:hAnsi="仿宋_GB2312" w:eastAsia="仿宋_GB2312" w:cs="仿宋_GB2312"/>
          <w:b w:val="0"/>
          <w:bCs w:val="0"/>
          <w:spacing w:val="0"/>
          <w:kern w:val="2"/>
          <w:sz w:val="32"/>
          <w:szCs w:val="32"/>
          <w:lang w:eastAsia="zh-CN"/>
        </w:rPr>
        <w:t>2.边民</w:t>
      </w:r>
      <w:r>
        <w:rPr>
          <w:rStyle w:val="9"/>
          <w:rFonts w:hint="eastAsia" w:ascii="仿宋_GB2312" w:hAnsi="仿宋_GB2312" w:eastAsia="仿宋_GB2312" w:cs="仿宋_GB2312"/>
          <w:b w:val="0"/>
          <w:bCs w:val="0"/>
          <w:spacing w:val="0"/>
          <w:kern w:val="2"/>
          <w:sz w:val="32"/>
          <w:szCs w:val="32"/>
          <w:lang w:eastAsia="zh-CN"/>
        </w:rPr>
        <w:footnoteReference w:id="0"/>
      </w:r>
    </w:p>
    <w:p>
      <w:pPr>
        <w:widowControl w:val="0"/>
        <w:kinsoku w:val="0"/>
        <w:wordWrap/>
        <w:autoSpaceDE w:val="0"/>
        <w:autoSpaceDN w:val="0"/>
        <w:adjustRightInd/>
        <w:snapToGrid/>
        <w:spacing w:line="570" w:lineRule="exact"/>
        <w:ind w:left="0" w:leftChars="0" w:right="0" w:firstLine="630" w:firstLineChars="200"/>
        <w:jc w:val="both"/>
        <w:textAlignment w:val="auto"/>
        <w:outlineLvl w:val="9"/>
        <w:rPr>
          <w:rFonts w:hint="eastAsia" w:ascii="仿宋_GB2312" w:hAnsi="仿宋_GB2312" w:eastAsia="仿宋_GB2312" w:cs="仿宋_GB2312"/>
          <w:b w:val="0"/>
          <w:bCs w:val="0"/>
          <w:spacing w:val="0"/>
          <w:kern w:val="2"/>
          <w:sz w:val="32"/>
          <w:szCs w:val="32"/>
          <w:lang w:eastAsia="zh-CN"/>
        </w:rPr>
      </w:pPr>
      <w:r>
        <w:rPr>
          <w:rFonts w:hint="eastAsia" w:ascii="仿宋_GB2312" w:hAnsi="仿宋_GB2312" w:eastAsia="仿宋_GB2312" w:cs="仿宋_GB2312"/>
          <w:b w:val="0"/>
          <w:bCs w:val="0"/>
          <w:spacing w:val="0"/>
          <w:kern w:val="2"/>
          <w:sz w:val="32"/>
          <w:szCs w:val="32"/>
          <w:lang w:eastAsia="zh-CN"/>
        </w:rPr>
        <w:t>（1）边民个人</w:t>
      </w:r>
    </w:p>
    <w:p>
      <w:pPr>
        <w:pStyle w:val="3"/>
        <w:kinsoku w:val="0"/>
        <w:wordWrap/>
        <w:autoSpaceDE w:val="0"/>
        <w:autoSpaceDN w:val="0"/>
        <w:spacing w:line="570" w:lineRule="exact"/>
        <w:ind w:left="0" w:leftChars="0" w:right="0" w:firstLine="630" w:firstLineChars="200"/>
        <w:jc w:val="both"/>
        <w:outlineLvl w:val="9"/>
        <w:rPr>
          <w:rFonts w:hint="eastAsia" w:ascii="仿宋_GB2312" w:hAnsi="仿宋_GB2312" w:eastAsia="仿宋_GB2312" w:cs="仿宋_GB2312"/>
          <w:b w:val="0"/>
          <w:bCs w:val="0"/>
          <w:spacing w:val="0"/>
          <w:kern w:val="2"/>
          <w:sz w:val="32"/>
          <w:szCs w:val="32"/>
          <w:lang w:eastAsia="zh-CN"/>
        </w:rPr>
      </w:pPr>
      <w:r>
        <w:rPr>
          <w:rFonts w:hint="eastAsia" w:ascii="仿宋_GB2312" w:hAnsi="仿宋_GB2312" w:eastAsia="仿宋_GB2312" w:cs="仿宋_GB2312"/>
          <w:b w:val="0"/>
          <w:bCs w:val="0"/>
          <w:spacing w:val="0"/>
          <w:kern w:val="2"/>
          <w:sz w:val="32"/>
          <w:szCs w:val="32"/>
          <w:lang w:eastAsia="zh-CN"/>
        </w:rPr>
        <w:t>①</w:t>
      </w:r>
      <w:r>
        <w:rPr>
          <w:rFonts w:hint="eastAsia" w:ascii="仿宋_GB2312" w:hAnsi="仿宋_GB2312" w:eastAsia="仿宋_GB2312" w:cs="仿宋_GB2312"/>
          <w:b w:val="0"/>
          <w:bCs w:val="0"/>
          <w:spacing w:val="-6"/>
          <w:kern w:val="2"/>
          <w:sz w:val="32"/>
          <w:szCs w:val="32"/>
          <w:lang w:eastAsia="zh-CN"/>
        </w:rPr>
        <w:t>经属地商务部门备案，且未被纳入个人外汇业务系统</w:t>
      </w:r>
      <w:r>
        <w:rPr>
          <w:rFonts w:hint="eastAsia" w:ascii="仿宋_GB2312" w:hAnsi="仿宋_GB2312" w:cs="仿宋_GB2312"/>
          <w:b w:val="0"/>
          <w:bCs w:val="0"/>
          <w:spacing w:val="-6"/>
          <w:kern w:val="2"/>
          <w:sz w:val="32"/>
          <w:szCs w:val="32"/>
          <w:lang w:eastAsia="zh-CN"/>
        </w:rPr>
        <w:t>“</w:t>
      </w:r>
      <w:r>
        <w:rPr>
          <w:rFonts w:hint="eastAsia" w:ascii="仿宋_GB2312" w:hAnsi="仿宋_GB2312" w:eastAsia="仿宋_GB2312" w:cs="仿宋_GB2312"/>
          <w:b w:val="0"/>
          <w:bCs w:val="0"/>
          <w:spacing w:val="-6"/>
          <w:kern w:val="2"/>
          <w:sz w:val="32"/>
          <w:szCs w:val="32"/>
          <w:lang w:eastAsia="zh-CN"/>
        </w:rPr>
        <w:t>关注名单</w:t>
      </w:r>
      <w:r>
        <w:rPr>
          <w:rFonts w:hint="eastAsia" w:ascii="仿宋_GB2312" w:hAnsi="仿宋_GB2312" w:cs="仿宋_GB2312"/>
          <w:b w:val="0"/>
          <w:bCs w:val="0"/>
          <w:spacing w:val="-6"/>
          <w:kern w:val="2"/>
          <w:sz w:val="32"/>
          <w:szCs w:val="32"/>
          <w:lang w:eastAsia="zh-CN"/>
        </w:rPr>
        <w:t>”</w:t>
      </w:r>
      <w:r>
        <w:rPr>
          <w:rFonts w:hint="eastAsia" w:ascii="仿宋_GB2312" w:hAnsi="仿宋_GB2312" w:eastAsia="仿宋_GB2312" w:cs="仿宋_GB2312"/>
          <w:b w:val="0"/>
          <w:bCs w:val="0"/>
          <w:spacing w:val="-6"/>
          <w:kern w:val="2"/>
          <w:sz w:val="32"/>
          <w:szCs w:val="32"/>
          <w:lang w:eastAsia="zh-CN"/>
        </w:rPr>
        <w:t>或</w:t>
      </w:r>
      <w:r>
        <w:rPr>
          <w:rFonts w:hint="eastAsia" w:ascii="仿宋_GB2312" w:hAnsi="仿宋_GB2312" w:cs="仿宋_GB2312"/>
          <w:b w:val="0"/>
          <w:bCs w:val="0"/>
          <w:spacing w:val="-6"/>
          <w:kern w:val="2"/>
          <w:sz w:val="32"/>
          <w:szCs w:val="32"/>
          <w:lang w:eastAsia="zh-CN"/>
        </w:rPr>
        <w:t>“</w:t>
      </w:r>
      <w:r>
        <w:rPr>
          <w:rFonts w:hint="eastAsia" w:ascii="仿宋_GB2312" w:hAnsi="仿宋_GB2312" w:eastAsia="仿宋_GB2312" w:cs="仿宋_GB2312"/>
          <w:b w:val="0"/>
          <w:bCs w:val="0"/>
          <w:spacing w:val="-6"/>
          <w:kern w:val="2"/>
          <w:sz w:val="32"/>
          <w:szCs w:val="32"/>
          <w:lang w:eastAsia="zh-CN"/>
        </w:rPr>
        <w:t>预关注名单</w:t>
      </w:r>
      <w:r>
        <w:rPr>
          <w:rFonts w:hint="eastAsia" w:ascii="仿宋_GB2312" w:hAnsi="仿宋_GB2312" w:cs="仿宋_GB2312"/>
          <w:b w:val="0"/>
          <w:bCs w:val="0"/>
          <w:spacing w:val="-6"/>
          <w:kern w:val="2"/>
          <w:sz w:val="32"/>
          <w:szCs w:val="32"/>
          <w:lang w:eastAsia="zh-CN"/>
        </w:rPr>
        <w:t>”</w:t>
      </w:r>
      <w:r>
        <w:rPr>
          <w:rFonts w:hint="eastAsia" w:ascii="仿宋_GB2312" w:hAnsi="仿宋_GB2312" w:eastAsia="仿宋_GB2312" w:cs="仿宋_GB2312"/>
          <w:b w:val="0"/>
          <w:bCs w:val="0"/>
          <w:spacing w:val="-6"/>
          <w:kern w:val="2"/>
          <w:sz w:val="32"/>
          <w:szCs w:val="32"/>
          <w:lang w:eastAsia="zh-CN"/>
        </w:rPr>
        <w:t>；</w:t>
      </w:r>
    </w:p>
    <w:p>
      <w:pPr>
        <w:widowControl w:val="0"/>
        <w:kinsoku w:val="0"/>
        <w:wordWrap/>
        <w:autoSpaceDE w:val="0"/>
        <w:autoSpaceDN w:val="0"/>
        <w:adjustRightInd/>
        <w:snapToGrid/>
        <w:spacing w:line="570" w:lineRule="exact"/>
        <w:ind w:left="0" w:leftChars="0" w:right="0" w:firstLine="630" w:firstLineChars="200"/>
        <w:jc w:val="both"/>
        <w:textAlignment w:val="auto"/>
        <w:outlineLvl w:val="9"/>
        <w:rPr>
          <w:rFonts w:hint="eastAsia" w:ascii="仿宋_GB2312" w:hAnsi="仿宋_GB2312" w:eastAsia="仿宋_GB2312" w:cs="仿宋_GB2312"/>
          <w:b w:val="0"/>
          <w:bCs w:val="0"/>
          <w:spacing w:val="0"/>
          <w:kern w:val="2"/>
          <w:sz w:val="32"/>
          <w:szCs w:val="32"/>
          <w:lang w:eastAsia="zh-CN"/>
        </w:rPr>
      </w:pPr>
      <w:r>
        <w:rPr>
          <w:rFonts w:hint="eastAsia" w:ascii="仿宋_GB2312" w:hAnsi="仿宋_GB2312" w:eastAsia="仿宋_GB2312" w:cs="仿宋_GB2312"/>
          <w:b w:val="0"/>
          <w:bCs w:val="0"/>
          <w:spacing w:val="0"/>
          <w:kern w:val="2"/>
          <w:sz w:val="32"/>
          <w:szCs w:val="32"/>
          <w:lang w:eastAsia="zh-CN"/>
        </w:rPr>
        <w:t>②</w:t>
      </w:r>
      <w:r>
        <w:rPr>
          <w:rFonts w:hint="eastAsia" w:ascii="仿宋_GB2312" w:hAnsi="仿宋_GB2312" w:eastAsia="仿宋_GB2312" w:cs="仿宋_GB2312"/>
          <w:b w:val="0"/>
          <w:bCs w:val="0"/>
          <w:color w:val="auto"/>
          <w:spacing w:val="0"/>
          <w:kern w:val="2"/>
          <w:sz w:val="32"/>
          <w:szCs w:val="32"/>
          <w:lang w:eastAsia="zh-CN"/>
        </w:rPr>
        <w:t>无其他重大违法违规行为。</w:t>
      </w:r>
    </w:p>
    <w:p>
      <w:pPr>
        <w:widowControl w:val="0"/>
        <w:numPr>
          <w:ilvl w:val="0"/>
          <w:numId w:val="1"/>
        </w:numPr>
        <w:kinsoku w:val="0"/>
        <w:wordWrap/>
        <w:autoSpaceDE w:val="0"/>
        <w:autoSpaceDN w:val="0"/>
        <w:adjustRightInd/>
        <w:snapToGrid/>
        <w:spacing w:line="570" w:lineRule="exact"/>
        <w:ind w:left="0" w:leftChars="0" w:right="0" w:firstLine="630" w:firstLineChars="200"/>
        <w:jc w:val="both"/>
        <w:textAlignment w:val="auto"/>
        <w:outlineLvl w:val="9"/>
        <w:rPr>
          <w:rFonts w:hint="eastAsia" w:ascii="仿宋_GB2312" w:hAnsi="仿宋_GB2312" w:eastAsia="仿宋_GB2312" w:cs="仿宋_GB2312"/>
          <w:b w:val="0"/>
          <w:bCs w:val="0"/>
          <w:color w:val="auto"/>
          <w:spacing w:val="0"/>
          <w:kern w:val="2"/>
          <w:sz w:val="32"/>
          <w:szCs w:val="32"/>
          <w:lang w:eastAsia="zh-CN"/>
        </w:rPr>
      </w:pPr>
      <w:r>
        <w:rPr>
          <w:rFonts w:hint="eastAsia" w:ascii="仿宋_GB2312" w:hAnsi="仿宋_GB2312" w:eastAsia="仿宋_GB2312" w:cs="仿宋_GB2312"/>
          <w:b w:val="0"/>
          <w:bCs w:val="0"/>
          <w:color w:val="auto"/>
          <w:spacing w:val="0"/>
          <w:kern w:val="2"/>
          <w:sz w:val="32"/>
          <w:szCs w:val="32"/>
          <w:lang w:eastAsia="zh-CN"/>
        </w:rPr>
        <w:t>边民合作社（互助组）</w:t>
      </w:r>
    </w:p>
    <w:p>
      <w:pPr>
        <w:widowControl w:val="0"/>
        <w:kinsoku w:val="0"/>
        <w:wordWrap/>
        <w:autoSpaceDE w:val="0"/>
        <w:autoSpaceDN w:val="0"/>
        <w:adjustRightInd/>
        <w:snapToGrid/>
        <w:spacing w:line="570" w:lineRule="exact"/>
        <w:ind w:left="0" w:leftChars="0" w:right="0" w:firstLine="630" w:firstLineChars="200"/>
        <w:jc w:val="both"/>
        <w:textAlignment w:val="auto"/>
        <w:outlineLvl w:val="9"/>
        <w:rPr>
          <w:rFonts w:hint="eastAsia" w:ascii="仿宋_GB2312" w:hAnsi="仿宋_GB2312" w:eastAsia="仿宋_GB2312" w:cs="仿宋_GB2312"/>
          <w:b w:val="0"/>
          <w:bCs w:val="0"/>
          <w:spacing w:val="0"/>
          <w:kern w:val="2"/>
          <w:sz w:val="32"/>
          <w:szCs w:val="32"/>
          <w:lang w:eastAsia="zh-CN"/>
        </w:rPr>
      </w:pPr>
      <w:r>
        <w:rPr>
          <w:rFonts w:hint="eastAsia" w:ascii="仿宋_GB2312" w:hAnsi="仿宋_GB2312" w:eastAsia="仿宋_GB2312" w:cs="仿宋_GB2312"/>
          <w:b w:val="0"/>
          <w:bCs w:val="0"/>
          <w:spacing w:val="0"/>
          <w:kern w:val="2"/>
          <w:sz w:val="32"/>
          <w:szCs w:val="32"/>
          <w:lang w:eastAsia="zh-CN"/>
        </w:rPr>
        <w:t>①经属地市场监</w:t>
      </w:r>
      <w:r>
        <w:rPr>
          <w:rFonts w:hint="eastAsia" w:ascii="仿宋_GB2312" w:hAnsi="仿宋_GB2312" w:cs="仿宋_GB2312"/>
          <w:b w:val="0"/>
          <w:bCs w:val="0"/>
          <w:spacing w:val="0"/>
          <w:kern w:val="2"/>
          <w:sz w:val="32"/>
          <w:szCs w:val="32"/>
          <w:lang w:eastAsia="zh-CN"/>
        </w:rPr>
        <w:t>督</w:t>
      </w:r>
      <w:r>
        <w:rPr>
          <w:rFonts w:hint="eastAsia" w:ascii="仿宋_GB2312" w:hAnsi="仿宋_GB2312" w:eastAsia="仿宋_GB2312" w:cs="仿宋_GB2312"/>
          <w:b w:val="0"/>
          <w:bCs w:val="0"/>
          <w:spacing w:val="0"/>
          <w:kern w:val="2"/>
          <w:sz w:val="32"/>
          <w:szCs w:val="32"/>
          <w:lang w:eastAsia="zh-CN"/>
        </w:rPr>
        <w:t>管</w:t>
      </w:r>
      <w:r>
        <w:rPr>
          <w:rFonts w:hint="eastAsia" w:ascii="仿宋_GB2312" w:hAnsi="仿宋_GB2312" w:cs="仿宋_GB2312"/>
          <w:b w:val="0"/>
          <w:bCs w:val="0"/>
          <w:spacing w:val="0"/>
          <w:kern w:val="2"/>
          <w:sz w:val="32"/>
          <w:szCs w:val="32"/>
          <w:lang w:eastAsia="zh-CN"/>
        </w:rPr>
        <w:t>理</w:t>
      </w:r>
      <w:r>
        <w:rPr>
          <w:rFonts w:hint="eastAsia" w:ascii="仿宋_GB2312" w:hAnsi="仿宋_GB2312" w:eastAsia="仿宋_GB2312" w:cs="仿宋_GB2312"/>
          <w:b w:val="0"/>
          <w:bCs w:val="0"/>
          <w:spacing w:val="0"/>
          <w:kern w:val="2"/>
          <w:sz w:val="32"/>
          <w:szCs w:val="32"/>
          <w:lang w:eastAsia="zh-CN"/>
        </w:rPr>
        <w:t>部门备案登记并取得相应备案资质</w:t>
      </w:r>
      <w:r>
        <w:rPr>
          <w:rFonts w:hint="eastAsia" w:ascii="仿宋_GB2312" w:hAnsi="仿宋_GB2312" w:cs="仿宋_GB2312"/>
          <w:b w:val="0"/>
          <w:bCs w:val="0"/>
          <w:spacing w:val="0"/>
          <w:kern w:val="2"/>
          <w:sz w:val="32"/>
          <w:szCs w:val="32"/>
          <w:lang w:val="en-US" w:eastAsia="zh-CN"/>
        </w:rPr>
        <w:t>;</w:t>
      </w:r>
    </w:p>
    <w:p>
      <w:pPr>
        <w:widowControl w:val="0"/>
        <w:kinsoku w:val="0"/>
        <w:wordWrap/>
        <w:autoSpaceDE w:val="0"/>
        <w:autoSpaceDN w:val="0"/>
        <w:adjustRightInd/>
        <w:snapToGrid/>
        <w:spacing w:line="570" w:lineRule="exact"/>
        <w:ind w:left="0" w:leftChars="0" w:right="0" w:firstLine="630" w:firstLineChars="200"/>
        <w:jc w:val="both"/>
        <w:textAlignment w:val="auto"/>
        <w:outlineLvl w:val="9"/>
        <w:rPr>
          <w:rFonts w:hint="eastAsia" w:ascii="仿宋_GB2312" w:hAnsi="仿宋_GB2312" w:eastAsia="仿宋_GB2312" w:cs="仿宋_GB2312"/>
          <w:b w:val="0"/>
          <w:bCs w:val="0"/>
          <w:spacing w:val="0"/>
          <w:kern w:val="2"/>
          <w:sz w:val="32"/>
          <w:szCs w:val="32"/>
          <w:lang w:eastAsia="zh-CN"/>
        </w:rPr>
      </w:pPr>
      <w:r>
        <w:rPr>
          <w:rFonts w:hint="eastAsia" w:ascii="仿宋_GB2312" w:hAnsi="仿宋_GB2312" w:eastAsia="仿宋_GB2312" w:cs="仿宋_GB2312"/>
          <w:b w:val="0"/>
          <w:bCs w:val="0"/>
          <w:spacing w:val="0"/>
          <w:kern w:val="2"/>
          <w:sz w:val="32"/>
          <w:szCs w:val="32"/>
          <w:lang w:eastAsia="zh-CN"/>
        </w:rPr>
        <w:t>②</w:t>
      </w:r>
      <w:r>
        <w:rPr>
          <w:rFonts w:hint="eastAsia" w:ascii="仿宋_GB2312" w:hAnsi="仿宋_GB2312" w:eastAsia="仿宋_GB2312" w:cs="仿宋_GB2312"/>
          <w:b w:val="0"/>
          <w:bCs w:val="0"/>
          <w:color w:val="auto"/>
          <w:spacing w:val="0"/>
          <w:kern w:val="2"/>
          <w:sz w:val="32"/>
          <w:szCs w:val="32"/>
          <w:lang w:eastAsia="zh-CN"/>
        </w:rPr>
        <w:t>无其他重大违法违规行为。</w:t>
      </w:r>
    </w:p>
    <w:p>
      <w:pPr>
        <w:widowControl w:val="0"/>
        <w:kinsoku w:val="0"/>
        <w:wordWrap/>
        <w:autoSpaceDE w:val="0"/>
        <w:autoSpaceDN w:val="0"/>
        <w:adjustRightInd/>
        <w:snapToGrid/>
        <w:spacing w:line="570" w:lineRule="exact"/>
        <w:ind w:left="0" w:leftChars="0" w:right="0" w:firstLine="630" w:firstLineChars="200"/>
        <w:jc w:val="both"/>
        <w:textAlignment w:val="auto"/>
        <w:outlineLvl w:val="9"/>
        <w:rPr>
          <w:rFonts w:hint="eastAsia" w:ascii="仿宋_GB2312" w:hAnsi="仿宋_GB2312" w:eastAsia="仿宋_GB2312" w:cs="仿宋_GB2312"/>
          <w:b w:val="0"/>
          <w:bCs w:val="0"/>
          <w:color w:val="auto"/>
          <w:spacing w:val="0"/>
          <w:kern w:val="2"/>
          <w:sz w:val="32"/>
          <w:szCs w:val="32"/>
          <w:lang w:eastAsia="zh-CN"/>
        </w:rPr>
      </w:pPr>
      <w:r>
        <w:rPr>
          <w:rFonts w:hint="eastAsia" w:ascii="仿宋_GB2312" w:hAnsi="仿宋_GB2312" w:eastAsia="仿宋_GB2312" w:cs="仿宋_GB2312"/>
          <w:b w:val="0"/>
          <w:bCs w:val="0"/>
          <w:color w:val="auto"/>
          <w:spacing w:val="0"/>
          <w:kern w:val="2"/>
          <w:sz w:val="32"/>
          <w:szCs w:val="32"/>
          <w:lang w:eastAsia="zh-CN"/>
        </w:rPr>
        <w:t>3.落地加工企业</w:t>
      </w:r>
    </w:p>
    <w:p>
      <w:pPr>
        <w:widowControl w:val="0"/>
        <w:kinsoku w:val="0"/>
        <w:wordWrap/>
        <w:autoSpaceDE w:val="0"/>
        <w:autoSpaceDN w:val="0"/>
        <w:adjustRightInd/>
        <w:snapToGrid/>
        <w:spacing w:line="570" w:lineRule="exact"/>
        <w:ind w:left="0" w:leftChars="0" w:right="0" w:firstLine="630" w:firstLineChars="200"/>
        <w:jc w:val="both"/>
        <w:textAlignment w:val="auto"/>
        <w:outlineLvl w:val="9"/>
        <w:rPr>
          <w:rFonts w:hint="eastAsia" w:ascii="仿宋_GB2312" w:hAnsi="仿宋_GB2312" w:eastAsia="仿宋_GB2312" w:cs="仿宋_GB2312"/>
          <w:b w:val="0"/>
          <w:bCs w:val="0"/>
          <w:color w:val="auto"/>
          <w:spacing w:val="0"/>
          <w:kern w:val="2"/>
          <w:sz w:val="32"/>
          <w:szCs w:val="32"/>
          <w:lang w:eastAsia="zh-CN"/>
        </w:rPr>
      </w:pPr>
      <w:r>
        <w:rPr>
          <w:rFonts w:hint="eastAsia" w:ascii="仿宋_GB2312" w:hAnsi="仿宋_GB2312" w:eastAsia="仿宋_GB2312" w:cs="仿宋_GB2312"/>
          <w:b w:val="0"/>
          <w:bCs w:val="0"/>
          <w:color w:val="auto"/>
          <w:spacing w:val="0"/>
          <w:kern w:val="2"/>
          <w:sz w:val="32"/>
          <w:szCs w:val="32"/>
          <w:lang w:eastAsia="zh-CN"/>
        </w:rPr>
        <w:t>（1）</w:t>
      </w:r>
      <w:r>
        <w:rPr>
          <w:rFonts w:hint="eastAsia" w:ascii="仿宋_GB2312" w:hAnsi="仿宋_GB2312" w:eastAsia="仿宋_GB2312" w:cs="仿宋_GB2312"/>
          <w:b w:val="0"/>
          <w:bCs w:val="0"/>
          <w:spacing w:val="0"/>
          <w:kern w:val="2"/>
          <w:sz w:val="32"/>
          <w:szCs w:val="32"/>
          <w:lang w:eastAsia="zh-CN"/>
        </w:rPr>
        <w:t>经属地商务部门备案并取得互市贸易进口商品落地加工企业资质</w:t>
      </w:r>
      <w:r>
        <w:rPr>
          <w:rFonts w:hint="eastAsia" w:ascii="仿宋_GB2312" w:hAnsi="仿宋_GB2312" w:eastAsia="仿宋_GB2312" w:cs="仿宋_GB2312"/>
          <w:b w:val="0"/>
          <w:bCs w:val="0"/>
          <w:color w:val="auto"/>
          <w:spacing w:val="0"/>
          <w:kern w:val="2"/>
          <w:sz w:val="32"/>
          <w:szCs w:val="32"/>
          <w:lang w:eastAsia="zh-CN"/>
        </w:rPr>
        <w:t>；</w:t>
      </w:r>
    </w:p>
    <w:p>
      <w:pPr>
        <w:widowControl w:val="0"/>
        <w:kinsoku w:val="0"/>
        <w:wordWrap/>
        <w:autoSpaceDE w:val="0"/>
        <w:autoSpaceDN w:val="0"/>
        <w:adjustRightInd/>
        <w:snapToGrid/>
        <w:spacing w:line="570" w:lineRule="exact"/>
        <w:ind w:left="0" w:leftChars="0" w:right="0" w:firstLine="630" w:firstLineChars="200"/>
        <w:jc w:val="both"/>
        <w:textAlignment w:val="auto"/>
        <w:outlineLvl w:val="9"/>
        <w:rPr>
          <w:rFonts w:hint="eastAsia" w:ascii="仿宋_GB2312" w:hAnsi="仿宋_GB2312" w:eastAsia="仿宋_GB2312" w:cs="仿宋_GB2312"/>
          <w:b w:val="0"/>
          <w:bCs w:val="0"/>
          <w:color w:val="auto"/>
          <w:spacing w:val="0"/>
          <w:kern w:val="2"/>
          <w:sz w:val="32"/>
          <w:szCs w:val="32"/>
          <w:lang w:eastAsia="zh-CN"/>
        </w:rPr>
      </w:pPr>
      <w:r>
        <w:rPr>
          <w:rFonts w:hint="eastAsia" w:ascii="仿宋_GB2312" w:hAnsi="仿宋_GB2312" w:eastAsia="仿宋_GB2312" w:cs="仿宋_GB2312"/>
          <w:b w:val="0"/>
          <w:bCs w:val="0"/>
          <w:color w:val="auto"/>
          <w:spacing w:val="0"/>
          <w:kern w:val="2"/>
          <w:sz w:val="32"/>
          <w:szCs w:val="32"/>
          <w:lang w:eastAsia="zh-CN"/>
        </w:rPr>
        <w:t>（2）无其他重大违法违规行为。</w:t>
      </w:r>
    </w:p>
    <w:p>
      <w:pPr>
        <w:widowControl w:val="0"/>
        <w:kinsoku w:val="0"/>
        <w:wordWrap/>
        <w:autoSpaceDE w:val="0"/>
        <w:autoSpaceDN w:val="0"/>
        <w:adjustRightInd/>
        <w:snapToGrid/>
        <w:spacing w:line="570" w:lineRule="exact"/>
        <w:ind w:left="0" w:leftChars="0" w:right="0" w:firstLine="630" w:firstLineChars="200"/>
        <w:jc w:val="both"/>
        <w:textAlignment w:val="auto"/>
        <w:outlineLvl w:val="9"/>
        <w:rPr>
          <w:rFonts w:hint="eastAsia" w:ascii="仿宋_GB2312" w:hAnsi="仿宋_GB2312" w:eastAsia="仿宋_GB2312" w:cs="仿宋_GB2312"/>
          <w:b w:val="0"/>
          <w:bCs w:val="0"/>
          <w:color w:val="auto"/>
          <w:spacing w:val="0"/>
          <w:kern w:val="2"/>
          <w:sz w:val="32"/>
          <w:szCs w:val="32"/>
          <w:lang w:eastAsia="zh-CN"/>
        </w:rPr>
      </w:pPr>
      <w:r>
        <w:rPr>
          <w:rFonts w:hint="eastAsia" w:ascii="仿宋_GB2312" w:hAnsi="仿宋_GB2312" w:eastAsia="仿宋_GB2312" w:cs="仿宋_GB2312"/>
          <w:b w:val="0"/>
          <w:bCs w:val="0"/>
          <w:color w:val="auto"/>
          <w:spacing w:val="0"/>
          <w:kern w:val="2"/>
          <w:sz w:val="32"/>
          <w:szCs w:val="32"/>
          <w:lang w:eastAsia="zh-CN"/>
        </w:rPr>
        <w:t>4.经办银行</w:t>
      </w:r>
    </w:p>
    <w:p>
      <w:pPr>
        <w:widowControl w:val="0"/>
        <w:kinsoku w:val="0"/>
        <w:wordWrap/>
        <w:autoSpaceDE w:val="0"/>
        <w:autoSpaceDN w:val="0"/>
        <w:adjustRightInd/>
        <w:snapToGrid/>
        <w:spacing w:line="570" w:lineRule="exact"/>
        <w:ind w:left="0" w:leftChars="0" w:right="0" w:firstLine="630" w:firstLineChars="200"/>
        <w:jc w:val="both"/>
        <w:textAlignment w:val="auto"/>
        <w:outlineLvl w:val="9"/>
        <w:rPr>
          <w:rFonts w:hint="eastAsia" w:ascii="仿宋_GB2312" w:hAnsi="仿宋_GB2312" w:eastAsia="仿宋_GB2312" w:cs="仿宋_GB2312"/>
          <w:b w:val="0"/>
          <w:bCs w:val="0"/>
          <w:color w:val="auto"/>
          <w:spacing w:val="0"/>
          <w:kern w:val="2"/>
          <w:sz w:val="32"/>
          <w:szCs w:val="32"/>
          <w:lang w:eastAsia="zh-CN"/>
        </w:rPr>
      </w:pPr>
      <w:r>
        <w:rPr>
          <w:rFonts w:hint="eastAsia" w:ascii="仿宋_GB2312" w:hAnsi="仿宋_GB2312" w:eastAsia="仿宋_GB2312" w:cs="仿宋_GB2312"/>
          <w:b w:val="0"/>
          <w:bCs w:val="0"/>
          <w:color w:val="auto"/>
          <w:spacing w:val="0"/>
          <w:kern w:val="2"/>
          <w:sz w:val="32"/>
          <w:szCs w:val="32"/>
          <w:lang w:eastAsia="zh-CN"/>
        </w:rPr>
        <w:t>（1）上一年银行外汇业务合规与审慎经营评估原则上在B类（含）及以上，经办银行未直接参与评估的，应以其上一级参与评估分行的评估等级为准；</w:t>
      </w:r>
    </w:p>
    <w:p>
      <w:pPr>
        <w:widowControl w:val="0"/>
        <w:kinsoku w:val="0"/>
        <w:wordWrap/>
        <w:autoSpaceDE w:val="0"/>
        <w:autoSpaceDN w:val="0"/>
        <w:adjustRightInd/>
        <w:snapToGrid/>
        <w:spacing w:line="570" w:lineRule="exact"/>
        <w:ind w:left="0" w:leftChars="0" w:right="0" w:firstLine="630" w:firstLineChars="200"/>
        <w:jc w:val="both"/>
        <w:textAlignment w:val="auto"/>
        <w:outlineLvl w:val="9"/>
        <w:rPr>
          <w:rFonts w:hint="eastAsia" w:ascii="仿宋_GB2312" w:hAnsi="仿宋_GB2312" w:eastAsia="仿宋_GB2312" w:cs="仿宋_GB2312"/>
          <w:b w:val="0"/>
          <w:bCs w:val="0"/>
          <w:color w:val="auto"/>
          <w:spacing w:val="0"/>
          <w:kern w:val="2"/>
          <w:sz w:val="32"/>
          <w:szCs w:val="32"/>
          <w:lang w:eastAsia="zh-CN"/>
        </w:rPr>
      </w:pPr>
      <w:r>
        <w:rPr>
          <w:rFonts w:hint="eastAsia" w:ascii="仿宋_GB2312" w:hAnsi="仿宋_GB2312" w:eastAsia="仿宋_GB2312" w:cs="仿宋_GB2312"/>
          <w:b w:val="0"/>
          <w:bCs w:val="0"/>
          <w:color w:val="auto"/>
          <w:spacing w:val="0"/>
          <w:kern w:val="2"/>
          <w:sz w:val="32"/>
          <w:szCs w:val="32"/>
          <w:lang w:eastAsia="zh-CN"/>
        </w:rPr>
        <w:t>（2）与广西边境口岸互市贸易结算互联互通信息平台（以下简称互联互通平台）实现对接；</w:t>
      </w:r>
    </w:p>
    <w:p>
      <w:pPr>
        <w:widowControl w:val="0"/>
        <w:kinsoku w:val="0"/>
        <w:wordWrap/>
        <w:autoSpaceDE w:val="0"/>
        <w:autoSpaceDN w:val="0"/>
        <w:adjustRightInd/>
        <w:snapToGrid/>
        <w:spacing w:line="570" w:lineRule="exact"/>
        <w:ind w:left="0" w:leftChars="0" w:right="0" w:firstLine="630" w:firstLineChars="200"/>
        <w:jc w:val="both"/>
        <w:textAlignment w:val="auto"/>
        <w:outlineLvl w:val="9"/>
        <w:rPr>
          <w:rFonts w:hint="eastAsia" w:ascii="仿宋_GB2312" w:hAnsi="仿宋_GB2312" w:eastAsia="仿宋_GB2312" w:cs="仿宋_GB2312"/>
          <w:b w:val="0"/>
          <w:bCs w:val="0"/>
          <w:color w:val="auto"/>
          <w:spacing w:val="0"/>
          <w:kern w:val="2"/>
          <w:sz w:val="32"/>
          <w:szCs w:val="32"/>
          <w:lang w:eastAsia="zh-CN"/>
        </w:rPr>
      </w:pPr>
      <w:r>
        <w:rPr>
          <w:rFonts w:hint="eastAsia" w:ascii="仿宋_GB2312" w:hAnsi="仿宋_GB2312" w:eastAsia="仿宋_GB2312" w:cs="仿宋_GB2312"/>
          <w:b w:val="0"/>
          <w:bCs w:val="0"/>
          <w:spacing w:val="0"/>
          <w:kern w:val="2"/>
          <w:sz w:val="32"/>
          <w:szCs w:val="32"/>
          <w:lang w:eastAsia="zh-CN"/>
        </w:rPr>
        <w:t>（3）能够识别客户身份，审核交易背景的真实性，防范交易信息重</w:t>
      </w:r>
      <w:r>
        <w:rPr>
          <w:rFonts w:hint="eastAsia" w:ascii="仿宋_GB2312" w:hAnsi="仿宋_GB2312" w:eastAsia="仿宋_GB2312" w:cs="仿宋_GB2312"/>
          <w:b w:val="0"/>
          <w:bCs w:val="0"/>
          <w:color w:val="auto"/>
          <w:spacing w:val="0"/>
          <w:kern w:val="2"/>
          <w:sz w:val="32"/>
          <w:szCs w:val="32"/>
          <w:lang w:eastAsia="zh-CN"/>
        </w:rPr>
        <w:t>复使用；</w:t>
      </w:r>
    </w:p>
    <w:p>
      <w:pPr>
        <w:widowControl w:val="0"/>
        <w:kinsoku w:val="0"/>
        <w:wordWrap/>
        <w:autoSpaceDE w:val="0"/>
        <w:autoSpaceDN w:val="0"/>
        <w:adjustRightInd/>
        <w:snapToGrid/>
        <w:spacing w:line="570" w:lineRule="exact"/>
        <w:ind w:left="0" w:leftChars="0" w:right="0" w:firstLine="630" w:firstLineChars="200"/>
        <w:jc w:val="both"/>
        <w:textAlignment w:val="auto"/>
        <w:outlineLvl w:val="9"/>
        <w:rPr>
          <w:rFonts w:hint="eastAsia" w:ascii="仿宋_GB2312" w:hAnsi="仿宋_GB2312" w:eastAsia="仿宋_GB2312" w:cs="仿宋_GB2312"/>
          <w:b w:val="0"/>
          <w:bCs w:val="0"/>
          <w:color w:val="auto"/>
          <w:spacing w:val="0"/>
          <w:kern w:val="2"/>
          <w:sz w:val="32"/>
          <w:szCs w:val="32"/>
          <w:lang w:eastAsia="zh-CN"/>
        </w:rPr>
      </w:pPr>
      <w:r>
        <w:rPr>
          <w:rFonts w:hint="eastAsia" w:ascii="仿宋_GB2312" w:hAnsi="仿宋_GB2312" w:eastAsia="仿宋_GB2312" w:cs="仿宋_GB2312"/>
          <w:b w:val="0"/>
          <w:bCs w:val="0"/>
          <w:color w:val="auto"/>
          <w:spacing w:val="0"/>
          <w:kern w:val="2"/>
          <w:sz w:val="32"/>
          <w:szCs w:val="32"/>
          <w:lang w:eastAsia="zh-CN"/>
        </w:rPr>
        <w:t>（4）无其他重大违法违规行为。</w:t>
      </w:r>
    </w:p>
    <w:p>
      <w:pPr>
        <w:kinsoku w:val="0"/>
        <w:wordWrap/>
        <w:autoSpaceDE w:val="0"/>
        <w:autoSpaceDN w:val="0"/>
        <w:adjustRightInd/>
        <w:snapToGrid/>
        <w:spacing w:line="570" w:lineRule="exact"/>
        <w:ind w:left="0" w:leftChars="0" w:right="0" w:firstLine="630" w:firstLineChars="200"/>
        <w:jc w:val="both"/>
        <w:outlineLvl w:val="9"/>
        <w:rPr>
          <w:rFonts w:ascii="Times New Roman" w:hAnsi="Times New Roman" w:eastAsia="楷体_GB2312" w:cs="Times New Roman"/>
          <w:b w:val="0"/>
          <w:bCs w:val="0"/>
          <w:color w:val="auto"/>
          <w:spacing w:val="0"/>
          <w:sz w:val="32"/>
          <w:szCs w:val="32"/>
          <w:lang w:eastAsia="zh-CN"/>
        </w:rPr>
      </w:pPr>
      <w:r>
        <w:rPr>
          <w:rFonts w:hint="eastAsia" w:ascii="Times New Roman" w:hAnsi="楷体_GB2312" w:eastAsia="楷体_GB2312" w:cs="Times New Roman"/>
          <w:b w:val="0"/>
          <w:bCs w:val="0"/>
          <w:spacing w:val="0"/>
          <w:sz w:val="32"/>
          <w:szCs w:val="32"/>
          <w:lang w:eastAsia="zh-CN"/>
        </w:rPr>
        <w:t>（二）</w:t>
      </w:r>
      <w:r>
        <w:rPr>
          <w:rFonts w:hint="eastAsia" w:ascii="Times New Roman" w:hAnsi="楷体_GB2312" w:eastAsia="楷体_GB2312" w:cs="Times New Roman"/>
          <w:b w:val="0"/>
          <w:bCs w:val="0"/>
          <w:color w:val="auto"/>
          <w:spacing w:val="0"/>
          <w:sz w:val="32"/>
          <w:szCs w:val="32"/>
          <w:lang w:eastAsia="zh-CN"/>
        </w:rPr>
        <w:t>购付汇管理</w:t>
      </w:r>
    </w:p>
    <w:p>
      <w:pPr>
        <w:widowControl w:val="0"/>
        <w:kinsoku w:val="0"/>
        <w:wordWrap/>
        <w:autoSpaceDE w:val="0"/>
        <w:autoSpaceDN w:val="0"/>
        <w:adjustRightInd/>
        <w:snapToGrid/>
        <w:spacing w:line="570" w:lineRule="exact"/>
        <w:ind w:left="0" w:leftChars="0" w:right="0" w:firstLine="630" w:firstLineChars="200"/>
        <w:jc w:val="both"/>
        <w:textAlignment w:val="auto"/>
        <w:outlineLvl w:val="9"/>
        <w:rPr>
          <w:rFonts w:ascii="Times New Roman" w:hAnsi="Times New Roman" w:eastAsia="仿宋_GB2312" w:cs="Times New Roman"/>
          <w:b w:val="0"/>
          <w:bCs w:val="0"/>
          <w:color w:val="auto"/>
          <w:spacing w:val="0"/>
          <w:kern w:val="2"/>
          <w:sz w:val="32"/>
          <w:szCs w:val="32"/>
          <w:lang w:eastAsia="zh-CN"/>
        </w:rPr>
      </w:pPr>
      <w:r>
        <w:rPr>
          <w:rFonts w:ascii="Times New Roman" w:hAnsi="Times New Roman" w:eastAsia="仿宋_GB2312" w:cs="Times New Roman"/>
          <w:b w:val="0"/>
          <w:bCs w:val="0"/>
          <w:color w:val="auto"/>
          <w:spacing w:val="0"/>
          <w:kern w:val="2"/>
          <w:sz w:val="32"/>
          <w:szCs w:val="32"/>
          <w:lang w:eastAsia="zh-CN"/>
        </w:rPr>
        <w:t>代理企业</w:t>
      </w:r>
      <w:r>
        <w:rPr>
          <w:rFonts w:hint="eastAsia" w:ascii="Times New Roman" w:hAnsi="Times New Roman" w:eastAsia="仿宋_GB2312" w:cs="Times New Roman"/>
          <w:b w:val="0"/>
          <w:bCs w:val="0"/>
          <w:color w:val="auto"/>
          <w:spacing w:val="0"/>
          <w:kern w:val="2"/>
          <w:sz w:val="32"/>
          <w:szCs w:val="32"/>
          <w:lang w:eastAsia="zh-CN"/>
        </w:rPr>
        <w:t>应与边民建立</w:t>
      </w:r>
      <w:r>
        <w:rPr>
          <w:rFonts w:hint="eastAsia" w:ascii="Times New Roman" w:hAnsi="Times New Roman" w:eastAsia="仿宋_GB2312" w:cs="Times New Roman"/>
          <w:b w:val="0"/>
          <w:bCs w:val="0"/>
          <w:spacing w:val="0"/>
          <w:kern w:val="2"/>
          <w:sz w:val="32"/>
          <w:szCs w:val="32"/>
          <w:lang w:eastAsia="zh-CN"/>
        </w:rPr>
        <w:t>委托代理关系，边民与落地加工企业建立采购合作关系。同一笔新型互市贸易项下，落地加工企业</w:t>
      </w:r>
      <w:r>
        <w:rPr>
          <w:rFonts w:hint="eastAsia" w:ascii="Times New Roman" w:hAnsi="Times New Roman" w:eastAsia="仿宋_GB2312" w:cs="Times New Roman"/>
          <w:b w:val="0"/>
          <w:bCs w:val="0"/>
          <w:spacing w:val="-6"/>
          <w:kern w:val="2"/>
          <w:sz w:val="32"/>
          <w:szCs w:val="32"/>
          <w:lang w:eastAsia="zh-CN"/>
        </w:rPr>
        <w:t>与边民之间的资金境内划转、边民与</w:t>
      </w:r>
      <w:r>
        <w:rPr>
          <w:rFonts w:ascii="Times New Roman" w:hAnsi="Times New Roman" w:eastAsia="仿宋_GB2312" w:cs="Times New Roman"/>
          <w:b w:val="0"/>
          <w:bCs w:val="0"/>
          <w:spacing w:val="-6"/>
          <w:kern w:val="2"/>
          <w:sz w:val="32"/>
          <w:szCs w:val="32"/>
          <w:lang w:eastAsia="zh-CN"/>
        </w:rPr>
        <w:t>代理企业</w:t>
      </w:r>
      <w:r>
        <w:rPr>
          <w:rFonts w:hint="eastAsia" w:ascii="Times New Roman" w:hAnsi="Times New Roman" w:eastAsia="仿宋_GB2312" w:cs="Times New Roman"/>
          <w:b w:val="0"/>
          <w:bCs w:val="0"/>
          <w:spacing w:val="-6"/>
          <w:kern w:val="2"/>
          <w:sz w:val="32"/>
          <w:szCs w:val="32"/>
          <w:lang w:eastAsia="zh-CN"/>
        </w:rPr>
        <w:t>之间的资金境内划转、</w:t>
      </w:r>
      <w:r>
        <w:rPr>
          <w:rFonts w:ascii="Times New Roman" w:hAnsi="Times New Roman" w:eastAsia="仿宋_GB2312" w:cs="Times New Roman"/>
          <w:b w:val="0"/>
          <w:bCs w:val="0"/>
          <w:spacing w:val="-6"/>
          <w:kern w:val="2"/>
          <w:sz w:val="32"/>
          <w:szCs w:val="32"/>
          <w:lang w:eastAsia="zh-CN"/>
        </w:rPr>
        <w:t>代理企业</w:t>
      </w:r>
      <w:r>
        <w:rPr>
          <w:rFonts w:hint="eastAsia" w:ascii="Times New Roman" w:hAnsi="Times New Roman" w:eastAsia="仿宋_GB2312" w:cs="Times New Roman"/>
          <w:b w:val="0"/>
          <w:bCs w:val="0"/>
          <w:spacing w:val="-6"/>
          <w:kern w:val="2"/>
          <w:sz w:val="32"/>
          <w:szCs w:val="32"/>
          <w:lang w:eastAsia="zh-CN"/>
        </w:rPr>
        <w:t>跨境购付汇业务原则上应在同</w:t>
      </w:r>
      <w:r>
        <w:rPr>
          <w:rFonts w:hint="eastAsia" w:ascii="Times New Roman" w:hAnsi="Times New Roman" w:eastAsia="仿宋_GB2312" w:cs="Times New Roman"/>
          <w:b w:val="0"/>
          <w:bCs w:val="0"/>
          <w:color w:val="auto"/>
          <w:spacing w:val="-6"/>
          <w:kern w:val="2"/>
          <w:sz w:val="32"/>
          <w:szCs w:val="32"/>
          <w:lang w:eastAsia="zh-CN"/>
        </w:rPr>
        <w:t>一家银行办理，确保资金境内划转与跨境购付汇全流程管理。不在同一家银行办理但具有真实、合法交易背景的购付汇业务，银行可按</w:t>
      </w:r>
      <w:r>
        <w:rPr>
          <w:rFonts w:hint="eastAsia" w:ascii="Times New Roman" w:hAnsi="Times New Roman" w:cs="Times New Roman"/>
          <w:b w:val="0"/>
          <w:bCs w:val="0"/>
          <w:color w:val="auto"/>
          <w:spacing w:val="-6"/>
          <w:kern w:val="2"/>
          <w:sz w:val="32"/>
          <w:szCs w:val="32"/>
          <w:lang w:eastAsia="zh-CN"/>
        </w:rPr>
        <w:t>“</w:t>
      </w:r>
      <w:r>
        <w:rPr>
          <w:rFonts w:hint="eastAsia" w:ascii="Times New Roman" w:hAnsi="Times New Roman" w:eastAsia="仿宋_GB2312" w:cs="Times New Roman"/>
          <w:b w:val="0"/>
          <w:bCs w:val="0"/>
          <w:color w:val="auto"/>
          <w:spacing w:val="0"/>
          <w:kern w:val="2"/>
          <w:sz w:val="32"/>
          <w:szCs w:val="32"/>
          <w:lang w:eastAsia="zh-CN"/>
        </w:rPr>
        <w:t>实质重于形式</w:t>
      </w:r>
      <w:r>
        <w:rPr>
          <w:rFonts w:hint="eastAsia" w:ascii="Times New Roman" w:hAnsi="Times New Roman" w:cs="Times New Roman"/>
          <w:b w:val="0"/>
          <w:bCs w:val="0"/>
          <w:color w:val="auto"/>
          <w:spacing w:val="0"/>
          <w:kern w:val="2"/>
          <w:sz w:val="32"/>
          <w:szCs w:val="32"/>
          <w:lang w:eastAsia="zh-CN"/>
        </w:rPr>
        <w:t>”</w:t>
      </w:r>
      <w:r>
        <w:rPr>
          <w:rFonts w:hint="eastAsia" w:ascii="Times New Roman" w:hAnsi="Times New Roman" w:eastAsia="仿宋_GB2312" w:cs="Times New Roman"/>
          <w:b w:val="0"/>
          <w:bCs w:val="0"/>
          <w:color w:val="auto"/>
          <w:spacing w:val="0"/>
          <w:kern w:val="2"/>
          <w:sz w:val="32"/>
          <w:szCs w:val="32"/>
          <w:lang w:eastAsia="zh-CN"/>
        </w:rPr>
        <w:t>原则，穿透式审核客户资金来源情况后办理。</w:t>
      </w:r>
    </w:p>
    <w:p>
      <w:pPr>
        <w:widowControl w:val="0"/>
        <w:kinsoku w:val="0"/>
        <w:wordWrap/>
        <w:autoSpaceDE w:val="0"/>
        <w:autoSpaceDN w:val="0"/>
        <w:adjustRightInd/>
        <w:snapToGrid/>
        <w:spacing w:line="570" w:lineRule="exact"/>
        <w:ind w:left="0" w:leftChars="0" w:right="0" w:firstLine="630" w:firstLineChars="200"/>
        <w:jc w:val="both"/>
        <w:textAlignment w:val="auto"/>
        <w:outlineLvl w:val="9"/>
        <w:rPr>
          <w:rFonts w:ascii="Times New Roman" w:hAnsi="Times New Roman" w:eastAsia="仿宋_GB2312" w:cs="Times New Roman"/>
          <w:b w:val="0"/>
          <w:bCs w:val="0"/>
          <w:color w:val="auto"/>
          <w:spacing w:val="0"/>
          <w:kern w:val="2"/>
          <w:sz w:val="32"/>
          <w:szCs w:val="32"/>
          <w:lang w:eastAsia="zh-CN"/>
        </w:rPr>
      </w:pPr>
      <w:r>
        <w:rPr>
          <w:rFonts w:hint="eastAsia" w:ascii="Times New Roman" w:hAnsi="Times New Roman" w:eastAsia="仿宋_GB2312" w:cs="Times New Roman"/>
          <w:b w:val="0"/>
          <w:bCs w:val="0"/>
          <w:color w:val="auto"/>
          <w:spacing w:val="0"/>
          <w:kern w:val="2"/>
          <w:sz w:val="32"/>
          <w:szCs w:val="32"/>
          <w:lang w:eastAsia="zh-CN"/>
        </w:rPr>
        <w:t>经办银行应确认</w:t>
      </w:r>
      <w:r>
        <w:rPr>
          <w:rFonts w:ascii="Times New Roman" w:hAnsi="Times New Roman" w:eastAsia="仿宋_GB2312" w:cs="Times New Roman"/>
          <w:b w:val="0"/>
          <w:bCs w:val="0"/>
          <w:color w:val="auto"/>
          <w:spacing w:val="0"/>
          <w:kern w:val="2"/>
          <w:sz w:val="32"/>
          <w:szCs w:val="32"/>
          <w:lang w:eastAsia="zh-CN"/>
        </w:rPr>
        <w:t>代理企业</w:t>
      </w:r>
      <w:r>
        <w:rPr>
          <w:rFonts w:hint="eastAsia" w:ascii="Times New Roman" w:hAnsi="Times New Roman" w:eastAsia="仿宋_GB2312" w:cs="Times New Roman"/>
          <w:b w:val="0"/>
          <w:bCs w:val="0"/>
          <w:color w:val="auto"/>
          <w:spacing w:val="0"/>
          <w:kern w:val="2"/>
          <w:sz w:val="32"/>
          <w:szCs w:val="32"/>
          <w:lang w:eastAsia="zh-CN"/>
        </w:rPr>
        <w:t>与边民、边民与落地加工企业存在合法的委托代理关系，并结合交易单证审核购付汇业务的真实性、合理性和逻辑性，按规定通过互联互通平台核验报关信息。</w:t>
      </w:r>
      <w:r>
        <w:rPr>
          <w:rFonts w:ascii="Times New Roman" w:hAnsi="Times New Roman" w:eastAsia="仿宋_GB2312" w:cs="Times New Roman"/>
          <w:b w:val="0"/>
          <w:bCs w:val="0"/>
          <w:color w:val="auto"/>
          <w:spacing w:val="0"/>
          <w:kern w:val="2"/>
          <w:sz w:val="32"/>
          <w:szCs w:val="32"/>
          <w:lang w:eastAsia="zh-CN"/>
        </w:rPr>
        <w:t>代理企业</w:t>
      </w:r>
      <w:r>
        <w:rPr>
          <w:rFonts w:hint="eastAsia" w:ascii="Times New Roman" w:hAnsi="Times New Roman" w:eastAsia="仿宋_GB2312" w:cs="Times New Roman"/>
          <w:b w:val="0"/>
          <w:bCs w:val="0"/>
          <w:color w:val="auto"/>
          <w:spacing w:val="0"/>
          <w:kern w:val="2"/>
          <w:sz w:val="32"/>
          <w:szCs w:val="32"/>
          <w:lang w:eastAsia="zh-CN"/>
        </w:rPr>
        <w:t>不得参与边民互市贸易进口商品落地加工和国内收购业务。</w:t>
      </w:r>
    </w:p>
    <w:p>
      <w:pPr>
        <w:kinsoku w:val="0"/>
        <w:wordWrap/>
        <w:autoSpaceDE w:val="0"/>
        <w:autoSpaceDN w:val="0"/>
        <w:adjustRightInd/>
        <w:snapToGrid/>
        <w:spacing w:line="570" w:lineRule="exact"/>
        <w:ind w:left="0" w:leftChars="0" w:right="0" w:firstLine="630" w:firstLineChars="200"/>
        <w:jc w:val="both"/>
        <w:outlineLvl w:val="9"/>
        <w:rPr>
          <w:rFonts w:ascii="Times New Roman" w:hAnsi="Times New Roman" w:eastAsia="楷体_GB2312" w:cs="Times New Roman"/>
          <w:b w:val="0"/>
          <w:bCs w:val="0"/>
          <w:color w:val="auto"/>
          <w:spacing w:val="0"/>
          <w:sz w:val="32"/>
          <w:szCs w:val="32"/>
          <w:lang w:eastAsia="zh-CN"/>
        </w:rPr>
      </w:pPr>
      <w:r>
        <w:rPr>
          <w:rFonts w:hint="eastAsia" w:ascii="Times New Roman" w:hAnsi="楷体_GB2312" w:eastAsia="楷体_GB2312" w:cs="Times New Roman"/>
          <w:b w:val="0"/>
          <w:bCs w:val="0"/>
          <w:color w:val="auto"/>
          <w:spacing w:val="0"/>
          <w:sz w:val="32"/>
          <w:szCs w:val="32"/>
          <w:lang w:eastAsia="zh-CN"/>
        </w:rPr>
        <w:t>（三）国际收支申报管理</w:t>
      </w:r>
    </w:p>
    <w:p>
      <w:pPr>
        <w:widowControl w:val="0"/>
        <w:kinsoku w:val="0"/>
        <w:wordWrap/>
        <w:autoSpaceDE w:val="0"/>
        <w:autoSpaceDN w:val="0"/>
        <w:adjustRightInd/>
        <w:snapToGrid/>
        <w:spacing w:line="570" w:lineRule="exact"/>
        <w:ind w:left="0" w:leftChars="0" w:right="0" w:firstLine="630" w:firstLineChars="200"/>
        <w:jc w:val="both"/>
        <w:textAlignment w:val="auto"/>
        <w:outlineLvl w:val="9"/>
        <w:rPr>
          <w:rFonts w:hint="eastAsia" w:ascii="仿宋_GB2312" w:hAnsi="仿宋_GB2312" w:eastAsia="仿宋_GB2312" w:cs="仿宋_GB2312"/>
          <w:b w:val="0"/>
          <w:bCs w:val="0"/>
          <w:strike/>
          <w:color w:val="auto"/>
          <w:spacing w:val="0"/>
          <w:kern w:val="2"/>
          <w:sz w:val="32"/>
          <w:szCs w:val="32"/>
          <w:lang w:eastAsia="zh-CN"/>
        </w:rPr>
      </w:pPr>
      <w:r>
        <w:rPr>
          <w:rFonts w:hint="eastAsia" w:ascii="仿宋_GB2312" w:hAnsi="仿宋_GB2312" w:eastAsia="仿宋_GB2312" w:cs="仿宋_GB2312"/>
          <w:b w:val="0"/>
          <w:bCs w:val="0"/>
          <w:color w:val="auto"/>
          <w:spacing w:val="0"/>
          <w:kern w:val="2"/>
          <w:sz w:val="32"/>
          <w:szCs w:val="32"/>
          <w:lang w:eastAsia="zh-CN"/>
        </w:rPr>
        <w:t>代理企业按照国际收支统计申报要求，将代理付汇申报在</w:t>
      </w:r>
      <w:r>
        <w:rPr>
          <w:rFonts w:hint="eastAsia" w:ascii="仿宋_GB2312" w:hAnsi="仿宋_GB2312" w:cs="仿宋_GB2312"/>
          <w:b w:val="0"/>
          <w:bCs w:val="0"/>
          <w:color w:val="auto"/>
          <w:spacing w:val="0"/>
          <w:kern w:val="2"/>
          <w:sz w:val="32"/>
          <w:szCs w:val="32"/>
          <w:lang w:eastAsia="zh-CN"/>
        </w:rPr>
        <w:t>“</w:t>
      </w:r>
      <w:r>
        <w:rPr>
          <w:rFonts w:hint="eastAsia" w:ascii="仿宋_GB2312" w:hAnsi="仿宋_GB2312" w:eastAsia="仿宋_GB2312" w:cs="仿宋_GB2312"/>
          <w:b w:val="0"/>
          <w:bCs w:val="0"/>
          <w:color w:val="auto"/>
          <w:spacing w:val="0"/>
          <w:kern w:val="2"/>
          <w:sz w:val="32"/>
          <w:szCs w:val="32"/>
          <w:lang w:eastAsia="zh-CN"/>
        </w:rPr>
        <w:t>121990-其他纳入海关统计的货物贸易</w:t>
      </w:r>
      <w:r>
        <w:rPr>
          <w:rFonts w:hint="eastAsia" w:ascii="仿宋_GB2312" w:hAnsi="仿宋_GB2312" w:cs="仿宋_GB2312"/>
          <w:b w:val="0"/>
          <w:bCs w:val="0"/>
          <w:color w:val="auto"/>
          <w:spacing w:val="0"/>
          <w:kern w:val="2"/>
          <w:sz w:val="32"/>
          <w:szCs w:val="32"/>
          <w:lang w:eastAsia="zh-CN"/>
        </w:rPr>
        <w:t>”</w:t>
      </w:r>
      <w:r>
        <w:rPr>
          <w:rFonts w:hint="eastAsia" w:ascii="仿宋_GB2312" w:hAnsi="仿宋_GB2312" w:eastAsia="仿宋_GB2312" w:cs="仿宋_GB2312"/>
          <w:b w:val="0"/>
          <w:bCs w:val="0"/>
          <w:color w:val="auto"/>
          <w:spacing w:val="0"/>
          <w:kern w:val="2"/>
          <w:sz w:val="32"/>
          <w:szCs w:val="32"/>
          <w:lang w:eastAsia="zh-CN"/>
        </w:rPr>
        <w:t>项下，并在交易附言中标注</w:t>
      </w:r>
      <w:r>
        <w:rPr>
          <w:rFonts w:hint="eastAsia" w:ascii="仿宋_GB2312" w:hAnsi="仿宋_GB2312" w:cs="仿宋_GB2312"/>
          <w:b w:val="0"/>
          <w:bCs w:val="0"/>
          <w:color w:val="auto"/>
          <w:spacing w:val="0"/>
          <w:kern w:val="2"/>
          <w:sz w:val="32"/>
          <w:szCs w:val="32"/>
          <w:lang w:eastAsia="zh-CN"/>
        </w:rPr>
        <w:t>“</w:t>
      </w:r>
      <w:r>
        <w:rPr>
          <w:rFonts w:hint="eastAsia" w:ascii="仿宋_GB2312" w:hAnsi="仿宋_GB2312" w:eastAsia="仿宋_GB2312" w:cs="仿宋_GB2312"/>
          <w:b w:val="0"/>
          <w:bCs w:val="0"/>
          <w:color w:val="auto"/>
          <w:spacing w:val="0"/>
          <w:kern w:val="2"/>
          <w:sz w:val="32"/>
          <w:szCs w:val="32"/>
          <w:lang w:eastAsia="zh-CN"/>
        </w:rPr>
        <w:t>新型边民互市进口XX（商品）</w:t>
      </w:r>
      <w:r>
        <w:rPr>
          <w:rFonts w:hint="eastAsia" w:ascii="仿宋_GB2312" w:hAnsi="仿宋_GB2312" w:cs="仿宋_GB2312"/>
          <w:b w:val="0"/>
          <w:bCs w:val="0"/>
          <w:color w:val="auto"/>
          <w:spacing w:val="0"/>
          <w:kern w:val="2"/>
          <w:sz w:val="32"/>
          <w:szCs w:val="32"/>
          <w:lang w:eastAsia="zh-CN"/>
        </w:rPr>
        <w:t>”</w:t>
      </w:r>
      <w:r>
        <w:rPr>
          <w:rFonts w:hint="eastAsia" w:ascii="仿宋_GB2312" w:hAnsi="仿宋_GB2312" w:eastAsia="仿宋_GB2312" w:cs="仿宋_GB2312"/>
          <w:b w:val="0"/>
          <w:bCs w:val="0"/>
          <w:color w:val="auto"/>
          <w:spacing w:val="0"/>
          <w:kern w:val="2"/>
          <w:sz w:val="32"/>
          <w:szCs w:val="32"/>
          <w:lang w:eastAsia="zh-CN"/>
        </w:rPr>
        <w:t>。</w:t>
      </w:r>
    </w:p>
    <w:p>
      <w:pPr>
        <w:kinsoku w:val="0"/>
        <w:wordWrap/>
        <w:autoSpaceDE w:val="0"/>
        <w:autoSpaceDN w:val="0"/>
        <w:adjustRightInd/>
        <w:snapToGrid/>
        <w:spacing w:line="570" w:lineRule="exact"/>
        <w:ind w:left="0" w:leftChars="0" w:right="0" w:firstLine="630" w:firstLineChars="200"/>
        <w:jc w:val="both"/>
        <w:outlineLvl w:val="9"/>
        <w:rPr>
          <w:rFonts w:ascii="Times New Roman" w:hAnsi="Times New Roman" w:eastAsia="楷体_GB2312" w:cs="Times New Roman"/>
          <w:b w:val="0"/>
          <w:bCs w:val="0"/>
          <w:spacing w:val="0"/>
          <w:sz w:val="32"/>
          <w:szCs w:val="32"/>
          <w:lang w:eastAsia="zh-CN"/>
        </w:rPr>
      </w:pPr>
      <w:r>
        <w:rPr>
          <w:rFonts w:hint="eastAsia" w:ascii="Times New Roman" w:hAnsi="楷体_GB2312" w:eastAsia="楷体_GB2312" w:cs="Times New Roman"/>
          <w:b w:val="0"/>
          <w:bCs w:val="0"/>
          <w:color w:val="auto"/>
          <w:spacing w:val="0"/>
          <w:sz w:val="32"/>
          <w:szCs w:val="32"/>
          <w:lang w:eastAsia="zh-CN"/>
        </w:rPr>
        <w:t>（四）业务退出管理</w:t>
      </w:r>
    </w:p>
    <w:p>
      <w:pPr>
        <w:widowControl w:val="0"/>
        <w:kinsoku w:val="0"/>
        <w:wordWrap/>
        <w:autoSpaceDE w:val="0"/>
        <w:autoSpaceDN w:val="0"/>
        <w:adjustRightInd/>
        <w:snapToGrid/>
        <w:spacing w:line="570" w:lineRule="exact"/>
        <w:ind w:left="0" w:leftChars="0" w:right="0" w:firstLine="630" w:firstLineChars="200"/>
        <w:jc w:val="both"/>
        <w:textAlignment w:val="auto"/>
        <w:outlineLvl w:val="9"/>
        <w:rPr>
          <w:rFonts w:hint="eastAsia" w:ascii="仿宋_GB2312" w:hAnsi="仿宋_GB2312" w:eastAsia="仿宋_GB2312" w:cs="仿宋_GB2312"/>
          <w:b w:val="0"/>
          <w:bCs w:val="0"/>
          <w:spacing w:val="0"/>
          <w:kern w:val="2"/>
          <w:sz w:val="32"/>
          <w:szCs w:val="32"/>
          <w:lang w:eastAsia="zh-CN"/>
        </w:rPr>
      </w:pPr>
      <w:r>
        <w:rPr>
          <w:rFonts w:hint="eastAsia" w:ascii="仿宋_GB2312" w:hAnsi="仿宋_GB2312" w:eastAsia="仿宋_GB2312" w:cs="仿宋_GB2312"/>
          <w:b w:val="0"/>
          <w:bCs w:val="0"/>
          <w:spacing w:val="0"/>
          <w:kern w:val="2"/>
          <w:sz w:val="32"/>
          <w:szCs w:val="32"/>
          <w:lang w:eastAsia="zh-CN"/>
        </w:rPr>
        <w:t>经办银行、代理企业发生以下情形的，应</w:t>
      </w:r>
      <w:r>
        <w:rPr>
          <w:rFonts w:hint="eastAsia" w:ascii="仿宋_GB2312" w:hAnsi="仿宋_GB2312" w:eastAsia="仿宋_GB2312" w:cs="仿宋_GB2312"/>
          <w:b w:val="0"/>
          <w:bCs w:val="0"/>
          <w:color w:val="auto"/>
          <w:spacing w:val="0"/>
          <w:kern w:val="2"/>
          <w:sz w:val="32"/>
          <w:szCs w:val="32"/>
          <w:lang w:eastAsia="zh-CN"/>
        </w:rPr>
        <w:t>停止</w:t>
      </w:r>
      <w:r>
        <w:rPr>
          <w:rFonts w:hint="eastAsia" w:ascii="仿宋_GB2312" w:hAnsi="仿宋_GB2312" w:eastAsia="仿宋_GB2312" w:cs="仿宋_GB2312"/>
          <w:b w:val="0"/>
          <w:bCs w:val="0"/>
          <w:spacing w:val="0"/>
          <w:kern w:val="2"/>
          <w:sz w:val="32"/>
          <w:szCs w:val="32"/>
          <w:lang w:eastAsia="zh-CN"/>
        </w:rPr>
        <w:t>办理购付汇业务并报告所在地外汇局。</w:t>
      </w:r>
    </w:p>
    <w:p>
      <w:pPr>
        <w:widowControl w:val="0"/>
        <w:kinsoku w:val="0"/>
        <w:wordWrap/>
        <w:autoSpaceDE w:val="0"/>
        <w:autoSpaceDN w:val="0"/>
        <w:adjustRightInd/>
        <w:snapToGrid/>
        <w:spacing w:line="570" w:lineRule="exact"/>
        <w:ind w:left="0" w:leftChars="0" w:right="0" w:firstLine="630" w:firstLineChars="200"/>
        <w:jc w:val="both"/>
        <w:textAlignment w:val="auto"/>
        <w:outlineLvl w:val="9"/>
        <w:rPr>
          <w:rFonts w:hint="eastAsia" w:ascii="仿宋_GB2312" w:hAnsi="仿宋_GB2312" w:eastAsia="仿宋_GB2312" w:cs="仿宋_GB2312"/>
          <w:b w:val="0"/>
          <w:bCs w:val="0"/>
          <w:spacing w:val="0"/>
          <w:kern w:val="2"/>
          <w:sz w:val="32"/>
          <w:szCs w:val="32"/>
          <w:lang w:eastAsia="zh-CN"/>
        </w:rPr>
      </w:pPr>
      <w:r>
        <w:rPr>
          <w:rFonts w:hint="eastAsia" w:ascii="仿宋_GB2312" w:hAnsi="仿宋_GB2312" w:eastAsia="仿宋_GB2312" w:cs="仿宋_GB2312"/>
          <w:b w:val="0"/>
          <w:bCs w:val="0"/>
          <w:spacing w:val="0"/>
          <w:kern w:val="2"/>
          <w:sz w:val="32"/>
          <w:szCs w:val="32"/>
          <w:lang w:eastAsia="zh-CN"/>
        </w:rPr>
        <w:t>1.经办银行上年银行外汇业务合规与审慎经营评估在B-类及以下，经办银行未直接参与评估的，应以其上一级参与评估分行的评估等级为准；</w:t>
      </w:r>
    </w:p>
    <w:p>
      <w:pPr>
        <w:widowControl w:val="0"/>
        <w:kinsoku w:val="0"/>
        <w:wordWrap/>
        <w:autoSpaceDE w:val="0"/>
        <w:autoSpaceDN w:val="0"/>
        <w:adjustRightInd/>
        <w:snapToGrid/>
        <w:spacing w:line="570" w:lineRule="exact"/>
        <w:ind w:left="0" w:leftChars="0" w:right="0" w:firstLine="630" w:firstLineChars="200"/>
        <w:jc w:val="both"/>
        <w:textAlignment w:val="auto"/>
        <w:outlineLvl w:val="9"/>
        <w:rPr>
          <w:rFonts w:hint="eastAsia" w:ascii="仿宋_GB2312" w:hAnsi="仿宋_GB2312" w:eastAsia="仿宋_GB2312" w:cs="仿宋_GB2312"/>
          <w:b w:val="0"/>
          <w:bCs w:val="0"/>
          <w:spacing w:val="0"/>
          <w:kern w:val="2"/>
          <w:sz w:val="32"/>
          <w:szCs w:val="32"/>
          <w:lang w:eastAsia="zh-CN"/>
        </w:rPr>
      </w:pPr>
      <w:r>
        <w:rPr>
          <w:rFonts w:hint="eastAsia" w:ascii="仿宋_GB2312" w:hAnsi="仿宋_GB2312" w:eastAsia="仿宋_GB2312" w:cs="仿宋_GB2312"/>
          <w:b w:val="0"/>
          <w:bCs w:val="0"/>
          <w:spacing w:val="0"/>
          <w:kern w:val="2"/>
          <w:sz w:val="32"/>
          <w:szCs w:val="32"/>
          <w:lang w:eastAsia="zh-CN"/>
        </w:rPr>
        <w:t>2.代理企业被属地商务部门取消代理企业资质；</w:t>
      </w:r>
    </w:p>
    <w:p>
      <w:pPr>
        <w:widowControl w:val="0"/>
        <w:kinsoku w:val="0"/>
        <w:wordWrap/>
        <w:autoSpaceDE w:val="0"/>
        <w:autoSpaceDN w:val="0"/>
        <w:adjustRightInd/>
        <w:snapToGrid/>
        <w:spacing w:line="570" w:lineRule="exact"/>
        <w:ind w:left="0" w:leftChars="0" w:right="0" w:firstLine="630" w:firstLineChars="200"/>
        <w:jc w:val="both"/>
        <w:textAlignment w:val="auto"/>
        <w:outlineLvl w:val="9"/>
        <w:rPr>
          <w:rFonts w:hint="eastAsia" w:ascii="仿宋_GB2312" w:hAnsi="仿宋_GB2312" w:eastAsia="仿宋_GB2312" w:cs="仿宋_GB2312"/>
          <w:b w:val="0"/>
          <w:bCs w:val="0"/>
          <w:spacing w:val="0"/>
          <w:kern w:val="2"/>
          <w:sz w:val="32"/>
          <w:szCs w:val="32"/>
          <w:lang w:eastAsia="zh-CN"/>
        </w:rPr>
      </w:pPr>
      <w:r>
        <w:rPr>
          <w:rFonts w:hint="eastAsia" w:ascii="仿宋_GB2312" w:hAnsi="仿宋_GB2312" w:eastAsia="仿宋_GB2312" w:cs="仿宋_GB2312"/>
          <w:b w:val="0"/>
          <w:bCs w:val="0"/>
          <w:spacing w:val="0"/>
          <w:kern w:val="2"/>
          <w:sz w:val="32"/>
          <w:szCs w:val="32"/>
          <w:lang w:eastAsia="zh-CN"/>
        </w:rPr>
        <w:t>3.</w:t>
      </w:r>
      <w:r>
        <w:rPr>
          <w:rFonts w:hint="eastAsia" w:ascii="仿宋_GB2312" w:hAnsi="仿宋_GB2312" w:eastAsia="仿宋_GB2312" w:cs="仿宋_GB2312"/>
          <w:b w:val="0"/>
          <w:bCs w:val="0"/>
          <w:spacing w:val="-5"/>
          <w:kern w:val="2"/>
          <w:sz w:val="32"/>
          <w:szCs w:val="32"/>
          <w:lang w:eastAsia="zh-CN"/>
        </w:rPr>
        <w:t>代理企业货物贸易外汇管理分类结果降为B类或C类、合作边民存在被实施</w:t>
      </w:r>
      <w:r>
        <w:rPr>
          <w:rFonts w:hint="eastAsia" w:ascii="仿宋_GB2312" w:hAnsi="仿宋_GB2312" w:cs="仿宋_GB2312"/>
          <w:b w:val="0"/>
          <w:bCs w:val="0"/>
          <w:spacing w:val="-5"/>
          <w:kern w:val="2"/>
          <w:sz w:val="32"/>
          <w:szCs w:val="32"/>
          <w:lang w:eastAsia="zh-CN"/>
        </w:rPr>
        <w:t>“</w:t>
      </w:r>
      <w:r>
        <w:rPr>
          <w:rFonts w:hint="eastAsia" w:ascii="仿宋_GB2312" w:hAnsi="仿宋_GB2312" w:eastAsia="仿宋_GB2312" w:cs="仿宋_GB2312"/>
          <w:b w:val="0"/>
          <w:bCs w:val="0"/>
          <w:spacing w:val="-5"/>
          <w:kern w:val="2"/>
          <w:sz w:val="32"/>
          <w:szCs w:val="32"/>
          <w:lang w:eastAsia="zh-CN"/>
        </w:rPr>
        <w:t>关注名单</w:t>
      </w:r>
      <w:r>
        <w:rPr>
          <w:rFonts w:hint="eastAsia" w:ascii="仿宋_GB2312" w:hAnsi="仿宋_GB2312" w:cs="仿宋_GB2312"/>
          <w:b w:val="0"/>
          <w:bCs w:val="0"/>
          <w:spacing w:val="-5"/>
          <w:kern w:val="2"/>
          <w:sz w:val="32"/>
          <w:szCs w:val="32"/>
          <w:lang w:eastAsia="zh-CN"/>
        </w:rPr>
        <w:t>”</w:t>
      </w:r>
      <w:r>
        <w:rPr>
          <w:rFonts w:hint="eastAsia" w:ascii="仿宋_GB2312" w:hAnsi="仿宋_GB2312" w:eastAsia="仿宋_GB2312" w:cs="仿宋_GB2312"/>
          <w:b w:val="0"/>
          <w:bCs w:val="0"/>
          <w:spacing w:val="-5"/>
          <w:kern w:val="2"/>
          <w:sz w:val="32"/>
          <w:szCs w:val="32"/>
          <w:lang w:eastAsia="zh-CN"/>
        </w:rPr>
        <w:t>或</w:t>
      </w:r>
      <w:r>
        <w:rPr>
          <w:rFonts w:hint="eastAsia" w:ascii="仿宋_GB2312" w:hAnsi="仿宋_GB2312" w:cs="仿宋_GB2312"/>
          <w:b w:val="0"/>
          <w:bCs w:val="0"/>
          <w:spacing w:val="-5"/>
          <w:kern w:val="2"/>
          <w:sz w:val="32"/>
          <w:szCs w:val="32"/>
          <w:lang w:eastAsia="zh-CN"/>
        </w:rPr>
        <w:t>“</w:t>
      </w:r>
      <w:r>
        <w:rPr>
          <w:rFonts w:hint="eastAsia" w:ascii="仿宋_GB2312" w:hAnsi="仿宋_GB2312" w:eastAsia="仿宋_GB2312" w:cs="仿宋_GB2312"/>
          <w:b w:val="0"/>
          <w:bCs w:val="0"/>
          <w:spacing w:val="-5"/>
          <w:kern w:val="2"/>
          <w:sz w:val="32"/>
          <w:szCs w:val="32"/>
          <w:lang w:eastAsia="zh-CN"/>
        </w:rPr>
        <w:t>预关注名单</w:t>
      </w:r>
      <w:r>
        <w:rPr>
          <w:rFonts w:hint="eastAsia" w:ascii="仿宋_GB2312" w:hAnsi="仿宋_GB2312" w:cs="仿宋_GB2312"/>
          <w:b w:val="0"/>
          <w:bCs w:val="0"/>
          <w:spacing w:val="-5"/>
          <w:kern w:val="2"/>
          <w:sz w:val="32"/>
          <w:szCs w:val="32"/>
          <w:lang w:eastAsia="zh-CN"/>
        </w:rPr>
        <w:t>”</w:t>
      </w:r>
      <w:r>
        <w:rPr>
          <w:rFonts w:hint="eastAsia" w:ascii="仿宋_GB2312" w:hAnsi="仿宋_GB2312" w:eastAsia="仿宋_GB2312" w:cs="仿宋_GB2312"/>
          <w:b w:val="0"/>
          <w:bCs w:val="0"/>
          <w:spacing w:val="-5"/>
          <w:kern w:val="2"/>
          <w:sz w:val="32"/>
          <w:szCs w:val="32"/>
          <w:lang w:eastAsia="zh-CN"/>
        </w:rPr>
        <w:t>管理的个人</w:t>
      </w:r>
      <w:r>
        <w:rPr>
          <w:rFonts w:hint="eastAsia" w:ascii="仿宋_GB2312" w:hAnsi="仿宋_GB2312" w:cs="仿宋_GB2312"/>
          <w:b w:val="0"/>
          <w:bCs w:val="0"/>
          <w:spacing w:val="-5"/>
          <w:kern w:val="2"/>
          <w:sz w:val="32"/>
          <w:szCs w:val="32"/>
          <w:lang w:eastAsia="zh-CN"/>
        </w:rPr>
        <w:t>；</w:t>
      </w:r>
    </w:p>
    <w:p>
      <w:pPr>
        <w:widowControl w:val="0"/>
        <w:kinsoku w:val="0"/>
        <w:wordWrap/>
        <w:autoSpaceDE w:val="0"/>
        <w:autoSpaceDN w:val="0"/>
        <w:adjustRightInd/>
        <w:snapToGrid/>
        <w:spacing w:line="570" w:lineRule="exact"/>
        <w:ind w:left="0" w:leftChars="0" w:right="0" w:firstLine="630" w:firstLineChars="200"/>
        <w:jc w:val="both"/>
        <w:textAlignment w:val="auto"/>
        <w:outlineLvl w:val="9"/>
        <w:rPr>
          <w:rFonts w:hint="eastAsia" w:ascii="仿宋_GB2312" w:hAnsi="仿宋_GB2312" w:eastAsia="仿宋_GB2312" w:cs="仿宋_GB2312"/>
          <w:b w:val="0"/>
          <w:bCs w:val="0"/>
          <w:spacing w:val="0"/>
          <w:kern w:val="2"/>
          <w:sz w:val="32"/>
          <w:szCs w:val="32"/>
          <w:lang w:eastAsia="zh-CN"/>
        </w:rPr>
      </w:pPr>
      <w:r>
        <w:rPr>
          <w:rFonts w:hint="eastAsia" w:ascii="仿宋_GB2312" w:hAnsi="仿宋_GB2312" w:eastAsia="仿宋_GB2312" w:cs="仿宋_GB2312"/>
          <w:b w:val="0"/>
          <w:bCs w:val="0"/>
          <w:spacing w:val="0"/>
          <w:kern w:val="2"/>
          <w:sz w:val="32"/>
          <w:szCs w:val="32"/>
          <w:lang w:eastAsia="zh-CN"/>
        </w:rPr>
        <w:t>4.代理企业虚构贸易背景办理购付汇业务</w:t>
      </w:r>
      <w:r>
        <w:rPr>
          <w:rFonts w:hint="eastAsia" w:ascii="仿宋_GB2312" w:hAnsi="仿宋_GB2312" w:eastAsia="仿宋_GB2312" w:cs="仿宋_GB2312"/>
          <w:b w:val="0"/>
          <w:bCs w:val="0"/>
          <w:color w:val="auto"/>
          <w:spacing w:val="0"/>
          <w:kern w:val="2"/>
          <w:sz w:val="32"/>
          <w:szCs w:val="32"/>
          <w:lang w:eastAsia="zh-CN"/>
        </w:rPr>
        <w:t>；</w:t>
      </w:r>
    </w:p>
    <w:p>
      <w:pPr>
        <w:widowControl w:val="0"/>
        <w:kinsoku w:val="0"/>
        <w:wordWrap/>
        <w:autoSpaceDE w:val="0"/>
        <w:autoSpaceDN w:val="0"/>
        <w:adjustRightInd/>
        <w:snapToGrid/>
        <w:spacing w:line="570" w:lineRule="exact"/>
        <w:ind w:left="0" w:leftChars="0" w:right="0" w:firstLine="630" w:firstLineChars="200"/>
        <w:jc w:val="both"/>
        <w:textAlignment w:val="auto"/>
        <w:outlineLvl w:val="9"/>
        <w:rPr>
          <w:rFonts w:hint="eastAsia" w:ascii="仿宋_GB2312" w:hAnsi="仿宋_GB2312" w:eastAsia="仿宋_GB2312" w:cs="仿宋_GB2312"/>
          <w:b w:val="0"/>
          <w:bCs w:val="0"/>
          <w:spacing w:val="0"/>
          <w:kern w:val="2"/>
          <w:sz w:val="32"/>
          <w:szCs w:val="32"/>
          <w:lang w:eastAsia="zh-CN"/>
        </w:rPr>
      </w:pPr>
      <w:r>
        <w:rPr>
          <w:rFonts w:hint="eastAsia" w:ascii="仿宋_GB2312" w:hAnsi="仿宋_GB2312" w:eastAsia="仿宋_GB2312" w:cs="仿宋_GB2312"/>
          <w:b w:val="0"/>
          <w:bCs w:val="0"/>
          <w:spacing w:val="0"/>
          <w:kern w:val="2"/>
          <w:sz w:val="32"/>
          <w:szCs w:val="32"/>
          <w:lang w:eastAsia="zh-CN"/>
        </w:rPr>
        <w:t>5.发生其他重大违法违规行为。</w:t>
      </w:r>
    </w:p>
    <w:p>
      <w:pPr>
        <w:kinsoku w:val="0"/>
        <w:wordWrap/>
        <w:autoSpaceDE w:val="0"/>
        <w:autoSpaceDN w:val="0"/>
        <w:adjustRightInd/>
        <w:snapToGrid/>
        <w:spacing w:line="570" w:lineRule="exact"/>
        <w:ind w:left="0" w:leftChars="0" w:right="0" w:firstLine="630" w:firstLineChars="200"/>
        <w:jc w:val="both"/>
        <w:outlineLvl w:val="9"/>
        <w:rPr>
          <w:rFonts w:ascii="Times New Roman" w:hAnsi="Times New Roman" w:eastAsia="楷体_GB2312" w:cs="Times New Roman"/>
          <w:b w:val="0"/>
          <w:bCs w:val="0"/>
          <w:spacing w:val="0"/>
          <w:sz w:val="32"/>
          <w:szCs w:val="32"/>
          <w:lang w:eastAsia="zh-CN"/>
        </w:rPr>
      </w:pPr>
      <w:r>
        <w:rPr>
          <w:rFonts w:hint="eastAsia" w:ascii="Times New Roman" w:hAnsi="楷体_GB2312" w:eastAsia="楷体_GB2312" w:cs="Times New Roman"/>
          <w:b w:val="0"/>
          <w:bCs w:val="0"/>
          <w:color w:val="auto"/>
          <w:spacing w:val="0"/>
          <w:sz w:val="32"/>
          <w:szCs w:val="32"/>
          <w:lang w:eastAsia="zh-CN"/>
        </w:rPr>
        <w:t>（五）应急管理</w:t>
      </w:r>
    </w:p>
    <w:p>
      <w:pPr>
        <w:widowControl w:val="0"/>
        <w:kinsoku w:val="0"/>
        <w:wordWrap/>
        <w:autoSpaceDE w:val="0"/>
        <w:autoSpaceDN w:val="0"/>
        <w:adjustRightInd/>
        <w:snapToGrid/>
        <w:spacing w:line="570" w:lineRule="exact"/>
        <w:ind w:left="0" w:leftChars="0" w:right="0" w:firstLine="630" w:firstLineChars="200"/>
        <w:jc w:val="both"/>
        <w:textAlignment w:val="auto"/>
        <w:outlineLvl w:val="9"/>
        <w:rPr>
          <w:rFonts w:hint="eastAsia" w:ascii="仿宋_GB2312" w:hAnsi="仿宋_GB2312" w:eastAsia="仿宋_GB2312" w:cs="仿宋_GB2312"/>
          <w:b w:val="0"/>
          <w:bCs w:val="0"/>
          <w:spacing w:val="0"/>
          <w:kern w:val="2"/>
          <w:sz w:val="32"/>
          <w:szCs w:val="32"/>
          <w:lang w:eastAsia="zh-CN"/>
        </w:rPr>
      </w:pPr>
      <w:r>
        <w:rPr>
          <w:rFonts w:hint="eastAsia" w:ascii="仿宋_GB2312" w:hAnsi="仿宋_GB2312" w:eastAsia="仿宋_GB2312" w:cs="仿宋_GB2312"/>
          <w:b w:val="0"/>
          <w:bCs w:val="0"/>
          <w:spacing w:val="0"/>
          <w:kern w:val="2"/>
          <w:sz w:val="32"/>
          <w:szCs w:val="32"/>
          <w:lang w:eastAsia="zh-CN"/>
        </w:rPr>
        <w:t>互</w:t>
      </w:r>
      <w:r>
        <w:rPr>
          <w:rFonts w:hint="eastAsia" w:ascii="仿宋_GB2312" w:hAnsi="仿宋_GB2312" w:eastAsia="仿宋_GB2312" w:cs="仿宋_GB2312"/>
          <w:b w:val="0"/>
          <w:bCs w:val="0"/>
          <w:spacing w:val="-6"/>
          <w:kern w:val="2"/>
          <w:sz w:val="32"/>
          <w:szCs w:val="32"/>
          <w:lang w:eastAsia="zh-CN"/>
        </w:rPr>
        <w:t>联互通平台发生系统故障并导致经办银行无法按要求核验新型互市贸易报关数据的，银行应及时向所在地外汇局报告</w:t>
      </w:r>
      <w:r>
        <w:rPr>
          <w:rFonts w:hint="eastAsia" w:ascii="仿宋_GB2312" w:hAnsi="仿宋_GB2312" w:cs="仿宋_GB2312"/>
          <w:b w:val="0"/>
          <w:bCs w:val="0"/>
          <w:spacing w:val="-6"/>
          <w:kern w:val="2"/>
          <w:sz w:val="32"/>
          <w:szCs w:val="32"/>
          <w:lang w:eastAsia="zh-CN"/>
        </w:rPr>
        <w:t>。</w:t>
      </w:r>
      <w:r>
        <w:rPr>
          <w:rFonts w:hint="eastAsia" w:ascii="仿宋_GB2312" w:hAnsi="仿宋_GB2312" w:eastAsia="仿宋_GB2312" w:cs="仿宋_GB2312"/>
          <w:b w:val="0"/>
          <w:bCs w:val="0"/>
          <w:spacing w:val="0"/>
          <w:kern w:val="2"/>
          <w:sz w:val="32"/>
          <w:szCs w:val="32"/>
          <w:lang w:eastAsia="zh-CN"/>
        </w:rPr>
        <w:t>银行为代理企业办理付汇业务时，应按展业原则对代理企业</w:t>
      </w:r>
      <w:r>
        <w:rPr>
          <w:rFonts w:hint="eastAsia" w:ascii="仿宋_GB2312" w:hAnsi="仿宋_GB2312" w:cs="仿宋_GB2312"/>
          <w:b w:val="0"/>
          <w:bCs w:val="0"/>
          <w:spacing w:val="0"/>
          <w:kern w:val="2"/>
          <w:sz w:val="32"/>
          <w:szCs w:val="32"/>
          <w:lang w:eastAsia="zh-CN"/>
        </w:rPr>
        <w:t>的交易背景</w:t>
      </w:r>
      <w:r>
        <w:rPr>
          <w:rFonts w:hint="eastAsia" w:ascii="仿宋_GB2312" w:hAnsi="仿宋_GB2312" w:eastAsia="仿宋_GB2312" w:cs="仿宋_GB2312"/>
          <w:b w:val="0"/>
          <w:bCs w:val="0"/>
          <w:spacing w:val="0"/>
          <w:kern w:val="2"/>
          <w:sz w:val="32"/>
          <w:szCs w:val="32"/>
          <w:lang w:eastAsia="zh-CN"/>
        </w:rPr>
        <w:t>开展真实性审核，并做好台账登记手续。故障消除后48个小时内，经办银行应在互联互通平台进行补核验操作。</w:t>
      </w:r>
    </w:p>
    <w:p>
      <w:pPr>
        <w:kinsoku w:val="0"/>
        <w:wordWrap/>
        <w:autoSpaceDE w:val="0"/>
        <w:autoSpaceDN w:val="0"/>
        <w:adjustRightInd/>
        <w:snapToGrid/>
        <w:spacing w:line="570" w:lineRule="exact"/>
        <w:ind w:left="0" w:leftChars="0" w:right="0" w:firstLine="630" w:firstLineChars="200"/>
        <w:jc w:val="both"/>
        <w:outlineLvl w:val="9"/>
        <w:rPr>
          <w:rFonts w:ascii="Times New Roman" w:hAnsi="Times New Roman" w:eastAsia="楷体_GB2312" w:cs="Times New Roman"/>
          <w:b w:val="0"/>
          <w:bCs w:val="0"/>
          <w:spacing w:val="0"/>
          <w:sz w:val="32"/>
          <w:szCs w:val="32"/>
          <w:lang w:eastAsia="zh-CN"/>
        </w:rPr>
      </w:pPr>
      <w:r>
        <w:rPr>
          <w:rFonts w:hint="eastAsia" w:ascii="Times New Roman" w:hAnsi="楷体_GB2312" w:eastAsia="楷体_GB2312" w:cs="Times New Roman"/>
          <w:b w:val="0"/>
          <w:bCs w:val="0"/>
          <w:color w:val="auto"/>
          <w:spacing w:val="0"/>
          <w:sz w:val="32"/>
          <w:szCs w:val="32"/>
          <w:lang w:eastAsia="zh-CN"/>
        </w:rPr>
        <w:t>（六）档案管理</w:t>
      </w:r>
    </w:p>
    <w:p>
      <w:pPr>
        <w:widowControl w:val="0"/>
        <w:kinsoku w:val="0"/>
        <w:wordWrap/>
        <w:autoSpaceDE w:val="0"/>
        <w:autoSpaceDN w:val="0"/>
        <w:adjustRightInd/>
        <w:snapToGrid/>
        <w:spacing w:line="570" w:lineRule="exact"/>
        <w:ind w:left="0" w:leftChars="0" w:right="0" w:firstLine="630" w:firstLineChars="200"/>
        <w:jc w:val="both"/>
        <w:textAlignment w:val="auto"/>
        <w:outlineLvl w:val="9"/>
        <w:rPr>
          <w:rFonts w:hint="eastAsia" w:ascii="仿宋_GB2312" w:hAnsi="仿宋_GB2312" w:eastAsia="仿宋_GB2312" w:cs="仿宋_GB2312"/>
          <w:b w:val="0"/>
          <w:bCs w:val="0"/>
          <w:spacing w:val="0"/>
          <w:kern w:val="2"/>
          <w:sz w:val="32"/>
          <w:szCs w:val="32"/>
          <w:lang w:eastAsia="zh-CN"/>
        </w:rPr>
      </w:pPr>
      <w:r>
        <w:rPr>
          <w:rFonts w:hint="eastAsia" w:ascii="仿宋_GB2312" w:hAnsi="仿宋_GB2312" w:eastAsia="仿宋_GB2312" w:cs="仿宋_GB2312"/>
          <w:b w:val="0"/>
          <w:bCs w:val="0"/>
          <w:spacing w:val="0"/>
          <w:kern w:val="2"/>
          <w:sz w:val="32"/>
          <w:szCs w:val="32"/>
          <w:lang w:eastAsia="zh-CN"/>
        </w:rPr>
        <w:t>经办银行、代理企业负责留存新型互市贸易结算相关交易单证以供备查，档案保管期限为5年。</w:t>
      </w:r>
    </w:p>
    <w:p>
      <w:pPr>
        <w:kinsoku w:val="0"/>
        <w:wordWrap/>
        <w:autoSpaceDE w:val="0"/>
        <w:autoSpaceDN w:val="0"/>
        <w:adjustRightInd/>
        <w:snapToGrid/>
        <w:spacing w:line="570" w:lineRule="exact"/>
        <w:ind w:left="0" w:leftChars="0" w:right="0" w:firstLine="630" w:firstLineChars="200"/>
        <w:jc w:val="both"/>
        <w:outlineLvl w:val="9"/>
        <w:rPr>
          <w:rFonts w:ascii="Times New Roman" w:hAnsi="Times New Roman" w:eastAsia="黑体" w:cs="Times New Roman"/>
          <w:b w:val="0"/>
          <w:bCs w:val="0"/>
          <w:spacing w:val="0"/>
          <w:sz w:val="32"/>
          <w:szCs w:val="32"/>
          <w:lang w:eastAsia="zh-CN"/>
        </w:rPr>
      </w:pPr>
      <w:r>
        <w:rPr>
          <w:rFonts w:hint="eastAsia" w:ascii="Times New Roman" w:hAnsi="黑体" w:eastAsia="黑体" w:cs="Times New Roman"/>
          <w:b w:val="0"/>
          <w:bCs w:val="0"/>
          <w:spacing w:val="0"/>
          <w:sz w:val="32"/>
          <w:szCs w:val="32"/>
          <w:lang w:eastAsia="zh-CN"/>
        </w:rPr>
        <w:t>三、经办银行主体责任</w:t>
      </w:r>
    </w:p>
    <w:p>
      <w:pPr>
        <w:widowControl w:val="0"/>
        <w:kinsoku w:val="0"/>
        <w:wordWrap/>
        <w:autoSpaceDE w:val="0"/>
        <w:autoSpaceDN w:val="0"/>
        <w:adjustRightInd/>
        <w:snapToGrid/>
        <w:spacing w:line="570" w:lineRule="exact"/>
        <w:ind w:left="0" w:leftChars="0" w:right="0" w:firstLine="630" w:firstLineChars="200"/>
        <w:jc w:val="both"/>
        <w:textAlignment w:val="auto"/>
        <w:outlineLvl w:val="9"/>
        <w:rPr>
          <w:rFonts w:ascii="Times New Roman" w:hAnsi="Times New Roman" w:eastAsia="仿宋_GB2312" w:cs="Times New Roman"/>
          <w:b w:val="0"/>
          <w:bCs w:val="0"/>
          <w:spacing w:val="0"/>
          <w:kern w:val="2"/>
          <w:sz w:val="32"/>
          <w:szCs w:val="32"/>
          <w:lang w:eastAsia="zh-CN"/>
        </w:rPr>
      </w:pPr>
      <w:r>
        <w:rPr>
          <w:rFonts w:hint="eastAsia" w:ascii="Times New Roman" w:hAnsi="Times New Roman" w:eastAsia="仿宋_GB2312" w:cs="Times New Roman"/>
          <w:b w:val="0"/>
          <w:bCs w:val="0"/>
          <w:spacing w:val="0"/>
          <w:kern w:val="2"/>
          <w:sz w:val="32"/>
          <w:szCs w:val="32"/>
          <w:lang w:eastAsia="zh-CN"/>
        </w:rPr>
        <w:t>经办银行应按照展业原则要求，在事前尽调、真实性审核和业务追踪等环节承担主体责任。</w:t>
      </w:r>
    </w:p>
    <w:p>
      <w:pPr>
        <w:widowControl w:val="0"/>
        <w:numPr>
          <w:ilvl w:val="0"/>
          <w:numId w:val="2"/>
        </w:numPr>
        <w:kinsoku w:val="0"/>
        <w:wordWrap/>
        <w:autoSpaceDE w:val="0"/>
        <w:autoSpaceDN w:val="0"/>
        <w:adjustRightInd/>
        <w:snapToGrid/>
        <w:spacing w:line="570" w:lineRule="exact"/>
        <w:ind w:left="0" w:leftChars="0" w:right="0" w:firstLine="630" w:firstLineChars="200"/>
        <w:jc w:val="both"/>
        <w:textAlignment w:val="auto"/>
        <w:outlineLvl w:val="9"/>
        <w:rPr>
          <w:rFonts w:ascii="Times New Roman" w:hAnsi="Times New Roman" w:eastAsia="楷体_GB2312" w:cs="Times New Roman"/>
          <w:b w:val="0"/>
          <w:bCs w:val="0"/>
          <w:color w:val="auto"/>
          <w:spacing w:val="0"/>
          <w:sz w:val="32"/>
          <w:szCs w:val="32"/>
          <w:lang w:eastAsia="zh-CN"/>
        </w:rPr>
      </w:pPr>
      <w:r>
        <w:rPr>
          <w:rFonts w:hint="eastAsia" w:ascii="Times New Roman" w:hAnsi="楷体_GB2312" w:eastAsia="楷体_GB2312" w:cs="Times New Roman"/>
          <w:b w:val="0"/>
          <w:bCs w:val="0"/>
          <w:color w:val="auto"/>
          <w:spacing w:val="0"/>
          <w:sz w:val="32"/>
          <w:szCs w:val="32"/>
          <w:lang w:eastAsia="zh-CN"/>
        </w:rPr>
        <w:t>事前严格业务主体管理</w:t>
      </w:r>
    </w:p>
    <w:p>
      <w:pPr>
        <w:widowControl w:val="0"/>
        <w:kinsoku w:val="0"/>
        <w:wordWrap/>
        <w:autoSpaceDE w:val="0"/>
        <w:autoSpaceDN w:val="0"/>
        <w:adjustRightInd/>
        <w:snapToGrid/>
        <w:spacing w:line="570" w:lineRule="exact"/>
        <w:ind w:left="0" w:leftChars="0" w:right="0" w:firstLine="630" w:firstLineChars="200"/>
        <w:jc w:val="both"/>
        <w:textAlignment w:val="auto"/>
        <w:outlineLvl w:val="9"/>
        <w:rPr>
          <w:rFonts w:ascii="Times New Roman" w:hAnsi="Times New Roman" w:eastAsia="仿宋_GB2312" w:cs="Times New Roman"/>
          <w:b w:val="0"/>
          <w:bCs w:val="0"/>
          <w:color w:val="auto"/>
          <w:spacing w:val="0"/>
          <w:kern w:val="2"/>
          <w:sz w:val="32"/>
          <w:szCs w:val="32"/>
          <w:lang w:eastAsia="zh-CN"/>
        </w:rPr>
      </w:pPr>
      <w:r>
        <w:rPr>
          <w:rFonts w:hint="eastAsia" w:ascii="Times New Roman" w:hAnsi="Times New Roman" w:eastAsia="仿宋_GB2312" w:cs="Times New Roman"/>
          <w:b w:val="0"/>
          <w:bCs w:val="0"/>
          <w:color w:val="auto"/>
          <w:spacing w:val="0"/>
          <w:kern w:val="2"/>
          <w:sz w:val="32"/>
          <w:szCs w:val="32"/>
          <w:lang w:eastAsia="zh-CN"/>
        </w:rPr>
        <w:t>经办银行在为新型互市贸易主体办理业务前，应按</w:t>
      </w:r>
      <w:r>
        <w:rPr>
          <w:rFonts w:hint="eastAsia" w:ascii="Times New Roman" w:hAnsi="Times New Roman" w:cs="Times New Roman"/>
          <w:b w:val="0"/>
          <w:bCs w:val="0"/>
          <w:color w:val="auto"/>
          <w:spacing w:val="0"/>
          <w:kern w:val="2"/>
          <w:sz w:val="32"/>
          <w:szCs w:val="32"/>
          <w:lang w:eastAsia="zh-CN"/>
        </w:rPr>
        <w:t>“</w:t>
      </w:r>
      <w:r>
        <w:rPr>
          <w:rFonts w:hint="eastAsia" w:ascii="Times New Roman" w:hAnsi="Times New Roman" w:eastAsia="仿宋_GB2312" w:cs="Times New Roman"/>
          <w:b w:val="0"/>
          <w:bCs w:val="0"/>
          <w:color w:val="auto"/>
          <w:spacing w:val="0"/>
          <w:kern w:val="2"/>
          <w:sz w:val="32"/>
          <w:szCs w:val="32"/>
          <w:lang w:eastAsia="zh-CN"/>
        </w:rPr>
        <w:t>了解你的客户</w:t>
      </w:r>
      <w:r>
        <w:rPr>
          <w:rFonts w:hint="eastAsia" w:ascii="Times New Roman" w:hAnsi="Times New Roman" w:cs="Times New Roman"/>
          <w:b w:val="0"/>
          <w:bCs w:val="0"/>
          <w:color w:val="auto"/>
          <w:spacing w:val="0"/>
          <w:kern w:val="2"/>
          <w:sz w:val="32"/>
          <w:szCs w:val="32"/>
          <w:lang w:eastAsia="zh-CN"/>
        </w:rPr>
        <w:t>”</w:t>
      </w:r>
      <w:r>
        <w:rPr>
          <w:rFonts w:hint="eastAsia" w:ascii="Times New Roman" w:hAnsi="Times New Roman" w:eastAsia="仿宋_GB2312" w:cs="Times New Roman"/>
          <w:b w:val="0"/>
          <w:bCs w:val="0"/>
          <w:color w:val="auto"/>
          <w:spacing w:val="0"/>
          <w:kern w:val="2"/>
          <w:sz w:val="32"/>
          <w:szCs w:val="32"/>
          <w:lang w:eastAsia="zh-CN"/>
        </w:rPr>
        <w:t>原则，对客户</w:t>
      </w:r>
      <w:r>
        <w:rPr>
          <w:rFonts w:ascii="Times New Roman" w:hAnsi="Times New Roman" w:eastAsia="仿宋_GB2312" w:cs="Times New Roman"/>
          <w:b w:val="0"/>
          <w:bCs w:val="0"/>
          <w:color w:val="auto"/>
          <w:spacing w:val="0"/>
          <w:kern w:val="2"/>
          <w:sz w:val="32"/>
          <w:szCs w:val="32"/>
          <w:lang w:eastAsia="zh-CN"/>
        </w:rPr>
        <w:t>代理</w:t>
      </w:r>
      <w:r>
        <w:rPr>
          <w:rFonts w:hint="eastAsia" w:ascii="Times New Roman" w:hAnsi="Times New Roman" w:eastAsia="仿宋_GB2312" w:cs="Times New Roman"/>
          <w:b w:val="0"/>
          <w:bCs w:val="0"/>
          <w:color w:val="auto"/>
          <w:spacing w:val="0"/>
          <w:kern w:val="2"/>
          <w:sz w:val="32"/>
          <w:szCs w:val="32"/>
          <w:lang w:eastAsia="zh-CN"/>
        </w:rPr>
        <w:t>资质、法定代表人（负责人）情况</w:t>
      </w:r>
      <w:r>
        <w:rPr>
          <w:rFonts w:hint="eastAsia" w:ascii="Times New Roman" w:hAnsi="Times New Roman" w:eastAsia="仿宋_GB2312" w:cs="Times New Roman"/>
          <w:b w:val="0"/>
          <w:bCs w:val="0"/>
          <w:color w:val="auto"/>
          <w:spacing w:val="-6"/>
          <w:kern w:val="2"/>
          <w:sz w:val="32"/>
          <w:szCs w:val="32"/>
          <w:lang w:eastAsia="zh-CN"/>
        </w:rPr>
        <w:t>、跨境反洗钱风险、经营状况等开展尽调，确保业务主体符合</w:t>
      </w:r>
      <w:r>
        <w:rPr>
          <w:rFonts w:hint="eastAsia" w:ascii="Times New Roman" w:hAnsi="Times New Roman" w:cs="Times New Roman"/>
          <w:b w:val="0"/>
          <w:bCs w:val="0"/>
          <w:color w:val="auto"/>
          <w:spacing w:val="-6"/>
          <w:kern w:val="2"/>
          <w:sz w:val="32"/>
          <w:szCs w:val="32"/>
          <w:lang w:eastAsia="zh-CN"/>
        </w:rPr>
        <w:t>办理</w:t>
      </w:r>
      <w:r>
        <w:rPr>
          <w:rFonts w:hint="eastAsia" w:ascii="Times New Roman" w:hAnsi="Times New Roman" w:eastAsia="仿宋_GB2312" w:cs="Times New Roman"/>
          <w:b w:val="0"/>
          <w:bCs w:val="0"/>
          <w:color w:val="auto"/>
          <w:spacing w:val="-6"/>
          <w:kern w:val="2"/>
          <w:sz w:val="32"/>
          <w:szCs w:val="32"/>
          <w:lang w:eastAsia="zh-CN"/>
        </w:rPr>
        <w:t>条件。一是建立客户身份识别台账。根据市场监督管理、</w:t>
      </w:r>
      <w:r>
        <w:rPr>
          <w:rFonts w:hint="eastAsia" w:ascii="Times New Roman" w:hAnsi="Times New Roman" w:eastAsia="仿宋_GB2312" w:cs="Times New Roman"/>
          <w:b w:val="0"/>
          <w:bCs w:val="0"/>
          <w:color w:val="auto"/>
          <w:spacing w:val="0"/>
          <w:kern w:val="2"/>
          <w:sz w:val="32"/>
          <w:szCs w:val="32"/>
          <w:lang w:eastAsia="zh-CN"/>
        </w:rPr>
        <w:t>商务</w:t>
      </w:r>
      <w:r>
        <w:rPr>
          <w:rFonts w:hint="eastAsia" w:ascii="Times New Roman" w:hAnsi="Times New Roman" w:cs="Times New Roman"/>
          <w:b w:val="0"/>
          <w:bCs w:val="0"/>
          <w:color w:val="auto"/>
          <w:spacing w:val="0"/>
          <w:kern w:val="2"/>
          <w:sz w:val="32"/>
          <w:szCs w:val="32"/>
          <w:lang w:eastAsia="zh-CN"/>
        </w:rPr>
        <w:t>、外汇</w:t>
      </w:r>
      <w:r>
        <w:rPr>
          <w:rFonts w:hint="eastAsia" w:ascii="Times New Roman" w:hAnsi="Times New Roman" w:eastAsia="仿宋_GB2312" w:cs="Times New Roman"/>
          <w:b w:val="0"/>
          <w:bCs w:val="0"/>
          <w:color w:val="auto"/>
          <w:spacing w:val="0"/>
          <w:kern w:val="2"/>
          <w:sz w:val="32"/>
          <w:szCs w:val="32"/>
          <w:lang w:eastAsia="zh-CN"/>
        </w:rPr>
        <w:t>等部门登记及备案证明材料确认</w:t>
      </w:r>
      <w:r>
        <w:rPr>
          <w:rFonts w:ascii="Times New Roman" w:hAnsi="Times New Roman" w:eastAsia="仿宋_GB2312" w:cs="Times New Roman"/>
          <w:b w:val="0"/>
          <w:bCs w:val="0"/>
          <w:color w:val="auto"/>
          <w:spacing w:val="0"/>
          <w:kern w:val="2"/>
          <w:sz w:val="32"/>
          <w:szCs w:val="32"/>
          <w:lang w:eastAsia="zh-CN"/>
        </w:rPr>
        <w:t>代理企业</w:t>
      </w:r>
      <w:r>
        <w:rPr>
          <w:rFonts w:hint="eastAsia" w:ascii="Times New Roman" w:hAnsi="Times New Roman" w:eastAsia="仿宋_GB2312" w:cs="Times New Roman"/>
          <w:b w:val="0"/>
          <w:bCs w:val="0"/>
          <w:color w:val="auto"/>
          <w:spacing w:val="0"/>
          <w:kern w:val="2"/>
          <w:sz w:val="32"/>
          <w:szCs w:val="32"/>
          <w:lang w:eastAsia="zh-CN"/>
        </w:rPr>
        <w:t>、边民及落地加工企业从事新型互市贸易的主体资格。二是建立业务跟踪机制，通过不定期走访开展持续尽调，了解客户经营状况、进口规模、结算方式、交易对手、交易商品等情况。</w:t>
      </w:r>
    </w:p>
    <w:p>
      <w:pPr>
        <w:widowControl w:val="0"/>
        <w:numPr>
          <w:ilvl w:val="0"/>
          <w:numId w:val="2"/>
        </w:numPr>
        <w:kinsoku w:val="0"/>
        <w:wordWrap/>
        <w:autoSpaceDE w:val="0"/>
        <w:autoSpaceDN w:val="0"/>
        <w:adjustRightInd/>
        <w:snapToGrid/>
        <w:spacing w:line="570" w:lineRule="exact"/>
        <w:ind w:left="0" w:leftChars="0" w:right="0" w:firstLine="630" w:firstLineChars="200"/>
        <w:jc w:val="both"/>
        <w:textAlignment w:val="auto"/>
        <w:outlineLvl w:val="9"/>
        <w:rPr>
          <w:rFonts w:ascii="Times New Roman" w:hAnsi="Times New Roman" w:eastAsia="楷体_GB2312" w:cs="Times New Roman"/>
          <w:b w:val="0"/>
          <w:bCs w:val="0"/>
          <w:color w:val="auto"/>
          <w:spacing w:val="0"/>
          <w:sz w:val="32"/>
          <w:szCs w:val="32"/>
          <w:lang w:eastAsia="zh-CN"/>
        </w:rPr>
      </w:pPr>
      <w:r>
        <w:rPr>
          <w:rFonts w:hint="eastAsia" w:ascii="Times New Roman" w:hAnsi="楷体_GB2312" w:eastAsia="楷体_GB2312" w:cs="Times New Roman"/>
          <w:b w:val="0"/>
          <w:bCs w:val="0"/>
          <w:color w:val="auto"/>
          <w:spacing w:val="0"/>
          <w:sz w:val="32"/>
          <w:szCs w:val="32"/>
          <w:lang w:eastAsia="zh-CN"/>
        </w:rPr>
        <w:t>事中加强业务真实性审核</w:t>
      </w:r>
    </w:p>
    <w:p>
      <w:pPr>
        <w:widowControl w:val="0"/>
        <w:kinsoku w:val="0"/>
        <w:wordWrap/>
        <w:autoSpaceDE w:val="0"/>
        <w:autoSpaceDN w:val="0"/>
        <w:adjustRightInd/>
        <w:snapToGrid/>
        <w:spacing w:line="570" w:lineRule="exact"/>
        <w:ind w:left="0" w:leftChars="0" w:right="0" w:firstLine="630" w:firstLineChars="200"/>
        <w:jc w:val="both"/>
        <w:textAlignment w:val="auto"/>
        <w:outlineLvl w:val="9"/>
        <w:rPr>
          <w:rFonts w:ascii="Times New Roman" w:hAnsi="Times New Roman" w:eastAsia="仿宋_GB2312" w:cs="Times New Roman"/>
          <w:b w:val="0"/>
          <w:bCs w:val="0"/>
          <w:color w:val="auto"/>
          <w:spacing w:val="0"/>
          <w:kern w:val="2"/>
          <w:sz w:val="32"/>
          <w:szCs w:val="32"/>
          <w:lang w:eastAsia="zh-CN"/>
        </w:rPr>
      </w:pPr>
      <w:r>
        <w:rPr>
          <w:rFonts w:hint="eastAsia" w:ascii="Times New Roman" w:hAnsi="仿宋_GB2312" w:eastAsia="仿宋_GB2312" w:cs="Times New Roman"/>
          <w:b w:val="0"/>
          <w:bCs w:val="0"/>
          <w:color w:val="auto"/>
          <w:spacing w:val="0"/>
          <w:kern w:val="2"/>
          <w:sz w:val="32"/>
          <w:szCs w:val="32"/>
          <w:lang w:eastAsia="zh-CN"/>
        </w:rPr>
        <w:t>经办银行在办理新型互市</w:t>
      </w:r>
      <w:r>
        <w:rPr>
          <w:rFonts w:hint="eastAsia" w:ascii="Times New Roman" w:hAnsi="仿宋_GB2312" w:cs="Times New Roman"/>
          <w:b w:val="0"/>
          <w:bCs w:val="0"/>
          <w:color w:val="auto"/>
          <w:spacing w:val="0"/>
          <w:kern w:val="2"/>
          <w:sz w:val="32"/>
          <w:szCs w:val="32"/>
          <w:lang w:eastAsia="zh-CN"/>
        </w:rPr>
        <w:t>贸易</w:t>
      </w:r>
      <w:r>
        <w:rPr>
          <w:rFonts w:ascii="Times New Roman" w:hAnsi="仿宋_GB2312" w:eastAsia="仿宋_GB2312" w:cs="Times New Roman"/>
          <w:b w:val="0"/>
          <w:bCs w:val="0"/>
          <w:color w:val="auto"/>
          <w:spacing w:val="0"/>
          <w:kern w:val="2"/>
          <w:sz w:val="32"/>
          <w:szCs w:val="32"/>
          <w:lang w:eastAsia="zh-CN"/>
        </w:rPr>
        <w:t>代理企业</w:t>
      </w:r>
      <w:r>
        <w:rPr>
          <w:rFonts w:hint="eastAsia" w:ascii="Times New Roman" w:hAnsi="仿宋_GB2312" w:eastAsia="仿宋_GB2312" w:cs="Times New Roman"/>
          <w:b w:val="0"/>
          <w:bCs w:val="0"/>
          <w:color w:val="auto"/>
          <w:spacing w:val="0"/>
          <w:kern w:val="2"/>
          <w:sz w:val="32"/>
          <w:szCs w:val="32"/>
          <w:lang w:eastAsia="zh-CN"/>
        </w:rPr>
        <w:t>付汇业务过程中，应</w:t>
      </w:r>
      <w:r>
        <w:rPr>
          <w:rFonts w:hint="eastAsia" w:ascii="Times New Roman" w:hAnsi="仿宋_GB2312" w:eastAsia="仿宋_GB2312" w:cs="Times New Roman"/>
          <w:b w:val="0"/>
          <w:bCs w:val="0"/>
          <w:color w:val="auto"/>
          <w:spacing w:val="-6"/>
          <w:kern w:val="2"/>
          <w:sz w:val="32"/>
          <w:szCs w:val="32"/>
          <w:lang w:eastAsia="zh-CN"/>
        </w:rPr>
        <w:t>按照</w:t>
      </w:r>
      <w:r>
        <w:rPr>
          <w:rFonts w:hint="eastAsia" w:ascii="Times New Roman" w:hAnsi="Times New Roman" w:cs="Times New Roman"/>
          <w:b w:val="0"/>
          <w:bCs w:val="0"/>
          <w:color w:val="auto"/>
          <w:spacing w:val="-6"/>
          <w:kern w:val="2"/>
          <w:sz w:val="32"/>
          <w:szCs w:val="32"/>
          <w:lang w:eastAsia="zh-CN"/>
        </w:rPr>
        <w:t>“</w:t>
      </w:r>
      <w:r>
        <w:rPr>
          <w:rFonts w:hint="eastAsia" w:ascii="Times New Roman" w:hAnsi="仿宋_GB2312" w:eastAsia="仿宋_GB2312" w:cs="Times New Roman"/>
          <w:b w:val="0"/>
          <w:bCs w:val="0"/>
          <w:color w:val="auto"/>
          <w:spacing w:val="-6"/>
          <w:kern w:val="2"/>
          <w:sz w:val="32"/>
          <w:szCs w:val="32"/>
          <w:lang w:eastAsia="zh-CN"/>
        </w:rPr>
        <w:t>了解你的业务</w:t>
      </w:r>
      <w:r>
        <w:rPr>
          <w:rFonts w:hint="eastAsia" w:ascii="Times New Roman" w:hAnsi="Times New Roman" w:cs="Times New Roman"/>
          <w:b w:val="0"/>
          <w:bCs w:val="0"/>
          <w:color w:val="auto"/>
          <w:spacing w:val="-6"/>
          <w:kern w:val="2"/>
          <w:sz w:val="32"/>
          <w:szCs w:val="32"/>
          <w:lang w:eastAsia="zh-CN"/>
        </w:rPr>
        <w:t>”</w:t>
      </w:r>
      <w:r>
        <w:rPr>
          <w:rFonts w:hint="eastAsia" w:ascii="Times New Roman" w:hAnsi="仿宋_GB2312" w:eastAsia="仿宋_GB2312" w:cs="Times New Roman"/>
          <w:b w:val="0"/>
          <w:bCs w:val="0"/>
          <w:color w:val="auto"/>
          <w:spacing w:val="-6"/>
          <w:kern w:val="2"/>
          <w:sz w:val="32"/>
          <w:szCs w:val="32"/>
          <w:lang w:eastAsia="zh-CN"/>
        </w:rPr>
        <w:t>原则，利用互联互通平台货物流信息开展业务真实性审核，确保付汇信息与进口货物流信息相一致。</w:t>
      </w:r>
      <w:r>
        <w:rPr>
          <w:rFonts w:hint="eastAsia" w:ascii="Times New Roman" w:hAnsi="仿宋_GB2312" w:eastAsia="仿宋_GB2312" w:cs="Times New Roman"/>
          <w:b w:val="0"/>
          <w:bCs w:val="0"/>
          <w:color w:val="auto"/>
          <w:spacing w:val="0"/>
          <w:kern w:val="2"/>
          <w:sz w:val="32"/>
          <w:szCs w:val="32"/>
          <w:lang w:eastAsia="zh-CN"/>
        </w:rPr>
        <w:t>银行应对代理付汇业务是否符合逻辑，交易单据是否明确委托采购、跨境结算等要素，跨境结算资金来源是否合规等进行合理审查。</w:t>
      </w:r>
    </w:p>
    <w:p>
      <w:pPr>
        <w:widowControl w:val="0"/>
        <w:numPr>
          <w:ilvl w:val="0"/>
          <w:numId w:val="2"/>
        </w:numPr>
        <w:kinsoku w:val="0"/>
        <w:wordWrap/>
        <w:autoSpaceDE w:val="0"/>
        <w:autoSpaceDN w:val="0"/>
        <w:adjustRightInd/>
        <w:snapToGrid/>
        <w:spacing w:line="570" w:lineRule="exact"/>
        <w:ind w:left="0" w:leftChars="0" w:right="0" w:firstLine="630" w:firstLineChars="200"/>
        <w:jc w:val="both"/>
        <w:textAlignment w:val="auto"/>
        <w:outlineLvl w:val="9"/>
        <w:rPr>
          <w:rFonts w:ascii="Times New Roman" w:hAnsi="Times New Roman" w:eastAsia="楷体_GB2312" w:cs="Times New Roman"/>
          <w:b w:val="0"/>
          <w:bCs w:val="0"/>
          <w:color w:val="auto"/>
          <w:spacing w:val="0"/>
          <w:sz w:val="32"/>
          <w:szCs w:val="32"/>
          <w:lang w:eastAsia="zh-CN"/>
        </w:rPr>
      </w:pPr>
      <w:r>
        <w:rPr>
          <w:rFonts w:hint="eastAsia" w:ascii="Times New Roman" w:hAnsi="楷体_GB2312" w:eastAsia="楷体_GB2312" w:cs="Times New Roman"/>
          <w:b w:val="0"/>
          <w:bCs w:val="0"/>
          <w:color w:val="auto"/>
          <w:spacing w:val="0"/>
          <w:sz w:val="32"/>
          <w:szCs w:val="32"/>
          <w:lang w:eastAsia="zh-CN"/>
        </w:rPr>
        <w:t>事后跟踪管理及异常线索报告</w:t>
      </w:r>
    </w:p>
    <w:p>
      <w:pPr>
        <w:widowControl w:val="0"/>
        <w:kinsoku w:val="0"/>
        <w:wordWrap/>
        <w:autoSpaceDE w:val="0"/>
        <w:autoSpaceDN w:val="0"/>
        <w:adjustRightInd/>
        <w:snapToGrid/>
        <w:spacing w:line="570" w:lineRule="exact"/>
        <w:ind w:left="0" w:leftChars="0" w:right="0" w:firstLine="630" w:firstLineChars="200"/>
        <w:jc w:val="both"/>
        <w:textAlignment w:val="auto"/>
        <w:outlineLvl w:val="9"/>
        <w:rPr>
          <w:rFonts w:ascii="Times New Roman" w:hAnsi="Times New Roman" w:eastAsia="仿宋_GB2312" w:cs="Times New Roman"/>
          <w:b w:val="0"/>
          <w:bCs w:val="0"/>
          <w:color w:val="auto"/>
          <w:spacing w:val="0"/>
          <w:kern w:val="2"/>
          <w:sz w:val="32"/>
          <w:szCs w:val="32"/>
          <w:lang w:eastAsia="zh-CN"/>
        </w:rPr>
      </w:pPr>
      <w:r>
        <w:rPr>
          <w:rFonts w:hint="eastAsia" w:ascii="Times New Roman" w:hAnsi="仿宋_GB2312" w:eastAsia="仿宋_GB2312" w:cs="Times New Roman"/>
          <w:b w:val="0"/>
          <w:bCs w:val="0"/>
          <w:color w:val="auto"/>
          <w:spacing w:val="0"/>
          <w:kern w:val="2"/>
          <w:sz w:val="32"/>
          <w:szCs w:val="32"/>
          <w:lang w:eastAsia="zh-CN"/>
        </w:rPr>
        <w:t>经办银行应依托互联互通平台定期对新型互市</w:t>
      </w:r>
      <w:r>
        <w:rPr>
          <w:rFonts w:hint="eastAsia" w:ascii="Times New Roman" w:hAnsi="仿宋_GB2312" w:cs="Times New Roman"/>
          <w:b w:val="0"/>
          <w:bCs w:val="0"/>
          <w:color w:val="auto"/>
          <w:spacing w:val="0"/>
          <w:kern w:val="2"/>
          <w:sz w:val="32"/>
          <w:szCs w:val="32"/>
          <w:lang w:eastAsia="zh-CN"/>
        </w:rPr>
        <w:t>贸易</w:t>
      </w:r>
      <w:r>
        <w:rPr>
          <w:rFonts w:ascii="Times New Roman" w:hAnsi="仿宋_GB2312" w:eastAsia="仿宋_GB2312" w:cs="Times New Roman"/>
          <w:b w:val="0"/>
          <w:bCs w:val="0"/>
          <w:color w:val="auto"/>
          <w:spacing w:val="0"/>
          <w:kern w:val="2"/>
          <w:sz w:val="32"/>
          <w:szCs w:val="32"/>
          <w:lang w:eastAsia="zh-CN"/>
        </w:rPr>
        <w:t>代理企业</w:t>
      </w:r>
      <w:r>
        <w:rPr>
          <w:rFonts w:hint="eastAsia" w:ascii="Times New Roman" w:hAnsi="仿宋_GB2312" w:eastAsia="仿宋_GB2312" w:cs="Times New Roman"/>
          <w:b w:val="0"/>
          <w:bCs w:val="0"/>
          <w:color w:val="auto"/>
          <w:spacing w:val="0"/>
          <w:kern w:val="2"/>
          <w:sz w:val="32"/>
          <w:szCs w:val="32"/>
          <w:lang w:eastAsia="zh-CN"/>
        </w:rPr>
        <w:t>付汇业务开展后续跟踪管理，重点关注预付货款项下交易是否按时足额进口，事后是否及时核验。经办银行按规定及时准确进行国际收支申报，加强对购付汇业务变化情况的监测，发现可疑业务应及时向所在地外汇局报告。</w:t>
      </w:r>
    </w:p>
    <w:sectPr>
      <w:footerReference r:id="rId5" w:type="default"/>
      <w:footerReference r:id="rId6" w:type="even"/>
      <w:pgSz w:w="11880" w:h="16820"/>
      <w:pgMar w:top="2098" w:right="1531" w:bottom="1984" w:left="1531" w:header="0" w:footer="1417" w:gutter="0"/>
      <w:paperSrc w:first="0" w:other="0"/>
      <w:pgNumType w:fmt="decimal" w:start="4"/>
      <w:cols w:space="720" w:num="1"/>
      <w:rtlGutter w:val="0"/>
      <w:docGrid w:type="linesAndChars" w:linePitch="579" w:charSpace="-10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widowControl/>
      <w:kinsoku w:val="0"/>
      <w:wordWrap/>
      <w:autoSpaceDE w:val="0"/>
      <w:autoSpaceDN w:val="0"/>
      <w:adjustRightInd w:val="0"/>
      <w:snapToGrid w:val="0"/>
      <w:spacing w:line="240" w:lineRule="auto"/>
      <w:ind w:left="0" w:leftChars="0" w:right="320" w:rightChars="100" w:firstLine="0" w:firstLineChars="0"/>
      <w:jc w:val="right"/>
      <w:textAlignment w:val="baseline"/>
      <w:outlineLvl w:val="9"/>
      <w:rPr>
        <w:rFonts w:hint="eastAsia" w:ascii="宋体" w:hAnsi="宋体" w:eastAsia="宋体" w:cs="宋体"/>
        <w:sz w:val="28"/>
        <w:szCs w:val="28"/>
        <w:lang w:eastAsia="zh-CN"/>
      </w:rPr>
    </w:pPr>
    <w:r>
      <w:rPr>
        <w:rFonts w:hint="eastAsia" w:ascii="宋体" w:hAnsi="宋体" w:eastAsia="宋体"/>
        <w:sz w:val="28"/>
      </w:rPr>
      <w:t xml:space="preserve">— </w:t>
    </w:r>
    <w:r>
      <w:rPr>
        <w:rFonts w:hint="eastAsia" w:ascii="宋体" w:hAnsi="宋体" w:eastAsia="宋体"/>
        <w:sz w:val="28"/>
      </w:rPr>
      <w:fldChar w:fldCharType="begin"/>
    </w:r>
    <w:r>
      <w:rPr>
        <w:rFonts w:hint="eastAsia" w:ascii="宋体" w:hAnsi="宋体" w:eastAsia="宋体"/>
        <w:sz w:val="28"/>
      </w:rPr>
      <w:instrText xml:space="preserve"> PAGE  </w:instrText>
    </w:r>
    <w:r>
      <w:rPr>
        <w:rFonts w:hint="eastAsia" w:ascii="宋体" w:hAnsi="宋体" w:eastAsia="宋体"/>
        <w:sz w:val="28"/>
      </w:rPr>
      <w:fldChar w:fldCharType="separate"/>
    </w:r>
    <w:r>
      <w:rPr>
        <w:rFonts w:ascii="宋体" w:hAnsi="宋体" w:eastAsia="宋体"/>
        <w:sz w:val="28"/>
        <w:lang/>
      </w:rPr>
      <w:t>2</w:t>
    </w:r>
    <w:r>
      <w:rPr>
        <w:rFonts w:hint="eastAsia" w:ascii="宋体" w:hAnsi="宋体" w:eastAsia="宋体"/>
        <w:sz w:val="28"/>
      </w:rPr>
      <w:fldChar w:fldCharType="end"/>
    </w:r>
    <w:r>
      <w:rPr>
        <w:rFonts w:hint="eastAsia"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widowControl/>
      <w:kinsoku w:val="0"/>
      <w:wordWrap/>
      <w:autoSpaceDE w:val="0"/>
      <w:autoSpaceDN w:val="0"/>
      <w:adjustRightInd w:val="0"/>
      <w:snapToGrid w:val="0"/>
      <w:spacing w:line="240" w:lineRule="auto"/>
      <w:ind w:left="320" w:leftChars="100" w:right="0" w:firstLine="0" w:firstLineChars="0"/>
      <w:jc w:val="left"/>
      <w:textAlignment w:val="baseline"/>
      <w:outlineLvl w:val="9"/>
    </w:pPr>
    <w:r>
      <w:rPr>
        <w:rFonts w:hint="eastAsia" w:ascii="宋体" w:hAnsi="宋体" w:eastAsia="宋体"/>
        <w:sz w:val="28"/>
      </w:rPr>
      <w:t xml:space="preserve">— </w:t>
    </w:r>
    <w:r>
      <w:rPr>
        <w:rFonts w:hint="eastAsia" w:ascii="宋体" w:hAnsi="宋体" w:eastAsia="宋体"/>
        <w:sz w:val="28"/>
      </w:rPr>
      <w:fldChar w:fldCharType="begin"/>
    </w:r>
    <w:r>
      <w:rPr>
        <w:rFonts w:hint="eastAsia" w:ascii="宋体" w:hAnsi="宋体" w:eastAsia="宋体"/>
        <w:sz w:val="28"/>
      </w:rPr>
      <w:instrText xml:space="preserve"> PAGE  </w:instrText>
    </w:r>
    <w:r>
      <w:rPr>
        <w:rFonts w:hint="eastAsia" w:ascii="宋体" w:hAnsi="宋体" w:eastAsia="宋体"/>
        <w:sz w:val="28"/>
      </w:rPr>
      <w:fldChar w:fldCharType="separate"/>
    </w:r>
    <w:r>
      <w:rPr>
        <w:rFonts w:ascii="宋体" w:hAnsi="宋体" w:eastAsia="宋体"/>
        <w:sz w:val="28"/>
        <w:lang/>
      </w:rPr>
      <w:t>2</w:t>
    </w:r>
    <w:r>
      <w:rPr>
        <w:rFonts w:hint="eastAsia" w:ascii="宋体" w:hAnsi="宋体" w:eastAsia="宋体"/>
        <w:sz w:val="28"/>
      </w:rPr>
      <w:fldChar w:fldCharType="end"/>
    </w:r>
    <w:r>
      <w:rPr>
        <w:rFonts w:hint="eastAsia" w:ascii="宋体" w:hAnsi="宋体" w:eastAsia="宋体"/>
        <w:sz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footnote w:id="0">
    <w:p>
      <w:pPr>
        <w:pStyle w:val="7"/>
        <w:widowControl/>
        <w:kinsoku w:val="0"/>
        <w:wordWrap/>
        <w:autoSpaceDE w:val="0"/>
        <w:autoSpaceDN w:val="0"/>
        <w:adjustRightInd w:val="0"/>
        <w:snapToGrid w:val="0"/>
        <w:spacing w:line="340" w:lineRule="exact"/>
        <w:ind w:left="157" w:leftChars="0" w:right="0" w:hanging="157" w:hangingChars="75"/>
        <w:jc w:val="left"/>
        <w:textAlignment w:val="baseline"/>
        <w:outlineLvl w:val="9"/>
        <w:rPr>
          <w:rFonts w:hint="eastAsia" w:ascii="仿宋_GB2312" w:hAnsi="仿宋_GB2312" w:eastAsia="仿宋_GB2312" w:cs="仿宋_GB2312"/>
          <w:sz w:val="21"/>
          <w:szCs w:val="21"/>
        </w:rPr>
      </w:pPr>
      <w:r>
        <w:rPr>
          <w:rStyle w:val="9"/>
          <w:rFonts w:hint="eastAsia" w:ascii="仿宋_GB2312" w:hAnsi="仿宋_GB2312" w:eastAsia="仿宋_GB2312" w:cs="仿宋_GB2312"/>
          <w:sz w:val="21"/>
          <w:szCs w:val="21"/>
        </w:rPr>
        <w:footnoteRef/>
      </w:r>
      <w:r>
        <w:rPr>
          <w:rFonts w:hint="eastAsia" w:ascii="仿宋_GB2312" w:hAnsi="仿宋_GB2312" w:eastAsia="仿宋_GB2312" w:cs="仿宋_GB2312"/>
          <w:sz w:val="21"/>
          <w:szCs w:val="21"/>
        </w:rPr>
        <w:t xml:space="preserve"> 边民可以个人身份或通过边民互助组、边民合作社等合作组织开展边民互市贸易，本操作规程统一用</w:t>
      </w:r>
      <w:r>
        <w:rPr>
          <w:rFonts w:hint="eastAsia" w:ascii="仿宋_GB2312" w:hAnsi="仿宋_GB2312" w:cs="仿宋_GB2312"/>
          <w:sz w:val="21"/>
          <w:szCs w:val="21"/>
          <w:lang w:eastAsia="zh-CN"/>
        </w:rPr>
        <w:t>“</w:t>
      </w:r>
      <w:r>
        <w:rPr>
          <w:rFonts w:hint="eastAsia" w:ascii="仿宋_GB2312" w:hAnsi="仿宋_GB2312" w:eastAsia="仿宋_GB2312" w:cs="仿宋_GB2312"/>
          <w:sz w:val="21"/>
          <w:szCs w:val="21"/>
        </w:rPr>
        <w:t>边民</w:t>
      </w:r>
      <w:r>
        <w:rPr>
          <w:rFonts w:hint="eastAsia" w:ascii="仿宋_GB2312" w:hAnsi="仿宋_GB2312" w:cs="仿宋_GB2312"/>
          <w:sz w:val="21"/>
          <w:szCs w:val="21"/>
          <w:lang w:eastAsia="zh-CN"/>
        </w:rPr>
        <w:t>”</w:t>
      </w:r>
      <w:r>
        <w:rPr>
          <w:rFonts w:hint="eastAsia" w:ascii="仿宋_GB2312" w:hAnsi="仿宋_GB2312" w:eastAsia="仿宋_GB2312" w:cs="仿宋_GB2312"/>
          <w:sz w:val="21"/>
          <w:szCs w:val="21"/>
        </w:rPr>
        <w:t>表述</w:t>
      </w:r>
      <w:r>
        <w:rPr>
          <w:rFonts w:hint="eastAsia" w:ascii="仿宋_GB2312" w:hAnsi="仿宋_GB2312" w:eastAsia="仿宋_GB2312" w:cs="仿宋_GB2312"/>
          <w:sz w:val="21"/>
          <w:szCs w:val="21"/>
          <w:lang w:eastAsia="zh-C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05974673">
    <w:nsid w:val="65AF1B91"/>
    <w:multiLevelType w:val="singleLevel"/>
    <w:tmpl w:val="65AF1B91"/>
    <w:lvl w:ilvl="0" w:tentative="1">
      <w:start w:val="1"/>
      <w:numFmt w:val="chineseCounting"/>
      <w:suff w:val="nothing"/>
      <w:lvlText w:val="（%1）"/>
      <w:lvlJc w:val="left"/>
    </w:lvl>
  </w:abstractNum>
  <w:abstractNum w:abstractNumId="1699587119">
    <w:nsid w:val="654DA42F"/>
    <w:multiLevelType w:val="singleLevel"/>
    <w:tmpl w:val="654DA42F"/>
    <w:lvl w:ilvl="0" w:tentative="1">
      <w:start w:val="2"/>
      <w:numFmt w:val="decimal"/>
      <w:suff w:val="nothing"/>
      <w:lvlText w:val="（%1）"/>
      <w:lvlJc w:val="left"/>
    </w:lvl>
  </w:abstractNum>
  <w:num w:numId="1">
    <w:abstractNumId w:val="1699587119"/>
  </w:num>
  <w:num w:numId="2">
    <w:abstractNumId w:val="17059746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evenAndOddHeaders w:val="1"/>
  <w:drawingGridHorizontalSpacing w:val="157"/>
  <w:drawingGridVerticalSpacing w:val="290"/>
  <w:displayHorizontalDrawingGridEvery w:val="2"/>
  <w:displayVerticalDrawingGridEvery w:val="2"/>
  <w:noPunctuationKerning w:val="1"/>
  <w:characterSpacingControl w:val="doNotCompress"/>
  <w:compat>
    <w:spaceForUL/>
    <w:doNotLeaveBackslashAlone/>
    <w:ulTrailSpace/>
    <w:splitPgBreakAndParaMark/>
    <w:doNotExpandShiftReturn/>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OTZjZTc3ZmU4NGFjOWQ1NzhkZDMyZThjZTUyM2JkODUifQ=="/>
    <w:docVar w:name="KGWebUrl" w:val="http://11.72.25.54:8080/COS6/weboffice/attachment/server"/>
  </w:docVars>
  <w:rsids>
    <w:rsidRoot w:val="00863F3B"/>
    <w:rsid w:val="00093AC1"/>
    <w:rsid w:val="000D72E9"/>
    <w:rsid w:val="00140B77"/>
    <w:rsid w:val="001735EA"/>
    <w:rsid w:val="001F1C5E"/>
    <w:rsid w:val="002779B2"/>
    <w:rsid w:val="002D4C74"/>
    <w:rsid w:val="003937F9"/>
    <w:rsid w:val="003A601F"/>
    <w:rsid w:val="00435670"/>
    <w:rsid w:val="00525F93"/>
    <w:rsid w:val="00566561"/>
    <w:rsid w:val="00580E08"/>
    <w:rsid w:val="0059130D"/>
    <w:rsid w:val="005C1C86"/>
    <w:rsid w:val="00727345"/>
    <w:rsid w:val="007D7749"/>
    <w:rsid w:val="007E79AC"/>
    <w:rsid w:val="00804B56"/>
    <w:rsid w:val="00863F3B"/>
    <w:rsid w:val="008A739E"/>
    <w:rsid w:val="008B6F43"/>
    <w:rsid w:val="009B2E45"/>
    <w:rsid w:val="00A12750"/>
    <w:rsid w:val="00A76C09"/>
    <w:rsid w:val="00A82CB9"/>
    <w:rsid w:val="00AD4583"/>
    <w:rsid w:val="00B21A1E"/>
    <w:rsid w:val="00B62FA4"/>
    <w:rsid w:val="00B67DEE"/>
    <w:rsid w:val="00C30D3B"/>
    <w:rsid w:val="00C81762"/>
    <w:rsid w:val="00D1598F"/>
    <w:rsid w:val="00D534DC"/>
    <w:rsid w:val="00D568C9"/>
    <w:rsid w:val="00E02728"/>
    <w:rsid w:val="00F91637"/>
    <w:rsid w:val="00FC4D8F"/>
    <w:rsid w:val="00FE4621"/>
    <w:rsid w:val="01386293"/>
    <w:rsid w:val="01D11108"/>
    <w:rsid w:val="02487599"/>
    <w:rsid w:val="02761A33"/>
    <w:rsid w:val="036156A9"/>
    <w:rsid w:val="03BC7897"/>
    <w:rsid w:val="03FE40F7"/>
    <w:rsid w:val="03FF3F1C"/>
    <w:rsid w:val="04742814"/>
    <w:rsid w:val="049C4DDD"/>
    <w:rsid w:val="04D80CAD"/>
    <w:rsid w:val="04E059F1"/>
    <w:rsid w:val="0547541A"/>
    <w:rsid w:val="059874FE"/>
    <w:rsid w:val="05E46A21"/>
    <w:rsid w:val="06AB60C8"/>
    <w:rsid w:val="06AF4A89"/>
    <w:rsid w:val="06D340E5"/>
    <w:rsid w:val="07253719"/>
    <w:rsid w:val="07426901"/>
    <w:rsid w:val="07571FD5"/>
    <w:rsid w:val="075E4984"/>
    <w:rsid w:val="07810F0B"/>
    <w:rsid w:val="07A43B8D"/>
    <w:rsid w:val="07BF37C7"/>
    <w:rsid w:val="07CF23BD"/>
    <w:rsid w:val="09953D08"/>
    <w:rsid w:val="09C445BC"/>
    <w:rsid w:val="09C46282"/>
    <w:rsid w:val="09D53C88"/>
    <w:rsid w:val="09E47C61"/>
    <w:rsid w:val="0A3D1248"/>
    <w:rsid w:val="0A7525C8"/>
    <w:rsid w:val="0A7B06B6"/>
    <w:rsid w:val="0A925A9F"/>
    <w:rsid w:val="0B0165BE"/>
    <w:rsid w:val="0B9F4D46"/>
    <w:rsid w:val="0C021A3D"/>
    <w:rsid w:val="0C5A55C7"/>
    <w:rsid w:val="0CE74C2A"/>
    <w:rsid w:val="0CFE6A32"/>
    <w:rsid w:val="0D6E2EB6"/>
    <w:rsid w:val="0E0144E7"/>
    <w:rsid w:val="0E09217F"/>
    <w:rsid w:val="0E447078"/>
    <w:rsid w:val="0ED04BE7"/>
    <w:rsid w:val="0EE716D2"/>
    <w:rsid w:val="0F694271"/>
    <w:rsid w:val="0F8E4A8D"/>
    <w:rsid w:val="0FCF0E5A"/>
    <w:rsid w:val="10A96BF7"/>
    <w:rsid w:val="11814673"/>
    <w:rsid w:val="11B83475"/>
    <w:rsid w:val="11C97844"/>
    <w:rsid w:val="11DF047F"/>
    <w:rsid w:val="1253666B"/>
    <w:rsid w:val="131770FF"/>
    <w:rsid w:val="13D55A4A"/>
    <w:rsid w:val="13FC3AAF"/>
    <w:rsid w:val="145265F5"/>
    <w:rsid w:val="1457153B"/>
    <w:rsid w:val="15634C47"/>
    <w:rsid w:val="15DA0620"/>
    <w:rsid w:val="1681280E"/>
    <w:rsid w:val="168B5DEF"/>
    <w:rsid w:val="16A46A9B"/>
    <w:rsid w:val="16C43155"/>
    <w:rsid w:val="183C4356"/>
    <w:rsid w:val="18447F66"/>
    <w:rsid w:val="18D15677"/>
    <w:rsid w:val="18E12B15"/>
    <w:rsid w:val="192477D5"/>
    <w:rsid w:val="19333B23"/>
    <w:rsid w:val="19F873A5"/>
    <w:rsid w:val="1A0F34C3"/>
    <w:rsid w:val="1AE24DD6"/>
    <w:rsid w:val="1B72185A"/>
    <w:rsid w:val="1BD603C4"/>
    <w:rsid w:val="1C556282"/>
    <w:rsid w:val="1C9651C0"/>
    <w:rsid w:val="1CF00704"/>
    <w:rsid w:val="1E5B41C7"/>
    <w:rsid w:val="1E6D218E"/>
    <w:rsid w:val="1F1673AE"/>
    <w:rsid w:val="1F38453F"/>
    <w:rsid w:val="1F423948"/>
    <w:rsid w:val="1F4D4E94"/>
    <w:rsid w:val="1F8D30EC"/>
    <w:rsid w:val="1FAA2C48"/>
    <w:rsid w:val="208A62AE"/>
    <w:rsid w:val="20C84AC5"/>
    <w:rsid w:val="20FF0E65"/>
    <w:rsid w:val="211F1D6F"/>
    <w:rsid w:val="21514E41"/>
    <w:rsid w:val="216A1161"/>
    <w:rsid w:val="21B84E4F"/>
    <w:rsid w:val="21F34BD1"/>
    <w:rsid w:val="22292FF5"/>
    <w:rsid w:val="22BF2471"/>
    <w:rsid w:val="231E44A2"/>
    <w:rsid w:val="25067D25"/>
    <w:rsid w:val="2602055B"/>
    <w:rsid w:val="26253051"/>
    <w:rsid w:val="26A91ABD"/>
    <w:rsid w:val="28176FD7"/>
    <w:rsid w:val="28A54218"/>
    <w:rsid w:val="28B568E2"/>
    <w:rsid w:val="292D45C1"/>
    <w:rsid w:val="29BB459E"/>
    <w:rsid w:val="29CD7C8F"/>
    <w:rsid w:val="29F63849"/>
    <w:rsid w:val="2A0D1C9C"/>
    <w:rsid w:val="2A2D521B"/>
    <w:rsid w:val="2ACA5277"/>
    <w:rsid w:val="2ACC4322"/>
    <w:rsid w:val="2BFB40E0"/>
    <w:rsid w:val="2C1013A1"/>
    <w:rsid w:val="2C3C1E00"/>
    <w:rsid w:val="2C403E86"/>
    <w:rsid w:val="2C576C31"/>
    <w:rsid w:val="2CF46D1D"/>
    <w:rsid w:val="2CFC74F8"/>
    <w:rsid w:val="2D801526"/>
    <w:rsid w:val="2DE1178D"/>
    <w:rsid w:val="2DEC698C"/>
    <w:rsid w:val="2E013600"/>
    <w:rsid w:val="2EE15885"/>
    <w:rsid w:val="2F46139F"/>
    <w:rsid w:val="2F764EEC"/>
    <w:rsid w:val="2FBC10FF"/>
    <w:rsid w:val="302600C0"/>
    <w:rsid w:val="30305B1B"/>
    <w:rsid w:val="30450A27"/>
    <w:rsid w:val="30AC1810"/>
    <w:rsid w:val="3136196D"/>
    <w:rsid w:val="31620632"/>
    <w:rsid w:val="317D7323"/>
    <w:rsid w:val="31DC024F"/>
    <w:rsid w:val="3207340B"/>
    <w:rsid w:val="3223249C"/>
    <w:rsid w:val="32666055"/>
    <w:rsid w:val="32991796"/>
    <w:rsid w:val="32A95AEE"/>
    <w:rsid w:val="32B72D18"/>
    <w:rsid w:val="32C66CB3"/>
    <w:rsid w:val="33C54792"/>
    <w:rsid w:val="33CA47F8"/>
    <w:rsid w:val="33CA539A"/>
    <w:rsid w:val="33F513A6"/>
    <w:rsid w:val="35463C99"/>
    <w:rsid w:val="35D53DA9"/>
    <w:rsid w:val="35FB5FF4"/>
    <w:rsid w:val="361F2A90"/>
    <w:rsid w:val="3697402A"/>
    <w:rsid w:val="36C06A60"/>
    <w:rsid w:val="36C734C5"/>
    <w:rsid w:val="36D83E59"/>
    <w:rsid w:val="37377AF1"/>
    <w:rsid w:val="37B91352"/>
    <w:rsid w:val="38286F96"/>
    <w:rsid w:val="384303C6"/>
    <w:rsid w:val="387E6417"/>
    <w:rsid w:val="389A1854"/>
    <w:rsid w:val="38C42CC6"/>
    <w:rsid w:val="39557C2A"/>
    <w:rsid w:val="3992006C"/>
    <w:rsid w:val="39934F3A"/>
    <w:rsid w:val="399969B7"/>
    <w:rsid w:val="39BB2D31"/>
    <w:rsid w:val="39D04B68"/>
    <w:rsid w:val="3ADD5A54"/>
    <w:rsid w:val="3AF00E3A"/>
    <w:rsid w:val="3B006A2C"/>
    <w:rsid w:val="3B1D3526"/>
    <w:rsid w:val="3BA4657A"/>
    <w:rsid w:val="3C96290D"/>
    <w:rsid w:val="3CCC3927"/>
    <w:rsid w:val="3D0354C0"/>
    <w:rsid w:val="3E2B4C39"/>
    <w:rsid w:val="3EBF69F3"/>
    <w:rsid w:val="3F76689A"/>
    <w:rsid w:val="3FC35734"/>
    <w:rsid w:val="3FC56F73"/>
    <w:rsid w:val="40170D47"/>
    <w:rsid w:val="40597082"/>
    <w:rsid w:val="40CD69E7"/>
    <w:rsid w:val="41A37763"/>
    <w:rsid w:val="41CC61C3"/>
    <w:rsid w:val="41D461AB"/>
    <w:rsid w:val="42213584"/>
    <w:rsid w:val="429E4CFF"/>
    <w:rsid w:val="42D12BAA"/>
    <w:rsid w:val="43344B2C"/>
    <w:rsid w:val="44447295"/>
    <w:rsid w:val="445B66F8"/>
    <w:rsid w:val="445C750D"/>
    <w:rsid w:val="446D5ED6"/>
    <w:rsid w:val="447A0525"/>
    <w:rsid w:val="458F18EB"/>
    <w:rsid w:val="45D05A62"/>
    <w:rsid w:val="45FE1933"/>
    <w:rsid w:val="46394661"/>
    <w:rsid w:val="47056CD3"/>
    <w:rsid w:val="47146CDF"/>
    <w:rsid w:val="4753316A"/>
    <w:rsid w:val="47CF2B6A"/>
    <w:rsid w:val="482E08A1"/>
    <w:rsid w:val="48CC1CE6"/>
    <w:rsid w:val="490A7BAE"/>
    <w:rsid w:val="493F35C5"/>
    <w:rsid w:val="49C92F0C"/>
    <w:rsid w:val="49FF2F66"/>
    <w:rsid w:val="4A3840AA"/>
    <w:rsid w:val="4AB27051"/>
    <w:rsid w:val="4B3F6E2D"/>
    <w:rsid w:val="4B8F7407"/>
    <w:rsid w:val="4BC15523"/>
    <w:rsid w:val="4BF85A1F"/>
    <w:rsid w:val="4C8C318B"/>
    <w:rsid w:val="4C9F3277"/>
    <w:rsid w:val="4DC15181"/>
    <w:rsid w:val="4E294BFD"/>
    <w:rsid w:val="4E6331B5"/>
    <w:rsid w:val="4EA677A0"/>
    <w:rsid w:val="4EB15D2B"/>
    <w:rsid w:val="4ED541D7"/>
    <w:rsid w:val="4F025CBD"/>
    <w:rsid w:val="4F166187"/>
    <w:rsid w:val="4F197E75"/>
    <w:rsid w:val="50A94EB4"/>
    <w:rsid w:val="51137B5E"/>
    <w:rsid w:val="51633992"/>
    <w:rsid w:val="51BB6232"/>
    <w:rsid w:val="523F133C"/>
    <w:rsid w:val="52A477A6"/>
    <w:rsid w:val="52CB5540"/>
    <w:rsid w:val="52F96B4F"/>
    <w:rsid w:val="53B570DF"/>
    <w:rsid w:val="54546574"/>
    <w:rsid w:val="547C2A69"/>
    <w:rsid w:val="54CF2072"/>
    <w:rsid w:val="54F551AE"/>
    <w:rsid w:val="553A78B2"/>
    <w:rsid w:val="55951DF8"/>
    <w:rsid w:val="55987B50"/>
    <w:rsid w:val="5676792F"/>
    <w:rsid w:val="56CD270B"/>
    <w:rsid w:val="56F834B1"/>
    <w:rsid w:val="576D7B55"/>
    <w:rsid w:val="586012E8"/>
    <w:rsid w:val="5A2A468A"/>
    <w:rsid w:val="5A5257AC"/>
    <w:rsid w:val="5A9F2CB9"/>
    <w:rsid w:val="5ADE3B75"/>
    <w:rsid w:val="5B1E115C"/>
    <w:rsid w:val="5B5E69F9"/>
    <w:rsid w:val="5B6C6BA9"/>
    <w:rsid w:val="5B8E28E2"/>
    <w:rsid w:val="5B941E43"/>
    <w:rsid w:val="5B9B76D6"/>
    <w:rsid w:val="5BDB3C6C"/>
    <w:rsid w:val="5BF262E1"/>
    <w:rsid w:val="5C9025BE"/>
    <w:rsid w:val="5D995CE8"/>
    <w:rsid w:val="5DBE7BBA"/>
    <w:rsid w:val="5DDF427E"/>
    <w:rsid w:val="5E1726CD"/>
    <w:rsid w:val="5E516E1F"/>
    <w:rsid w:val="5F31171D"/>
    <w:rsid w:val="5F6D38F9"/>
    <w:rsid w:val="5F76193C"/>
    <w:rsid w:val="5F7F1EC0"/>
    <w:rsid w:val="5FFB6298"/>
    <w:rsid w:val="600F291F"/>
    <w:rsid w:val="6025565F"/>
    <w:rsid w:val="61C95F07"/>
    <w:rsid w:val="622B6631"/>
    <w:rsid w:val="62897CDA"/>
    <w:rsid w:val="62926F93"/>
    <w:rsid w:val="6318327D"/>
    <w:rsid w:val="631C5123"/>
    <w:rsid w:val="635C3B47"/>
    <w:rsid w:val="641B5983"/>
    <w:rsid w:val="64901499"/>
    <w:rsid w:val="6504172E"/>
    <w:rsid w:val="65C543BE"/>
    <w:rsid w:val="65F20226"/>
    <w:rsid w:val="670E2D01"/>
    <w:rsid w:val="672F58F8"/>
    <w:rsid w:val="67A7028E"/>
    <w:rsid w:val="67BC629C"/>
    <w:rsid w:val="67D54485"/>
    <w:rsid w:val="681E10BE"/>
    <w:rsid w:val="68D248E9"/>
    <w:rsid w:val="68D5605A"/>
    <w:rsid w:val="691B4305"/>
    <w:rsid w:val="69400AD4"/>
    <w:rsid w:val="694A2055"/>
    <w:rsid w:val="6972705D"/>
    <w:rsid w:val="6A443DC4"/>
    <w:rsid w:val="6A590003"/>
    <w:rsid w:val="6A7E6BA1"/>
    <w:rsid w:val="6AB41B37"/>
    <w:rsid w:val="6B763956"/>
    <w:rsid w:val="6BEF4958"/>
    <w:rsid w:val="6BFB2F9C"/>
    <w:rsid w:val="6C373645"/>
    <w:rsid w:val="6C9F1B38"/>
    <w:rsid w:val="6CAF29EB"/>
    <w:rsid w:val="6DBA7A72"/>
    <w:rsid w:val="6DFB6773"/>
    <w:rsid w:val="6E58162B"/>
    <w:rsid w:val="6E722F70"/>
    <w:rsid w:val="6EF97C6E"/>
    <w:rsid w:val="6F015F79"/>
    <w:rsid w:val="6F2E666D"/>
    <w:rsid w:val="6FC81A94"/>
    <w:rsid w:val="705E3694"/>
    <w:rsid w:val="7142617B"/>
    <w:rsid w:val="717070F2"/>
    <w:rsid w:val="71943E94"/>
    <w:rsid w:val="71DE64EC"/>
    <w:rsid w:val="71FE241D"/>
    <w:rsid w:val="72E753DE"/>
    <w:rsid w:val="72F329B0"/>
    <w:rsid w:val="73100DF8"/>
    <w:rsid w:val="732E4CFB"/>
    <w:rsid w:val="73460EEF"/>
    <w:rsid w:val="73855F19"/>
    <w:rsid w:val="73E5202D"/>
    <w:rsid w:val="745E5F1E"/>
    <w:rsid w:val="74894E48"/>
    <w:rsid w:val="75344EA4"/>
    <w:rsid w:val="753B6AAC"/>
    <w:rsid w:val="75C36783"/>
    <w:rsid w:val="763543C7"/>
    <w:rsid w:val="76544311"/>
    <w:rsid w:val="76B96C16"/>
    <w:rsid w:val="77AD6477"/>
    <w:rsid w:val="78122194"/>
    <w:rsid w:val="785559FA"/>
    <w:rsid w:val="78724A70"/>
    <w:rsid w:val="78AE4E27"/>
    <w:rsid w:val="79022A12"/>
    <w:rsid w:val="791118A7"/>
    <w:rsid w:val="79127B8D"/>
    <w:rsid w:val="791520C3"/>
    <w:rsid w:val="7916587B"/>
    <w:rsid w:val="79197E57"/>
    <w:rsid w:val="792033BA"/>
    <w:rsid w:val="79781BE8"/>
    <w:rsid w:val="79937967"/>
    <w:rsid w:val="79B0698B"/>
    <w:rsid w:val="79BA7ACA"/>
    <w:rsid w:val="7A487ECD"/>
    <w:rsid w:val="7A7A238D"/>
    <w:rsid w:val="7AA32B3C"/>
    <w:rsid w:val="7AD640BA"/>
    <w:rsid w:val="7B7743D8"/>
    <w:rsid w:val="7B87031D"/>
    <w:rsid w:val="7B943E7D"/>
    <w:rsid w:val="7C366FF0"/>
    <w:rsid w:val="7C486736"/>
    <w:rsid w:val="7C90440C"/>
    <w:rsid w:val="7D594C55"/>
    <w:rsid w:val="7D80558B"/>
    <w:rsid w:val="7DAE2863"/>
    <w:rsid w:val="7ED72B80"/>
    <w:rsid w:val="7EE3291E"/>
    <w:rsid w:val="7EEA4FCC"/>
    <w:rsid w:val="7F96430A"/>
    <w:rsid w:val="7FB11A8F"/>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仿宋_GB2312" w:cs="Arial"/>
      <w:snapToGrid w:val="0"/>
      <w:color w:val="000000"/>
      <w:sz w:val="32"/>
      <w:szCs w:val="21"/>
      <w:lang w:val="en-US" w:eastAsia="en-US" w:bidi="ar-SA"/>
    </w:rPr>
  </w:style>
  <w:style w:type="character" w:default="1" w:styleId="8">
    <w:name w:val="Default Paragraph Font"/>
    <w:unhideWhenUsed/>
    <w:uiPriority w:val="1"/>
  </w:style>
  <w:style w:type="table" w:default="1" w:styleId="10">
    <w:name w:val="Normal Table"/>
    <w:unhideWhenUsed/>
    <w:qFormat/>
    <w:uiPriority w:val="99"/>
    <w:tblPr>
      <w:tblStyle w:val="10"/>
      <w:tblLayout w:type="fixed"/>
      <w:tblCellMar>
        <w:top w:w="0" w:type="dxa"/>
        <w:left w:w="108" w:type="dxa"/>
        <w:bottom w:w="0" w:type="dxa"/>
        <w:right w:w="108" w:type="dxa"/>
      </w:tblCellMar>
    </w:tblPr>
    <w:tcPr>
      <w:textDirection w:val="lrTb"/>
    </w:tcPr>
  </w:style>
  <w:style w:type="paragraph" w:styleId="2">
    <w:name w:val="annotation text"/>
    <w:basedOn w:val="1"/>
    <w:qFormat/>
    <w:uiPriority w:val="0"/>
  </w:style>
  <w:style w:type="paragraph" w:styleId="3">
    <w:name w:val="Body Text"/>
    <w:basedOn w:val="1"/>
    <w:semiHidden/>
    <w:qFormat/>
    <w:uiPriority w:val="0"/>
  </w:style>
  <w:style w:type="paragraph" w:styleId="4">
    <w:name w:val="Balloon Text"/>
    <w:basedOn w:val="1"/>
    <w:link w:val="11"/>
    <w:uiPriority w:val="0"/>
    <w:rPr>
      <w:sz w:val="18"/>
      <w:szCs w:val="18"/>
    </w:rPr>
  </w:style>
  <w:style w:type="paragraph" w:styleId="5">
    <w:name w:val="footer"/>
    <w:basedOn w:val="1"/>
    <w:qFormat/>
    <w:uiPriority w:val="0"/>
    <w:pPr>
      <w:tabs>
        <w:tab w:val="center" w:pos="4153"/>
        <w:tab w:val="right" w:pos="8306"/>
      </w:tabs>
    </w:pPr>
    <w:rPr>
      <w:sz w:val="18"/>
    </w:rPr>
  </w:style>
  <w:style w:type="paragraph" w:styleId="6">
    <w:name w:val="header"/>
    <w:basedOn w:val="1"/>
    <w:link w:val="12"/>
    <w:uiPriority w:val="0"/>
    <w:pPr>
      <w:pBdr>
        <w:bottom w:val="single" w:color="auto" w:sz="6" w:space="1"/>
      </w:pBdr>
      <w:tabs>
        <w:tab w:val="center" w:pos="4153"/>
        <w:tab w:val="right" w:pos="8306"/>
      </w:tabs>
      <w:jc w:val="center"/>
    </w:pPr>
    <w:rPr>
      <w:sz w:val="18"/>
      <w:szCs w:val="18"/>
    </w:rPr>
  </w:style>
  <w:style w:type="paragraph" w:styleId="7">
    <w:name w:val="footnote text"/>
    <w:basedOn w:val="1"/>
    <w:qFormat/>
    <w:uiPriority w:val="0"/>
    <w:rPr>
      <w:sz w:val="18"/>
    </w:rPr>
  </w:style>
  <w:style w:type="character" w:styleId="9">
    <w:name w:val="footnote reference"/>
    <w:basedOn w:val="8"/>
    <w:qFormat/>
    <w:uiPriority w:val="0"/>
    <w:rPr>
      <w:vertAlign w:val="superscript"/>
    </w:rPr>
  </w:style>
  <w:style w:type="character" w:customStyle="1" w:styleId="11">
    <w:name w:val="批注框文本 Char"/>
    <w:basedOn w:val="8"/>
    <w:link w:val="4"/>
    <w:uiPriority w:val="0"/>
    <w:rPr>
      <w:rFonts w:ascii="Arial" w:hAnsi="Arial" w:eastAsia="Arial" w:cs="Arial"/>
      <w:snapToGrid w:val="0"/>
      <w:color w:val="000000"/>
      <w:sz w:val="18"/>
      <w:szCs w:val="18"/>
      <w:lang w:eastAsia="en-US"/>
    </w:rPr>
  </w:style>
  <w:style w:type="character" w:customStyle="1" w:styleId="12">
    <w:name w:val="页眉 Char"/>
    <w:basedOn w:val="8"/>
    <w:link w:val="6"/>
    <w:uiPriority w:val="0"/>
    <w:rPr>
      <w:rFonts w:ascii="Arial" w:hAnsi="Arial" w:eastAsia="Arial" w:cs="Arial"/>
      <w:snapToGrid w:val="0"/>
      <w:color w:val="000000"/>
      <w:sz w:val="18"/>
      <w:szCs w:val="18"/>
      <w:lang w:eastAsia="en-US"/>
    </w:rPr>
  </w:style>
  <w:style w:type="table" w:customStyle="1" w:styleId="13">
    <w:name w:val="Table Normal"/>
    <w:unhideWhenUsed/>
    <w:qFormat/>
    <w:uiPriority w:val="0"/>
    <w:tblPr>
      <w:tblStyle w:val="10"/>
      <w:tblLayout w:type="fixed"/>
      <w:tblCellMar>
        <w:top w:w="0" w:type="dxa"/>
        <w:left w:w="0" w:type="dxa"/>
        <w:bottom w:w="0" w:type="dxa"/>
        <w:right w:w="0" w:type="dxa"/>
      </w:tblCellMar>
    </w:tblPr>
    <w:tcPr>
      <w:textDirection w:val="lrTb"/>
    </w:tc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footnotes" Target="footnote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331</Words>
  <Characters>1891</Characters>
  <Lines>15</Lines>
  <Paragraphs>4</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2023-11-07T17:56:00Z</dcterms:created>
  <dc:creator>Kingsoft-PDF</dc:creator>
  <cp:lastModifiedBy>罗顺兴</cp:lastModifiedBy>
  <cp:lastPrinted>2024-04-10T00:45:28Z</cp:lastPrinted>
  <dcterms:modified xsi:type="dcterms:W3CDTF">2024-04-10T01:21:32Z</dcterms:modified>
  <dc:subject>pdfbuilder</dc:subject>
  <dc:title>海运互市贸易采购代理人付汇业务操作规程</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2023-11-07T17:56:00Z</vt:filetime>
  </property>
  <property fmtid="{D5CDD505-2E9C-101B-9397-08002B2CF9AE}" pid="4" name="UsrData">
    <vt:lpwstr>654a09cf0a2e8b001fb11268wl</vt:lpwstr>
  </property>
  <property fmtid="{D5CDD505-2E9C-101B-9397-08002B2CF9AE}" pid="5" name="KSOProductBuildVer">
    <vt:lpwstr>2052-9.1.0.4940</vt:lpwstr>
  </property>
  <property fmtid="{D5CDD505-2E9C-101B-9397-08002B2CF9AE}" pid="6" name="ICV">
    <vt:lpwstr>F50D35EBD8584DD79DCB183DD6823B1D_12</vt:lpwstr>
  </property>
</Properties>
</file>