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right="300"/>
        <w:rPr>
          <w:rFonts w:ascii="Times New Roman" w:hAnsi="Times New Roman" w:eastAsia="黑体" w:cs="Times New Roman"/>
          <w:sz w:val="48"/>
          <w:szCs w:val="48"/>
        </w:rPr>
      </w:pPr>
    </w:p>
    <w:p>
      <w:pPr>
        <w:ind w:right="300"/>
        <w:rPr>
          <w:rFonts w:ascii="Times New Roman" w:hAnsi="Times New Roman" w:eastAsia="黑体" w:cs="Times New Roman"/>
          <w:sz w:val="48"/>
          <w:szCs w:val="48"/>
        </w:rPr>
      </w:pPr>
      <w:r>
        <w:rPr>
          <w:rFonts w:ascii="Times New Roman" w:hAnsi="Times New Roman" w:eastAsia="黑体" w:cs="Times New Roman"/>
          <w:sz w:val="48"/>
          <w:szCs w:val="48"/>
        </w:rPr>
        <w:t>编号：57012</w:t>
      </w:r>
      <w:r>
        <w:rPr>
          <w:rFonts w:hint="eastAsia" w:ascii="Times New Roman" w:hAnsi="Times New Roman" w:eastAsia="黑体" w:cs="Times New Roman"/>
          <w:sz w:val="48"/>
          <w:szCs w:val="48"/>
        </w:rPr>
        <w:t xml:space="preserve">               </w:t>
      </w:r>
      <w:r>
        <w:rPr>
          <w:rFonts w:ascii="Times New Roman" w:hAnsi="Times New Roman" w:eastAsia="黑体" w:cs="Times New Roman"/>
          <w:kern w:val="2"/>
          <w:sz w:val="48"/>
          <w:szCs w:val="48"/>
          <w:lang w:val="en-US" w:eastAsia="zh-CN" w:bidi="ar-SA"/>
        </w:rPr>
        <w:pict>
          <v:shape id="图片 1" o:spid="_x0000_s1026" type="#_x0000_t75" style="height:69.75pt;width:87.05pt;rotation:0f;" o:ole="f" fillcolor="#FFFFFF" filled="f" o:preferrelative="t" stroked="f" coordorigin="0,0" coordsize="21600,21600">
            <v:fill on="f" color2="#FFFFFF" focus="0%"/>
            <v:imagedata gain="65536f" blacklevel="0f" gamma="0" o:title="" r:id="rId8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ind w:right="300"/>
        <w:jc w:val="center"/>
        <w:rPr>
          <w:rFonts w:ascii="Times New Roman" w:hAnsi="Times New Roman" w:eastAsia="黑体" w:cs="Times New Roman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黑体" w:cs="Times New Roman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黑体" w:cs="Times New Roman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黑体" w:cs="Times New Roman"/>
          <w:sz w:val="52"/>
          <w:szCs w:val="52"/>
        </w:rPr>
      </w:pPr>
    </w:p>
    <w:p>
      <w:pPr>
        <w:ind w:right="300"/>
        <w:jc w:val="center"/>
        <w:rPr>
          <w:rFonts w:ascii="Times New Roman" w:hAnsi="Times New Roman" w:eastAsia="黑体" w:cs="Times New Roman"/>
          <w:sz w:val="52"/>
          <w:szCs w:val="52"/>
        </w:rPr>
      </w:pPr>
      <w:r>
        <w:rPr>
          <w:rFonts w:ascii="Times New Roman" w:hAnsi="Times New Roman" w:eastAsia="黑体" w:cs="Times New Roman"/>
          <w:sz w:val="52"/>
          <w:szCs w:val="52"/>
        </w:rPr>
        <w:t xml:space="preserve">“资本项目外汇资金结汇核准” </w:t>
      </w:r>
    </w:p>
    <w:p>
      <w:pPr>
        <w:ind w:right="300"/>
        <w:jc w:val="center"/>
        <w:rPr>
          <w:rFonts w:ascii="Times New Roman" w:hAnsi="Times New Roman" w:eastAsia="黑体" w:cs="Times New Roman"/>
          <w:sz w:val="52"/>
          <w:szCs w:val="52"/>
        </w:rPr>
      </w:pPr>
      <w:r>
        <w:rPr>
          <w:rFonts w:ascii="Times New Roman" w:hAnsi="Times New Roman" w:eastAsia="黑体" w:cs="Times New Roman"/>
          <w:sz w:val="52"/>
          <w:szCs w:val="52"/>
        </w:rPr>
        <w:t>行政审批服务指南</w:t>
      </w:r>
    </w:p>
    <w:p>
      <w:pPr>
        <w:ind w:right="300"/>
        <w:jc w:val="center"/>
        <w:rPr>
          <w:rFonts w:ascii="Times New Roman" w:hAnsi="Times New Roman" w:eastAsia="仿宋_GB2312" w:cs="Times New Roman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sz w:val="30"/>
          <w:szCs w:val="30"/>
        </w:rPr>
      </w:pPr>
    </w:p>
    <w:p>
      <w:pPr>
        <w:ind w:right="300"/>
        <w:jc w:val="center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国家外汇管理局广西壮族自治区分局</w:t>
      </w: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</w:p>
    <w:p>
      <w:pPr>
        <w:jc w:val="center"/>
      </w:pP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2020年12月</w:t>
      </w:r>
    </w:p>
    <w:p>
      <w:pPr>
        <w:ind w:right="300"/>
        <w:jc w:val="center"/>
        <w:rPr>
          <w:rFonts w:ascii="Times New Roman" w:hAnsi="Times New Roman" w:eastAsia="仿宋_GB2312" w:cs="Times New Roman"/>
          <w:sz w:val="30"/>
          <w:szCs w:val="30"/>
        </w:rPr>
      </w:pPr>
    </w:p>
    <w:p>
      <w:pPr>
        <w:ind w:right="300"/>
        <w:rPr>
          <w:rFonts w:ascii="Times New Roman" w:hAnsi="Times New Roman" w:eastAsia="仿宋_GB2312" w:cs="Times New Roman"/>
          <w:sz w:val="30"/>
          <w:szCs w:val="30"/>
        </w:rPr>
        <w:sectPr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一、项目信息</w:t>
      </w:r>
    </w:p>
    <w:p>
      <w:pPr>
        <w:adjustRightInd w:val="0"/>
        <w:snapToGrid w:val="0"/>
        <w:spacing w:line="360" w:lineRule="auto"/>
        <w:ind w:firstLine="585"/>
        <w:jc w:val="left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项目名称：资本项目外汇资金结汇核准；</w:t>
      </w:r>
    </w:p>
    <w:p>
      <w:pPr>
        <w:adjustRightInd w:val="0"/>
        <w:snapToGrid w:val="0"/>
        <w:spacing w:line="360" w:lineRule="auto"/>
        <w:ind w:firstLine="585"/>
        <w:jc w:val="left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项目编号：57012；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审批类别：行政许可；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审查类型：前审后批。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二、适用范围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本指南适用于“资本项目外汇资金结汇核准”的申请和办理。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三、设定依据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《中华人民共和国外汇管理条例》（国务院令第532号）第二十一条：“资本项目外汇收入保留或者卖给经营结汇、售汇业务的金融机构，应当经外汇管理机关批准，但国家规定无需批准的除外”。</w:t>
      </w:r>
    </w:p>
    <w:p>
      <w:pPr>
        <w:adjustRightInd w:val="0"/>
        <w:snapToGrid w:val="0"/>
        <w:spacing w:line="360" w:lineRule="auto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 xml:space="preserve">    四、外保内贷</w:t>
      </w:r>
      <w:r>
        <w:rPr>
          <w:rFonts w:hint="eastAsia" w:ascii="Times New Roman" w:hAnsi="Times New Roman" w:eastAsia="黑体" w:cs="Times New Roman"/>
          <w:sz w:val="30"/>
          <w:szCs w:val="30"/>
          <w:lang w:eastAsia="zh-CN"/>
        </w:rPr>
        <w:t>境外担保</w:t>
      </w:r>
      <w:r>
        <w:rPr>
          <w:rFonts w:ascii="Times New Roman" w:hAnsi="Times New Roman" w:eastAsia="黑体" w:cs="Times New Roman"/>
          <w:sz w:val="30"/>
          <w:szCs w:val="30"/>
        </w:rPr>
        <w:t>履约款结汇核准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（一）办理依据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1.《中华人民共和国外汇管理条例》（国务院令第532号）；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2.《国家外汇管理局关于发布&lt;跨境担保外汇管理规定&gt;的通知》（汇发[2014]29号）；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3．其他相关法规。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（二）受理机构</w:t>
      </w:r>
    </w:p>
    <w:p>
      <w:pPr>
        <w:adjustRightInd w:val="0"/>
        <w:snapToGrid w:val="0"/>
        <w:spacing w:line="360" w:lineRule="auto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 xml:space="preserve">    申请人所在地外汇局。</w:t>
      </w:r>
    </w:p>
    <w:p>
      <w:pPr>
        <w:adjustRightInd w:val="0"/>
        <w:snapToGrid w:val="0"/>
        <w:spacing w:line="360" w:lineRule="auto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 xml:space="preserve">    （三）决定机构</w:t>
      </w:r>
    </w:p>
    <w:p>
      <w:pPr>
        <w:adjustRightInd w:val="0"/>
        <w:snapToGrid w:val="0"/>
        <w:spacing w:line="360" w:lineRule="auto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 xml:space="preserve">    申请人所在地外汇局。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（四）审批数量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无数量限制。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（五）办事条件</w:t>
      </w:r>
    </w:p>
    <w:p>
      <w:pPr>
        <w:widowControl/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金融机构办理外保内贷履约，如担保履约资金与担保项下债务提款币种不一致而需要办理结汇的，由其分行或总行/总部汇总自身及下属分支机构的担保履约款结汇申请后，向其所在地外汇局集中提出申请。</w:t>
      </w:r>
    </w:p>
    <w:p>
      <w:pPr>
        <w:widowControl/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禁止性要求：如符合上述条件，不存在不予许可的情况。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（六）申请材料</w:t>
      </w:r>
    </w:p>
    <w:tbl>
      <w:tblPr>
        <w:tblStyle w:val="17"/>
        <w:tblW w:w="8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3970"/>
        <w:gridCol w:w="992"/>
        <w:gridCol w:w="567"/>
        <w:gridCol w:w="850"/>
        <w:gridCol w:w="426"/>
        <w:gridCol w:w="11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序号</w:t>
            </w:r>
          </w:p>
        </w:tc>
        <w:tc>
          <w:tcPr>
            <w:tcW w:w="397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提交材料名称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原件/复印件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份数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纸质/电子</w:t>
            </w: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要求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3970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书面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申请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加盖公章的原件</w:t>
            </w:r>
          </w:p>
        </w:tc>
        <w:tc>
          <w:tcPr>
            <w:tcW w:w="567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纸质</w:t>
            </w:r>
          </w:p>
        </w:tc>
        <w:tc>
          <w:tcPr>
            <w:tcW w:w="426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53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3970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外保内贷业务合同（或合同简明条款）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原件及加盖公章的复印件</w:t>
            </w:r>
          </w:p>
        </w:tc>
        <w:tc>
          <w:tcPr>
            <w:tcW w:w="567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纸质</w:t>
            </w:r>
          </w:p>
        </w:tc>
        <w:tc>
          <w:tcPr>
            <w:tcW w:w="426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验原件，留存加盖公章的复印件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3970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外保内贷境外担保履约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/结汇资金来源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相关真实性证明材料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原件及加盖公章的复印件</w:t>
            </w:r>
          </w:p>
        </w:tc>
        <w:tc>
          <w:tcPr>
            <w:tcW w:w="567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纸质</w:t>
            </w:r>
          </w:p>
        </w:tc>
        <w:tc>
          <w:tcPr>
            <w:tcW w:w="426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验原件，留存加盖公章的复印件</w:t>
            </w:r>
          </w:p>
        </w:tc>
      </w:tr>
    </w:tbl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（七）申请接受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申请人可通过所在地外汇局业务窗口提交材料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（八）基本办理流程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1.申请人提交申请；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2.决定是否予以受理；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3.不予受理的，出具不予受理通知书；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4.材料不全或不符合法定形式的，一次性告知补正材料，并出具《行政审批补正材料通知书》；根据申请材料及补正情况，予以受理的，出具受理通知书，按程序进行审核；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5.不予许可的，出具不予许可通知书；许可的，向申请人出具相关业务办理凭证（包括业务登记凭证、核准文件、备案确认等）。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（九）办理方式</w:t>
      </w:r>
    </w:p>
    <w:p>
      <w:pPr>
        <w:adjustRightInd w:val="0"/>
        <w:snapToGrid w:val="0"/>
        <w:spacing w:line="360" w:lineRule="auto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 xml:space="preserve">    一般程序：申请、告知补正、受理、审核、办理登记或不予许可、出具相关业务办理凭证。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（十）审批时限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申请人提交材料齐备之日起20个工作日内。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（十一）审批收费依据及标准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不收费。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（十二）审批结果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sz w:val="30"/>
        </w:rPr>
      </w:pPr>
      <w:r>
        <w:rPr>
          <w:rFonts w:ascii="Times New Roman" w:hAnsi="Times New Roman" w:eastAsia="仿宋_GB2312" w:cs="Times New Roman"/>
          <w:sz w:val="30"/>
        </w:rPr>
        <w:t>出具相关业务办理凭证。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（十三）结果送达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通过现场告知或电话等方式通知申请人，并通过现场领取或通过邮寄等方式将结果送达。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（十四）申请人权利和义务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sz w:val="30"/>
        </w:rPr>
      </w:pPr>
      <w:r>
        <w:rPr>
          <w:rFonts w:ascii="Times New Roman" w:hAnsi="Times New Roman" w:eastAsia="仿宋_GB2312" w:cs="Times New Roman"/>
          <w:sz w:val="30"/>
        </w:rPr>
        <w:t>申请人有权依法提出行政审批申请，依法进行投诉、举报、复议、诉讼等。申请人有义务保证申请材料完整、真实、准确，获批后合法合规办理相关业务，重要信息发生变更按规定及时报备，全面、及时、准确报送相关数据信息等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黑体" w:eastAsia="黑体" w:cs="Times New Roman"/>
          <w:sz w:val="30"/>
          <w:szCs w:val="30"/>
        </w:rPr>
        <w:t>（十五）咨询途径、监督和投诉、办公地址和时间、公开查询方式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1.国家外汇管理局广西壮族自治区分局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（1）咨询途径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现场咨询：广西南宁市青秀区滨湖路58号中国人民银行南宁中心支行八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楼804室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电话咨询：0771-6111211。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网站咨询：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国家外汇管理局广西壮族自治区分局官方互联网站（www.safe.gov.cn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zh-CN" w:eastAsia="zh-CN"/>
        </w:rPr>
        <w:t>咨询反馈栏目。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（2）监督和投诉途径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zh-CN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zh-CN" w:eastAsia="zh-CN"/>
        </w:rPr>
        <w:t>电话投诉：0771-6111357。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zh-CN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zh-CN" w:eastAsia="zh-CN"/>
        </w:rPr>
        <w:t>电子邮箱投诉：gxwgwg@163.com。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zh-CN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zh-CN" w:eastAsia="zh-CN"/>
        </w:rPr>
        <w:t>网站投诉：国家外汇管理局广西壮族自治区分局官方互联网站（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zh-CN" w:eastAsia="zh-CN"/>
        </w:rPr>
        <w:fldChar w:fldCharType="begin"/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zh-CN" w:eastAsia="zh-CN"/>
        </w:rPr>
        <w:instrText xml:space="preserve"> HYPERLINK "http://www.safe.gov.cn/guangxi/" </w:instrTex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zh-CN" w:eastAsia="zh-CN"/>
        </w:rPr>
        <w:fldChar w:fldCharType="separate"/>
      </w:r>
      <w:r>
        <w:rPr>
          <w:rStyle w:val="14"/>
          <w:rFonts w:hint="eastAsia" w:ascii="Times New Roman" w:hAnsi="Times New Roman" w:eastAsia="仿宋_GB2312" w:cs="Times New Roman"/>
          <w:color w:val="auto"/>
          <w:sz w:val="30"/>
          <w:szCs w:val="30"/>
          <w:lang w:val="zh-CN" w:eastAsia="zh-CN"/>
        </w:rPr>
        <w:t>www.safe.gov.cn/guangxi/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zh-CN" w:eastAsia="zh-CN"/>
        </w:rPr>
        <w:fldChar w:fldCharType="end"/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zh-CN" w:eastAsia="zh-CN"/>
        </w:rPr>
        <w:t>）咨询反馈栏目。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left="0" w:leftChars="0" w:right="0" w:firstLine="60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（3）办公地址和时间</w:t>
      </w:r>
    </w:p>
    <w:p>
      <w:pPr>
        <w:widowControl w:val="0"/>
        <w:wordWrap/>
        <w:adjustRightInd w:val="0"/>
        <w:snapToGrid w:val="0"/>
        <w:spacing w:line="360" w:lineRule="auto"/>
        <w:ind w:left="0" w:leftChars="0" w:right="0" w:firstLine="60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z w:val="30"/>
          <w:szCs w:val="30"/>
        </w:rPr>
      </w:pPr>
      <w:r>
        <w:rPr>
          <w:rFonts w:hint="eastAsia" w:ascii="仿宋_GB2312" w:hAnsi="Times New Roman" w:eastAsia="仿宋_GB2312"/>
          <w:color w:val="auto"/>
          <w:sz w:val="30"/>
          <w:szCs w:val="30"/>
          <w:lang w:val="en-US" w:eastAsia="zh-CN"/>
        </w:rPr>
        <w:t>办公</w:t>
      </w:r>
      <w:r>
        <w:rPr>
          <w:rFonts w:hint="eastAsia" w:ascii="仿宋_GB2312" w:hAnsi="Times New Roman" w:eastAsia="仿宋_GB2312"/>
          <w:color w:val="auto"/>
          <w:sz w:val="30"/>
          <w:szCs w:val="30"/>
        </w:rPr>
        <w:t>地址：广西南宁市青秀区滨湖路58号中国人民银行南宁中心支行</w:t>
      </w:r>
      <w:r>
        <w:rPr>
          <w:rFonts w:hint="eastAsia" w:ascii="仿宋_GB2312" w:hAnsi="Times New Roman" w:eastAsia="仿宋_GB2312"/>
          <w:color w:val="auto"/>
          <w:sz w:val="30"/>
          <w:szCs w:val="30"/>
          <w:lang w:eastAsia="zh-CN"/>
        </w:rPr>
        <w:t>八</w:t>
      </w:r>
      <w:r>
        <w:rPr>
          <w:rFonts w:hint="eastAsia" w:ascii="仿宋_GB2312" w:hAnsi="Times New Roman" w:eastAsia="仿宋_GB2312"/>
          <w:color w:val="auto"/>
          <w:sz w:val="30"/>
          <w:szCs w:val="30"/>
        </w:rPr>
        <w:t>楼</w:t>
      </w:r>
      <w:r>
        <w:rPr>
          <w:rFonts w:hint="eastAsia" w:ascii="仿宋_GB2312" w:hAnsi="Times New Roman" w:eastAsia="仿宋_GB2312"/>
          <w:color w:val="auto"/>
          <w:sz w:val="30"/>
          <w:szCs w:val="30"/>
          <w:lang w:val="en-US" w:eastAsia="zh-CN"/>
        </w:rPr>
        <w:t>8</w:t>
      </w:r>
      <w:r>
        <w:rPr>
          <w:rFonts w:hint="eastAsia" w:ascii="仿宋_GB2312" w:hAnsi="Times New Roman" w:eastAsia="仿宋_GB2312"/>
          <w:color w:val="auto"/>
          <w:sz w:val="30"/>
          <w:szCs w:val="30"/>
        </w:rPr>
        <w:t>0</w:t>
      </w:r>
      <w:r>
        <w:rPr>
          <w:rFonts w:hint="eastAsia" w:ascii="仿宋_GB2312" w:hAnsi="Times New Roman" w:eastAsia="仿宋_GB2312"/>
          <w:color w:val="auto"/>
          <w:sz w:val="30"/>
          <w:szCs w:val="30"/>
          <w:lang w:val="en-US" w:eastAsia="zh-CN"/>
        </w:rPr>
        <w:t>4</w:t>
      </w:r>
      <w:r>
        <w:rPr>
          <w:rFonts w:hint="eastAsia" w:ascii="仿宋_GB2312" w:hAnsi="Times New Roman" w:eastAsia="仿宋_GB2312"/>
          <w:color w:val="auto"/>
          <w:sz w:val="30"/>
          <w:szCs w:val="30"/>
        </w:rPr>
        <w:t>室。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left="0" w:leftChars="0" w:right="0" w:firstLine="60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z w:val="30"/>
          <w:szCs w:val="30"/>
          <w:lang w:eastAsia="zh-CN"/>
        </w:rPr>
        <w:t>办公</w:t>
      </w:r>
      <w:r>
        <w:rPr>
          <w:rFonts w:hint="eastAsia" w:ascii="仿宋_GB2312" w:hAnsi="Times New Roman" w:eastAsia="仿宋_GB2312"/>
          <w:color w:val="auto"/>
          <w:sz w:val="30"/>
          <w:szCs w:val="30"/>
        </w:rPr>
        <w:t>时间：工作日，上午：08:30-12:00，下午：02:30-05:30。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（4）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eastAsia="zh-CN"/>
        </w:rPr>
        <w:t>公开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</w:rPr>
        <w:t>查询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eastAsia="zh-CN"/>
        </w:rPr>
        <w:t>途径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现场查询：广西南宁市青秀区滨湖路58号中国人民银行南宁中心支行八楼804室。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电话查询：0771-6111211。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0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网站查询：国家外汇管理局数字外管平台（ASOne）（zwfw.safe.gov.cn/asone/）。</w:t>
      </w:r>
      <w:bookmarkStart w:id="0" w:name="_GoBack"/>
      <w:bookmarkEnd w:id="0"/>
    </w:p>
    <w:p>
      <w:pPr>
        <w:numPr>
          <w:numId w:val="0"/>
        </w:numPr>
        <w:adjustRightInd w:val="0"/>
        <w:snapToGrid w:val="0"/>
        <w:spacing w:line="360" w:lineRule="auto"/>
        <w:ind w:firstLine="600" w:firstLineChars="200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2.国家外汇管理局广西区各市中心支局</w:t>
      </w:r>
    </w:p>
    <w:p>
      <w:pPr>
        <w:numPr>
          <w:numId w:val="0"/>
        </w:num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  <w:sectPr>
          <w:footerReference r:id="rId5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咨询途径、监督和投诉途径、办公地址和时间、公开查询途径可通过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/guangxi/）/机构职能/机构设置栏目所示地址和电话进行相应查询</w:t>
      </w:r>
      <w:r>
        <w:rPr>
          <w:rFonts w:ascii="Times New Roman" w:hAnsi="Times New Roman" w:eastAsia="仿宋_GB2312" w:cs="Times New Roman"/>
          <w:sz w:val="30"/>
          <w:szCs w:val="30"/>
        </w:rPr>
        <w:t>。</w:t>
      </w:r>
    </w:p>
    <w:p>
      <w:pPr>
        <w:ind w:right="3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附录一</w:t>
      </w:r>
    </w:p>
    <w:p>
      <w:pPr>
        <w:ind w:right="300"/>
        <w:jc w:val="center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kern w:val="2"/>
          <w:sz w:val="30"/>
          <w:szCs w:val="30"/>
          <w:lang w:val="en-US" w:eastAsia="zh-CN" w:bidi="ar-SA"/>
        </w:rPr>
        <w:pict>
          <v:group id="Group 1360" o:spid="_x0000_s1027" style="position:absolute;left:0;margin-left:-11.45pt;margin-top:30.8pt;height:586.05pt;width:446.05pt;rotation:0f;z-index:251658240;" coordorigin="0,0" coordsize="8921,11721">
            <o:lock v:ext="edit" position="f" selection="f" grouping="f" rotation="f" cropping="f" text="f" aspectratio="f"/>
            <v:rect id="Rectangle 1361" o:spid="_x0000_s1028" style="position:absolute;left:2908;top:8319;height:534;width:2985;rotation:0f;" o:ole="f" fillcolor="#FFFFFF" filled="t" o:preferrelative="t" stroked="t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t>审核</w:t>
                    </w:r>
                  </w:p>
                </w:txbxContent>
              </v:textbox>
            </v:rect>
            <v:shape id="AutoShape 1362" o:spid="_x0000_s1029" type="#_x0000_t116" style="position:absolute;left:4420;top:10681;height:1037;width:3675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依法作出不予许可决定，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并送达</w:t>
                    </w:r>
                  </w:p>
                </w:txbxContent>
              </v:textbox>
            </v:shape>
            <v:shape id="AutoShape 1363" o:spid="_x0000_s1030" type="#_x0000_t116" style="position:absolute;left:695;top:10663;height:1058;width:3461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依法予以许可，出具相关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业务办理凭证，并送达</w:t>
                    </w:r>
                  </w:p>
                </w:txbxContent>
              </v:textbox>
            </v:shape>
            <v:shape id="AutoShape 1364" o:spid="_x0000_s1031" type="#_x0000_t32" style="position:absolute;left:4382;top:7693;height:626;width:1;rotation:0f;" o:ole="f" o:connectortype="straight" fillcolor="#FFFFFF" filled="f" o:preferrelative="t" stroked="t" coordorigin="0,0" coordsize="21600,21600">
              <v:fill on="f" color2="#FFFFFF" focus="0%"/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1365" o:spid="_x0000_s1032" type="#_x0000_t32" style="position:absolute;left:6331;top:9568;height:1095;width:17;rotation:0f;" o:ole="f" o:connectortype="straight" fillcolor="#FFFFFF" filled="f" o:preferrelative="t" stroked="t" coordorigin="0,0" coordsize="21600,21600">
              <v:fill on="f" color2="#FFFFFF" focus="0%"/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1366" o:spid="_x0000_s1033" type="#_x0000_t32" style="position:absolute;left:2358;top:9568;height:1035;width:1;rotation:0f;" o:ole="f" o:connectortype="straight" fillcolor="#FFFFFF" filled="f" o:preferrelative="t" stroked="t" coordorigin="0,0" coordsize="21600,21600">
              <v:fill on="f" color2="#FFFFFF" focus="0%"/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1367" o:spid="_x0000_s1034" type="#_x0000_t32" style="position:absolute;left:4383;top:8853;height:715;width:1;rotation:0f;" o:ole="f" o:connectortype="straight" fillcolor="#FFFFFF" filled="f" o:preferrelative="t" stroked="t" coordorigin="0,0" coordsize="21600,21600">
              <v:fill on="f" color2="#FFFFFF" focus="0%"/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</v:shape>
            <v:shape id="AutoShape 1368" o:spid="_x0000_s1035" type="#_x0000_t32" style="position:absolute;left:2359;top:9568;height:0;width:3972;rotation:0f;" o:ole="f" o:connectortype="straight" fillcolor="#FFFFFF" filled="f" o:preferrelative="t" stroked="t" coordorigin="0,0" coordsize="21600,21600">
              <v:fill on="f" color2="#FFFFFF" focus="0%"/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</v:shape>
            <v:group id="Group 1369" o:spid="_x0000_s1036" style="position:absolute;left:0;top:0;height:7693;width:8921;rotation:0f;" coordorigin="0,0" coordsize="8921,7693">
              <o:lock v:ext="edit" position="f" selection="f" grouping="f" rotation="f" cropping="f" text="f" aspectratio="f"/>
              <v:shape id="AutoShape 1370" o:spid="_x0000_s1037" type="#_x0000_t32" style="position:absolute;left:5893;top:6566;height:608;width:0;rotation:0f;" o:ole="f" o:connectortype="straight" fillcolor="#FFFFFF" filled="f" o:preferrelative="t" stroked="t" coordorigin="0,0" coordsize="21600,21600">
                <v:fill on="f" color2="#FFFFFF" focus="0%"/>
                <v:stroke color="#000000" color2="#FFFFFF" miterlimit="2" endarrow="block"/>
                <v:imagedata gain="65536f" blacklevel="0f" gamma="0"/>
                <o:lock v:ext="edit" position="f" selection="f" grouping="f" rotation="f" cropping="f" text="f" aspectratio="f"/>
              </v:shape>
              <v:group id="Group 1371" o:spid="_x0000_s1038" style="position:absolute;left:0;top:0;height:7693;width:8921;rotation:0f;" coordorigin="0,0" coordsize="8921,7693">
                <o:lock v:ext="edit" position="f" selection="f" grouping="f" rotation="f" cropping="f" text="f" aspectratio="f"/>
                <v:shape id="AutoShape 1372" o:spid="_x0000_s1039" type="#_x0000_t34" style="position:absolute;left:6366;top:3154;height:1285;width:3823;rotation:17694720f;" o:ole="f" o:connectortype="elbow" fillcolor="#FFFFFF" filled="f" o:preferrelative="t" stroked="t" coordorigin="0,0" coordsize="21600,21600" adj="33">
                  <v:fill on="f" color2="#FFFFFF" focus="0%"/>
                  <v:stroke color="#000000" color2="#FFFFFF" miterlimit="2"/>
                  <v:imagedata gain="65536f" blacklevel="0f" gamma="0"/>
                  <o:lock v:ext="edit" position="f" selection="f" grouping="f" rotation="f" cropping="f" text="f" aspectratio="f"/>
                </v:shape>
                <v:shape id="Text Box 1373" o:spid="_x0000_s1040" type="#_x0000_t202" style="position:absolute;left:7996;top:2297;height:2553;width:754;rotation:0f;" o:ole="f" fillcolor="#FFFFFF" filled="t" o:preferrelative="t" stroked="t" coordorigin="0,0" coordsize="21600,21600">
                  <v:stroke color="#FFFFFF" color2="#FFFFFF" miterlimit="2"/>
                  <v:imagedata gain="65536f" blacklevel="0f" gamma="0"/>
                  <o:lock v:ext="edit" position="f" selection="f" grouping="f" rotation="f" cropping="f" text="f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不能提供符合受理要求的</w:t>
                        </w:r>
                      </w:p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材料</w:t>
                        </w:r>
                      </w:p>
                    </w:txbxContent>
                  </v:textbox>
                </v:shape>
                <v:shape id="AutoShape 1374" o:spid="_x0000_s1041" type="#_x0000_t32" style="position:absolute;left:5893;top:4472;height:378;width:0;rotation:0f;" o:ole="f" o:connectortype="straight" fillcolor="#FFFFFF" filled="f" o:preferrelative="t" stroked="t" coordorigin="0,0" coordsize="21600,21600">
                  <v:fill on="f" color2="#FFFFFF" focus="0%"/>
                  <v:stroke color="#000000" color2="#FFFFFF" miterlimit="2" endarrow="block"/>
                  <v:imagedata gain="65536f" blacklevel="0f" gamma="0"/>
                  <o:lock v:ext="edit" position="f" selection="f" grouping="f" rotation="f" cropping="f" text="f" aspectratio="f"/>
                </v:shape>
                <v:shape id="Text Box 1375" o:spid="_x0000_s1042" type="#_x0000_t202" style="position:absolute;left:2568;top:6566;height:477;width:2737;rotation:0f;" o:ole="f" fillcolor="#FFFFFF" filled="t" o:preferrelative="t" stroked="t" coordorigin="0,0" coordsize="21600,21600">
                  <v:stroke color="#FFFFFF" color2="#FFFFFF" miterlimit="2"/>
                  <v:imagedata gain="65536f" blacklevel="0f" gamma="0"/>
                  <o:lock v:ext="edit" position="f" selection="f" grouping="f" rotation="f" cropping="f" text="f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材料齐全并符合受理要求</w:t>
                        </w:r>
                      </w:p>
                    </w:txbxContent>
                  </v:textbox>
                </v:shape>
                <v:shape id="AutoShape 1376" o:spid="_x0000_s1043" type="#_x0000_t4" style="position:absolute;left:4156;top:4833;height:1733;width:3480;rotation:0f;" o:ole="f" fillcolor="#FFFFFF" filled="t" o:preferrelative="t" stroked="t" coordorigin="0,0" coordsize="21600,21600">
                  <v:stroke color="#000000" color2="#FFFFFF" miterlimit="2"/>
                  <v:imagedata gain="65536f" blacklevel="0f" gamma="0"/>
                  <o:lock v:ext="edit" position="f" selection="f" grouping="f" rotation="f" cropping="f" text="f" aspectratio="f"/>
                  <v:textbox>
                    <w:txbxContent>
                      <w:p>
                        <w:pPr>
                          <w:jc w:val="center"/>
                        </w:pPr>
                      </w:p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申请人补充材料</w:t>
                        </w:r>
                      </w:p>
                    </w:txbxContent>
                  </v:textbox>
                </v:shape>
                <v:rect id="Rectangle 1377" o:spid="_x0000_s1044" style="position:absolute;left:2568;top:7174;height:519;width:4816;rotation:0f;" o:ole="f" fillcolor="#FFFFFF" filled="t" o:preferrelative="t" stroked="t" coordsize="21600,21600">
                  <v:stroke color="#000000" color2="#FFFFFF" miterlimit="2"/>
                  <v:imagedata gain="65536f" blacklevel="0f" gamma="0"/>
                  <o:lock v:ext="edit" position="f" selection="f" grouping="f" rotation="f" cropping="f" text="f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依法应予受理，出具行政审批受理单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rect>
                <v:rect id="Rectangle 1378" o:spid="_x0000_s1045" style="position:absolute;left:4566;top:3341;height:1114;width:3190;rotation:0f;" o:ole="f" fillcolor="#FFFFFF" filled="t" o:preferrelative="t" stroked="t" coordsize="21600,21600">
                  <v:stroke color="#000000" color2="#FFFFFF" miterlimit="2"/>
                  <v:imagedata gain="65536f" blacklevel="0f" gamma="0"/>
                  <o:lock v:ext="edit" position="f" selection="f" grouping="f" rotation="f" cropping="f" text="f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材料不全或不符合法定形式的，</w:t>
                        </w:r>
                      </w:p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一次性告知补正材料，</w:t>
                        </w:r>
                      </w:p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出具行政审批补正材料通知书</w:t>
                        </w:r>
                      </w:p>
                      <w:p/>
                    </w:txbxContent>
                  </v:textbox>
                </v:rect>
                <v:shape id="AutoShape 1379" o:spid="_x0000_s1046" type="#_x0000_t116" style="position:absolute;left:4566;top:1337;height:1423;width:2818;rotation:0f;" o:ole="f" fillcolor="#FFFFFF" filled="t" o:preferrelative="t" stroked="t" coordorigin="0,0" coordsize="21600,21600">
                  <v:stroke color="#000000" color2="#FFFFFF" miterlimit="2"/>
                  <v:imagedata gain="65536f" blacklevel="0f" gamma="0"/>
                  <o:lock v:ext="edit" position="f" selection="f" grouping="f" rotation="f" cropping="f" text="f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依法不予受理的，作出不予受理决定，出具不予受理行政审批申请通知书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group id="Group 1380" o:spid="_x0000_s1047" style="position:absolute;left:0;top:0;height:7424;width:4594;rotation:0f;" coordorigin="0,0" coordsize="4594,7424">
                  <o:lock v:ext="edit" position="f" selection="f" grouping="f" rotation="f" cropping="f" text="f" aspectratio="f"/>
                  <v:shape id="AutoShape 1381" o:spid="_x0000_s1048" type="#_x0000_t32" style="position:absolute;left:3663;top:3910;height:0;width:931;rotation:0f;" o:ole="f" o:connectortype="straight" fillcolor="#FFFFFF" filled="f" o:preferrelative="t" stroked="t" coordorigin="0,0" coordsize="21600,21600">
                    <v:fill on="f" color2="#FFFFFF" focus="0%"/>
                    <v:stroke color="#000000" color2="#FFFFFF" miterlimit="2" endarrow="block"/>
                    <v:imagedata gain="65536f" blacklevel="0f" gamma="0"/>
                    <o:lock v:ext="edit" position="f" selection="f" grouping="f" rotation="f" cropping="f" text="f" aspectratio="f"/>
                  </v:shape>
                  <v:shape id="AutoShape 1382" o:spid="_x0000_s1049" type="#_x0000_t32" style="position:absolute;left:1355;top:3986;height:3437;width:1;rotation:0f;" o:ole="f" o:connectortype="straight" fillcolor="#FFFFFF" filled="f" o:preferrelative="t" stroked="t" coordorigin="0,0" coordsize="21600,21600">
                    <v:fill on="f" color2="#FFFFFF" focus="0%"/>
                    <v:stroke color="#000000" color2="#FFFFFF" miterlimit="2"/>
                    <v:imagedata gain="65536f" blacklevel="0f" gamma="0"/>
                    <o:lock v:ext="edit" position="f" selection="f" grouping="f" rotation="f" cropping="f" text="f" aspectratio="f"/>
                  </v:shape>
                  <v:group id="Group 1383" o:spid="_x0000_s1050" style="position:absolute;left:0;top:0;height:3986;width:3629;rotation:0f;" coordorigin="0,0" coordsize="3629,3986">
                    <o:lock v:ext="edit" position="f" selection="f" grouping="f" rotation="f" cropping="f" text="f" aspectratio="f"/>
                    <v:shape id="AutoShape 1384" o:spid="_x0000_s1051" type="#_x0000_t32" style="position:absolute;left:1396;top:1172;height:764;width:1;rotation:0f;" o:ole="f" o:connectortype="straight" fillcolor="#FFFFFF" filled="f" o:preferrelative="t" stroked="t" coordorigin="0,0" coordsize="21600,21600">
                      <v:fill on="f" color2="#FFFFFF" focus="0%"/>
                      <v:stroke color="#000000" color2="#FFFFFF" miterlimit="2" endarrow="block"/>
                      <v:imagedata gain="65536f" blacklevel="0f" gamma="0"/>
                      <o:lock v:ext="edit" position="f" selection="f" grouping="f" rotation="f" cropping="f" text="f" aspectratio="f"/>
                    </v:shape>
                    <v:shape id="AutoShape 1385" o:spid="_x0000_s1052" type="#_x0000_t32" style="position:absolute;left:2400;top:2967;height:0;width:1229;rotation:0f;" o:ole="f" o:connectortype="straight" fillcolor="#FFFFFF" filled="f" o:preferrelative="t" stroked="t" coordorigin="0,0" coordsize="21600,21600">
                      <v:fill on="f" color2="#FFFFFF" focus="0%"/>
                      <v:stroke color="#000000" color2="#FFFFFF" miterlimit="2"/>
                      <v:imagedata gain="65536f" blacklevel="0f" gamma="0"/>
                      <o:lock v:ext="edit" position="f" selection="f" grouping="f" rotation="f" cropping="f" text="f" aspectratio="f"/>
                    </v:shape>
                    <v:shape id="AutoShape 1386" o:spid="_x0000_s1053" type="#_x0000_t4" style="position:absolute;left:0;top:1936;height:2050;width:2773;rotation:0f;" o:ole="f" fillcolor="#FFFFFF" filled="t" o:preferrelative="t" stroked="t" coordorigin="0,0" coordsize="21600,21600">
                      <v:stroke color="#000000" color2="#FFFFFF" miterlimit="2"/>
                      <v:imagedata gain="65536f" blacklevel="0f" gamma="0"/>
                      <o:lock v:ext="edit" position="f" selection="f" grouping="f" rotation="f" cropping="f" text="f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接件（</w:t>
                            </w:r>
                            <w:r>
                              <w:t>5</w:t>
                            </w:r>
                            <w:r>
                              <w:rPr>
                                <w:rFonts w:hint="eastAsia"/>
                              </w:rPr>
                              <w:t>个工作日）作出是否受理决定</w:t>
                            </w:r>
                          </w:p>
                          <w:p/>
                        </w:txbxContent>
                      </v:textbox>
                    </v:shape>
                    <v:shape id="AutoShape 1387" o:spid="_x0000_s1054" type="#_x0000_t116" style="position:absolute;left:184;top:0;height:1172;width:2724;rotation:0f;" o:ole="f" fillcolor="#FFFFFF" filled="t" o:preferrelative="t" stroked="t" coordorigin="0,0" coordsize="21600,21600">
                      <v:stroke color="#000000" color2="#FFFFFF" miterlimit="2"/>
                      <v:imagedata gain="65536f" blacklevel="0f" gamma="0"/>
                      <o:lock v:ext="edit" position="f" selection="f" grouping="f" rotation="f" cropping="f" text="f" aspectratio="f"/>
                      <v:textbo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申请人提出书面申请，并提交材料</w:t>
                            </w:r>
                          </w:p>
                        </w:txbxContent>
                      </v:textbox>
                    </v:shape>
                  </v:group>
                  <v:shape id="AutoShape 1388" o:spid="_x0000_s1055" type="#_x0000_t32" style="position:absolute;left:1355;top:7423;height:1;width:1213;rotation:0f;" o:ole="f" o:connectortype="straight" fillcolor="#FFFFFF" filled="f" o:preferrelative="t" stroked="t" coordorigin="0,0" coordsize="21600,21600">
                    <v:fill on="f" color2="#FFFFFF" focus="0%"/>
                    <v:stroke color="#000000" color2="#FFFFFF" miterlimit="2" endarrow="block"/>
                    <v:imagedata gain="65536f" blacklevel="0f" gamma="0"/>
                    <o:lock v:ext="edit" position="f" selection="f" grouping="f" rotation="f" cropping="f" text="f" aspectratio="f"/>
                  </v:shape>
                  <v:shape id="AutoShape 1389" o:spid="_x0000_s1056" type="#_x0000_t32" style="position:absolute;left:3663;top:1999;height:1921;width:0;rotation:0f;" o:ole="f" o:connectortype="straight" fillcolor="#FFFFFF" filled="f" o:preferrelative="t" stroked="t" coordorigin="0,0" coordsize="21600,21600">
                    <v:fill on="f" color2="#FFFFFF" focus="0%"/>
                    <v:stroke color="#000000" color2="#FFFFFF" miterlimit="2"/>
                    <v:imagedata gain="65536f" blacklevel="0f" gamma="0"/>
                    <o:lock v:ext="edit" position="f" selection="f" grouping="f" rotation="f" cropping="f" text="f" aspectratio="f"/>
                  </v:shape>
                  <v:shape id="AutoShape 1390" o:spid="_x0000_s1057" type="#_x0000_t32" style="position:absolute;left:3663;top:1989;height:1;width:903;rotation:0f;" o:ole="f" o:connectortype="straight" fillcolor="#FFFFFF" filled="f" o:preferrelative="t" stroked="t" coordorigin="0,0" coordsize="21600,21600">
                    <v:fill on="f" color2="#FFFFFF" focus="0%"/>
                    <v:stroke color="#000000" color2="#FFFFFF" miterlimit="2" endarrow="block"/>
                    <v:imagedata gain="65536f" blacklevel="0f" gamma="0"/>
                    <o:lock v:ext="edit" position="f" selection="f" grouping="f" rotation="f" cropping="f" text="f" aspectratio="f"/>
                  </v:shape>
                  <v:shape id="Text Box 1391" o:spid="_x0000_s1058" type="#_x0000_t202" style="position:absolute;left:597;top:5280;height:1152;width:508;rotation:0f;" o:ole="f" fillcolor="#FFFFFF" filled="t" o:preferrelative="t" stroked="t" coordorigin="0,0" coordsize="21600,21600">
                    <v:stroke color="#FFFFFF" color2="#FFFFFF" miterlimit="2"/>
                    <v:imagedata gain="65536f" blacklevel="0f" gamma="0"/>
                    <o:lock v:ext="edit" position="f" selection="f" grouping="f" rotation="f" cropping="f" text="f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是</w:t>
                          </w:r>
                        </w:p>
                      </w:txbxContent>
                    </v:textbox>
                  </v:shape>
                  <v:shape id="Text Box 1392" o:spid="_x0000_s1059" type="#_x0000_t202" style="position:absolute;left:2799;top:2220;height:471;width:508;rotation:0f;" o:ole="f" fillcolor="#FFFFFF" filled="t" o:preferrelative="t" stroked="t" coordorigin="0,0" coordsize="21600,21600">
                    <v:stroke color="#FFFFFF" color2="#FFFFFF" miterlimit="2"/>
                    <v:imagedata gain="65536f" blacklevel="0f" gamma="0"/>
                    <o:lock v:ext="edit" position="f" selection="f" grouping="f" rotation="f" cropping="f" text="f" aspectratio="f"/>
                    <v:textbox style="mso-fit-shape-to-text:t;">
                      <w:txbxContent>
                        <w:p>
                          <w:r>
                            <w:rPr>
                              <w:rFonts w:hint="eastAsia"/>
                            </w:rPr>
                            <w:t>否</w:t>
                          </w:r>
                        </w:p>
                      </w:txbxContent>
                    </v:textbox>
                  </v:shape>
                </v:group>
                <v:shape id="AutoShape 1393" o:spid="_x0000_s1060" type="#_x0000_t32" style="position:absolute;left:7384;top:1886;flip:x;height:0;width:1537;rotation:0f;" o:ole="f" o:connectortype="straight" fillcolor="#FFFFFF" filled="f" o:preferrelative="t" stroked="t" coordorigin="0,0" coordsize="21600,21600">
                  <v:fill on="f" color2="#FFFFFF" focus="0%"/>
                  <v:stroke color="#000000" color2="#FFFFFF" miterlimit="2" endarrow="block"/>
                  <v:imagedata gain="65536f" blacklevel="0f" gamma="0"/>
                  <o:lock v:ext="edit" position="f" selection="f" grouping="f" rotation="f" cropping="f" text="f" aspectratio="f"/>
                </v:shape>
              </v:group>
            </v:group>
          </v:group>
        </w:pict>
      </w:r>
      <w:r>
        <w:rPr>
          <w:rFonts w:ascii="Times New Roman" w:hAnsi="Times New Roman" w:eastAsia="黑体" w:cs="Times New Roman"/>
          <w:sz w:val="30"/>
          <w:szCs w:val="30"/>
        </w:rPr>
        <w:t>基本流程图</w:t>
      </w:r>
    </w:p>
    <w:p>
      <w:pPr>
        <w:ind w:right="300"/>
        <w:jc w:val="center"/>
        <w:rPr>
          <w:rFonts w:ascii="Times New Roman" w:hAnsi="Times New Roman" w:eastAsia="黑体" w:cs="Times New Roman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sz w:val="30"/>
          <w:szCs w:val="30"/>
        </w:rPr>
      </w:pPr>
    </w:p>
    <w:p>
      <w:pPr>
        <w:ind w:right="300"/>
        <w:jc w:val="left"/>
        <w:rPr>
          <w:rFonts w:ascii="Times New Roman" w:hAnsi="Times New Roman" w:eastAsia="仿宋_GB2312" w:cs="Times New Roman"/>
          <w:sz w:val="30"/>
          <w:szCs w:val="30"/>
        </w:rPr>
      </w:pPr>
    </w:p>
    <w:p>
      <w:pPr>
        <w:tabs>
          <w:tab w:val="center" w:pos="4363"/>
        </w:tabs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ab/>
      </w:r>
    </w:p>
    <w:p>
      <w:pPr>
        <w:ind w:right="3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br w:type="page"/>
      </w:r>
      <w:r>
        <w:rPr>
          <w:rFonts w:ascii="Times New Roman" w:hAnsi="Times New Roman" w:eastAsia="仿宋_GB2312" w:cs="Times New Roman"/>
          <w:sz w:val="30"/>
          <w:szCs w:val="30"/>
        </w:rPr>
        <w:t>附录二</w:t>
      </w:r>
    </w:p>
    <w:p>
      <w:pPr>
        <w:ind w:right="-58"/>
        <w:jc w:val="center"/>
        <w:rPr>
          <w:rFonts w:ascii="Times New Roman" w:hAnsi="Times New Roman" w:eastAsia="黑体" w:cs="Times New Roman"/>
          <w:sz w:val="30"/>
          <w:szCs w:val="30"/>
        </w:rPr>
      </w:pPr>
    </w:p>
    <w:p>
      <w:pPr>
        <w:ind w:right="-58"/>
        <w:jc w:val="center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常见问题</w:t>
      </w:r>
    </w:p>
    <w:p>
      <w:pPr>
        <w:ind w:right="-58"/>
        <w:jc w:val="center"/>
        <w:rPr>
          <w:rFonts w:ascii="Times New Roman" w:hAnsi="Times New Roman" w:eastAsia="黑体" w:cs="Times New Roman"/>
          <w:sz w:val="30"/>
          <w:szCs w:val="30"/>
        </w:rPr>
      </w:pPr>
    </w:p>
    <w:p>
      <w:pPr>
        <w:ind w:right="-58"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问：发生外保内贷履约的，金融机构是否可直接与境外担保人办理担保履约收款？</w:t>
      </w:r>
    </w:p>
    <w:p>
      <w:pPr>
        <w:ind w:right="-58"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答：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已按规定办理登记的</w:t>
      </w:r>
      <w:r>
        <w:rPr>
          <w:rFonts w:ascii="Times New Roman" w:hAnsi="Times New Roman" w:eastAsia="仿宋_GB2312" w:cs="Times New Roman"/>
          <w:sz w:val="30"/>
          <w:szCs w:val="30"/>
        </w:rPr>
        <w:t>外保内贷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发生履约后，</w:t>
      </w:r>
      <w:r>
        <w:rPr>
          <w:rFonts w:ascii="Times New Roman" w:hAnsi="Times New Roman" w:eastAsia="仿宋_GB2312" w:cs="Times New Roman"/>
          <w:sz w:val="30"/>
          <w:szCs w:val="30"/>
        </w:rPr>
        <w:t>金融机构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可以</w:t>
      </w:r>
      <w:r>
        <w:rPr>
          <w:rFonts w:ascii="Times New Roman" w:hAnsi="Times New Roman" w:eastAsia="仿宋_GB2312" w:cs="Times New Roman"/>
          <w:sz w:val="30"/>
          <w:szCs w:val="30"/>
        </w:rPr>
        <w:t>直接与境外担保人办理担保履约收款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。</w:t>
      </w:r>
    </w:p>
    <w:sectPr>
      <w:footerReference r:id="rId6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Noto Sans Mono CJK JP Regular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</w:p>
  <w:p>
    <w:pPr>
      <w:pStyle w:val="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7</w:t>
    </w:r>
    <w:r>
      <w:fldChar w:fldCharType="end"/>
    </w:r>
  </w:p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B131E"/>
    <w:rsid w:val="00003372"/>
    <w:rsid w:val="00022191"/>
    <w:rsid w:val="00023783"/>
    <w:rsid w:val="00041960"/>
    <w:rsid w:val="00041F4C"/>
    <w:rsid w:val="00042B58"/>
    <w:rsid w:val="00054B00"/>
    <w:rsid w:val="00055270"/>
    <w:rsid w:val="00057F76"/>
    <w:rsid w:val="0006560A"/>
    <w:rsid w:val="00072F8A"/>
    <w:rsid w:val="000750C8"/>
    <w:rsid w:val="0007763B"/>
    <w:rsid w:val="00080630"/>
    <w:rsid w:val="00091661"/>
    <w:rsid w:val="00092D53"/>
    <w:rsid w:val="00096CBB"/>
    <w:rsid w:val="00097F7B"/>
    <w:rsid w:val="000A0CE8"/>
    <w:rsid w:val="000B6901"/>
    <w:rsid w:val="000B728B"/>
    <w:rsid w:val="000C15B3"/>
    <w:rsid w:val="000C2B33"/>
    <w:rsid w:val="000C6F3A"/>
    <w:rsid w:val="000D1995"/>
    <w:rsid w:val="000D7478"/>
    <w:rsid w:val="000E485B"/>
    <w:rsid w:val="00107C42"/>
    <w:rsid w:val="0012271F"/>
    <w:rsid w:val="00130519"/>
    <w:rsid w:val="00135BEE"/>
    <w:rsid w:val="0014667A"/>
    <w:rsid w:val="00154B58"/>
    <w:rsid w:val="00157C64"/>
    <w:rsid w:val="00157E81"/>
    <w:rsid w:val="00170126"/>
    <w:rsid w:val="00177059"/>
    <w:rsid w:val="00181D3E"/>
    <w:rsid w:val="00196FAE"/>
    <w:rsid w:val="001A3E49"/>
    <w:rsid w:val="001A72AA"/>
    <w:rsid w:val="001B1627"/>
    <w:rsid w:val="001B1E2C"/>
    <w:rsid w:val="001C44C7"/>
    <w:rsid w:val="001D65A2"/>
    <w:rsid w:val="001E1407"/>
    <w:rsid w:val="001F4BD4"/>
    <w:rsid w:val="001F7297"/>
    <w:rsid w:val="00205D07"/>
    <w:rsid w:val="00212F39"/>
    <w:rsid w:val="00217116"/>
    <w:rsid w:val="00231EED"/>
    <w:rsid w:val="00233841"/>
    <w:rsid w:val="00235F24"/>
    <w:rsid w:val="002417D2"/>
    <w:rsid w:val="00241FE8"/>
    <w:rsid w:val="0024527E"/>
    <w:rsid w:val="00253F7B"/>
    <w:rsid w:val="00263B1F"/>
    <w:rsid w:val="00267456"/>
    <w:rsid w:val="00291C17"/>
    <w:rsid w:val="0029313A"/>
    <w:rsid w:val="002B0B1C"/>
    <w:rsid w:val="002B598D"/>
    <w:rsid w:val="002B61C1"/>
    <w:rsid w:val="002E1323"/>
    <w:rsid w:val="002F3868"/>
    <w:rsid w:val="002F4C5E"/>
    <w:rsid w:val="00302119"/>
    <w:rsid w:val="00302E87"/>
    <w:rsid w:val="00310261"/>
    <w:rsid w:val="00343044"/>
    <w:rsid w:val="00344B01"/>
    <w:rsid w:val="00353AC4"/>
    <w:rsid w:val="003616B4"/>
    <w:rsid w:val="003A57B2"/>
    <w:rsid w:val="003C7132"/>
    <w:rsid w:val="003D77A5"/>
    <w:rsid w:val="003E1D32"/>
    <w:rsid w:val="003E6BF6"/>
    <w:rsid w:val="003F221D"/>
    <w:rsid w:val="003F3097"/>
    <w:rsid w:val="003F4E58"/>
    <w:rsid w:val="00402AE8"/>
    <w:rsid w:val="00405FE6"/>
    <w:rsid w:val="004105BC"/>
    <w:rsid w:val="00421C27"/>
    <w:rsid w:val="00440A1F"/>
    <w:rsid w:val="00443603"/>
    <w:rsid w:val="00443604"/>
    <w:rsid w:val="004501EA"/>
    <w:rsid w:val="00460458"/>
    <w:rsid w:val="0046792D"/>
    <w:rsid w:val="004767DF"/>
    <w:rsid w:val="00493CCC"/>
    <w:rsid w:val="004A0218"/>
    <w:rsid w:val="004A7840"/>
    <w:rsid w:val="004B545A"/>
    <w:rsid w:val="004B7E80"/>
    <w:rsid w:val="004C457E"/>
    <w:rsid w:val="004C48D5"/>
    <w:rsid w:val="004D03B7"/>
    <w:rsid w:val="004D1436"/>
    <w:rsid w:val="004D57AE"/>
    <w:rsid w:val="005056D4"/>
    <w:rsid w:val="00526B2B"/>
    <w:rsid w:val="005362B0"/>
    <w:rsid w:val="00542447"/>
    <w:rsid w:val="00542ACD"/>
    <w:rsid w:val="00564312"/>
    <w:rsid w:val="005A2981"/>
    <w:rsid w:val="005C1AC1"/>
    <w:rsid w:val="005C6937"/>
    <w:rsid w:val="005C7F02"/>
    <w:rsid w:val="005D6B44"/>
    <w:rsid w:val="005F0A86"/>
    <w:rsid w:val="005F144A"/>
    <w:rsid w:val="005F1C00"/>
    <w:rsid w:val="00613DB2"/>
    <w:rsid w:val="00615D08"/>
    <w:rsid w:val="0061621E"/>
    <w:rsid w:val="00630AA8"/>
    <w:rsid w:val="00630B2E"/>
    <w:rsid w:val="00643D2A"/>
    <w:rsid w:val="00664E11"/>
    <w:rsid w:val="00673B30"/>
    <w:rsid w:val="00696E5D"/>
    <w:rsid w:val="006B5B86"/>
    <w:rsid w:val="006C5908"/>
    <w:rsid w:val="006C633E"/>
    <w:rsid w:val="006D56AB"/>
    <w:rsid w:val="006D734F"/>
    <w:rsid w:val="006E043F"/>
    <w:rsid w:val="006E4695"/>
    <w:rsid w:val="006E4B8B"/>
    <w:rsid w:val="006E5901"/>
    <w:rsid w:val="007033AD"/>
    <w:rsid w:val="0071091C"/>
    <w:rsid w:val="00714961"/>
    <w:rsid w:val="00744BD5"/>
    <w:rsid w:val="00745748"/>
    <w:rsid w:val="00750E36"/>
    <w:rsid w:val="00753CB0"/>
    <w:rsid w:val="00755460"/>
    <w:rsid w:val="00761FB7"/>
    <w:rsid w:val="00762107"/>
    <w:rsid w:val="00764CB9"/>
    <w:rsid w:val="00765B05"/>
    <w:rsid w:val="0077269F"/>
    <w:rsid w:val="00785F45"/>
    <w:rsid w:val="007A2780"/>
    <w:rsid w:val="007A68EA"/>
    <w:rsid w:val="007B06FC"/>
    <w:rsid w:val="007B0FEF"/>
    <w:rsid w:val="007B2DB5"/>
    <w:rsid w:val="007D2C11"/>
    <w:rsid w:val="007D6171"/>
    <w:rsid w:val="007D69EA"/>
    <w:rsid w:val="007E2C7B"/>
    <w:rsid w:val="007E411B"/>
    <w:rsid w:val="007F0863"/>
    <w:rsid w:val="007F2F3B"/>
    <w:rsid w:val="00802307"/>
    <w:rsid w:val="0082168E"/>
    <w:rsid w:val="00821968"/>
    <w:rsid w:val="008471B6"/>
    <w:rsid w:val="00851521"/>
    <w:rsid w:val="0085686A"/>
    <w:rsid w:val="00860878"/>
    <w:rsid w:val="008731FF"/>
    <w:rsid w:val="0088294A"/>
    <w:rsid w:val="0089282A"/>
    <w:rsid w:val="008A4538"/>
    <w:rsid w:val="008A704B"/>
    <w:rsid w:val="008B08D2"/>
    <w:rsid w:val="008B4EE5"/>
    <w:rsid w:val="008B5807"/>
    <w:rsid w:val="008D5FA0"/>
    <w:rsid w:val="008E2D38"/>
    <w:rsid w:val="008F5724"/>
    <w:rsid w:val="008F5900"/>
    <w:rsid w:val="008F7531"/>
    <w:rsid w:val="00902633"/>
    <w:rsid w:val="009027D8"/>
    <w:rsid w:val="0090372F"/>
    <w:rsid w:val="00911E27"/>
    <w:rsid w:val="0092129A"/>
    <w:rsid w:val="00925A3D"/>
    <w:rsid w:val="00925BB2"/>
    <w:rsid w:val="00930C8C"/>
    <w:rsid w:val="009360EA"/>
    <w:rsid w:val="00941CA2"/>
    <w:rsid w:val="00946673"/>
    <w:rsid w:val="00947C57"/>
    <w:rsid w:val="00951149"/>
    <w:rsid w:val="00960EDB"/>
    <w:rsid w:val="009622DB"/>
    <w:rsid w:val="009664BC"/>
    <w:rsid w:val="00980F02"/>
    <w:rsid w:val="00991B77"/>
    <w:rsid w:val="00997523"/>
    <w:rsid w:val="009A0C5D"/>
    <w:rsid w:val="009C4672"/>
    <w:rsid w:val="009C491B"/>
    <w:rsid w:val="009D0911"/>
    <w:rsid w:val="009D24F8"/>
    <w:rsid w:val="009D688C"/>
    <w:rsid w:val="009E67AD"/>
    <w:rsid w:val="009F2B74"/>
    <w:rsid w:val="009F7A36"/>
    <w:rsid w:val="00A249C2"/>
    <w:rsid w:val="00A24FAB"/>
    <w:rsid w:val="00A301E7"/>
    <w:rsid w:val="00A42E69"/>
    <w:rsid w:val="00A45CA7"/>
    <w:rsid w:val="00A51415"/>
    <w:rsid w:val="00A54A5A"/>
    <w:rsid w:val="00A6014E"/>
    <w:rsid w:val="00A60356"/>
    <w:rsid w:val="00A75425"/>
    <w:rsid w:val="00A81DF1"/>
    <w:rsid w:val="00A90EF3"/>
    <w:rsid w:val="00AA7717"/>
    <w:rsid w:val="00AB131E"/>
    <w:rsid w:val="00AB644F"/>
    <w:rsid w:val="00AC3F5E"/>
    <w:rsid w:val="00AE7ACF"/>
    <w:rsid w:val="00B023C3"/>
    <w:rsid w:val="00B06409"/>
    <w:rsid w:val="00B17D66"/>
    <w:rsid w:val="00B22280"/>
    <w:rsid w:val="00B31FD9"/>
    <w:rsid w:val="00B35D3A"/>
    <w:rsid w:val="00B422F1"/>
    <w:rsid w:val="00B613F5"/>
    <w:rsid w:val="00B71531"/>
    <w:rsid w:val="00B7456C"/>
    <w:rsid w:val="00B84131"/>
    <w:rsid w:val="00B8630E"/>
    <w:rsid w:val="00B931F4"/>
    <w:rsid w:val="00B95573"/>
    <w:rsid w:val="00B96395"/>
    <w:rsid w:val="00BA2AF8"/>
    <w:rsid w:val="00BB2650"/>
    <w:rsid w:val="00BB5BDC"/>
    <w:rsid w:val="00BB7B76"/>
    <w:rsid w:val="00BC32A0"/>
    <w:rsid w:val="00BD233D"/>
    <w:rsid w:val="00BE2AF9"/>
    <w:rsid w:val="00BF4EF0"/>
    <w:rsid w:val="00C024D6"/>
    <w:rsid w:val="00C02E44"/>
    <w:rsid w:val="00C10BF8"/>
    <w:rsid w:val="00C147D2"/>
    <w:rsid w:val="00C2075F"/>
    <w:rsid w:val="00C23799"/>
    <w:rsid w:val="00C274C9"/>
    <w:rsid w:val="00C31E02"/>
    <w:rsid w:val="00C54291"/>
    <w:rsid w:val="00C553CE"/>
    <w:rsid w:val="00C672C3"/>
    <w:rsid w:val="00C712B2"/>
    <w:rsid w:val="00C81A52"/>
    <w:rsid w:val="00C94325"/>
    <w:rsid w:val="00C97FED"/>
    <w:rsid w:val="00CA0243"/>
    <w:rsid w:val="00CA1DBB"/>
    <w:rsid w:val="00CA2622"/>
    <w:rsid w:val="00CA7F2C"/>
    <w:rsid w:val="00CA7FF8"/>
    <w:rsid w:val="00CB5DE7"/>
    <w:rsid w:val="00CC068D"/>
    <w:rsid w:val="00CC4922"/>
    <w:rsid w:val="00CD1FF6"/>
    <w:rsid w:val="00CE25C7"/>
    <w:rsid w:val="00CE3335"/>
    <w:rsid w:val="00CE4849"/>
    <w:rsid w:val="00CE5C8E"/>
    <w:rsid w:val="00CE5F49"/>
    <w:rsid w:val="00D01626"/>
    <w:rsid w:val="00D2505A"/>
    <w:rsid w:val="00D33A4D"/>
    <w:rsid w:val="00D33F76"/>
    <w:rsid w:val="00D41F5E"/>
    <w:rsid w:val="00D43DC0"/>
    <w:rsid w:val="00D54E56"/>
    <w:rsid w:val="00D6407D"/>
    <w:rsid w:val="00D93E78"/>
    <w:rsid w:val="00DC6E91"/>
    <w:rsid w:val="00DC7514"/>
    <w:rsid w:val="00DD3845"/>
    <w:rsid w:val="00DE531B"/>
    <w:rsid w:val="00E1687A"/>
    <w:rsid w:val="00E20A2E"/>
    <w:rsid w:val="00E277DE"/>
    <w:rsid w:val="00E27EE9"/>
    <w:rsid w:val="00E3239D"/>
    <w:rsid w:val="00E3439B"/>
    <w:rsid w:val="00E42C5F"/>
    <w:rsid w:val="00E65A1B"/>
    <w:rsid w:val="00E72F1F"/>
    <w:rsid w:val="00E7627E"/>
    <w:rsid w:val="00E85029"/>
    <w:rsid w:val="00E8543C"/>
    <w:rsid w:val="00E934AB"/>
    <w:rsid w:val="00EA06AC"/>
    <w:rsid w:val="00EA08BF"/>
    <w:rsid w:val="00EA24FB"/>
    <w:rsid w:val="00EB3204"/>
    <w:rsid w:val="00EB50BA"/>
    <w:rsid w:val="00EC3D33"/>
    <w:rsid w:val="00ED302A"/>
    <w:rsid w:val="00ED3A42"/>
    <w:rsid w:val="00EE02BC"/>
    <w:rsid w:val="00EE6970"/>
    <w:rsid w:val="00EF38D0"/>
    <w:rsid w:val="00EF3DDF"/>
    <w:rsid w:val="00EF4A8C"/>
    <w:rsid w:val="00F02FEB"/>
    <w:rsid w:val="00F2678C"/>
    <w:rsid w:val="00F27B38"/>
    <w:rsid w:val="00F40278"/>
    <w:rsid w:val="00F41832"/>
    <w:rsid w:val="00F56988"/>
    <w:rsid w:val="00F620FB"/>
    <w:rsid w:val="00F6571F"/>
    <w:rsid w:val="00F72C38"/>
    <w:rsid w:val="00F8687E"/>
    <w:rsid w:val="00F93331"/>
    <w:rsid w:val="00F95549"/>
    <w:rsid w:val="00FA1E24"/>
    <w:rsid w:val="00FA24FB"/>
    <w:rsid w:val="00FA632B"/>
    <w:rsid w:val="00FB38EA"/>
    <w:rsid w:val="00FB5E0F"/>
    <w:rsid w:val="00FB6AFF"/>
    <w:rsid w:val="00FC4D8F"/>
    <w:rsid w:val="00FD06D3"/>
    <w:rsid w:val="00FD1D18"/>
    <w:rsid w:val="00FE3157"/>
    <w:rsid w:val="00FE6865"/>
    <w:rsid w:val="00FE6993"/>
    <w:rsid w:val="057C10E7"/>
    <w:rsid w:val="0AEA14AF"/>
    <w:rsid w:val="2CDC188B"/>
    <w:rsid w:val="30A92846"/>
    <w:rsid w:val="410377A3"/>
    <w:rsid w:val="555C5711"/>
    <w:rsid w:val="7AA601AB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  <o:shapelayout v:ext="edit">
      <o:rules v:ext="edit">
        <o:r id="V:Rule1" type="connector" idref="#AutoShape 1364"/>
        <o:r id="V:Rule2" type="connector" idref="#AutoShape 1365"/>
        <o:r id="V:Rule3" type="connector" idref="#AutoShape 1366"/>
        <o:r id="V:Rule4" type="connector" idref="#AutoShape 1367"/>
        <o:r id="V:Rule5" type="connector" idref="#AutoShape 1368"/>
        <o:r id="V:Rule6" type="connector" idref="#AutoShape 1370"/>
        <o:r id="V:Rule7" type="connector" idref="#AutoShape 1372"/>
        <o:r id="V:Rule8" type="connector" idref="#AutoShape 1374"/>
        <o:r id="V:Rule9" type="connector" idref="#AutoShape 1381"/>
        <o:r id="V:Rule10" type="connector" idref="#AutoShape 1382"/>
        <o:r id="V:Rule11" type="connector" idref="#AutoShape 1384"/>
        <o:r id="V:Rule12" type="connector" idref="#AutoShape 1385"/>
        <o:r id="V:Rule13" type="connector" idref="#AutoShape 1388"/>
        <o:r id="V:Rule14" type="connector" idref="#AutoShape 1389"/>
        <o:r id="V:Rule15" type="connector" idref="#AutoShape 1390"/>
        <o:r id="V:Rule16" type="connector" idref="#AutoShape 1393"/>
      </o:rules>
    </o:shapelayout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name="footnote text"/>
    <w:lsdException w:qFormat="1"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0" w:semiHidden="0" w:name="footnote reference"/>
    <w:lsdException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0" w:semiHidden="0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9"/>
    <w:pPr>
      <w:ind w:firstLine="600" w:firstLineChars="200"/>
      <w:outlineLvl w:val="0"/>
    </w:pPr>
    <w:rPr>
      <w:rFonts w:ascii="黑体" w:hAnsi="黑体" w:eastAsia="黑体" w:cs="宋体"/>
      <w:color w:val="000000"/>
      <w:kern w:val="0"/>
      <w:sz w:val="30"/>
      <w:szCs w:val="30"/>
    </w:rPr>
  </w:style>
  <w:style w:type="paragraph" w:styleId="3">
    <w:name w:val="heading 2"/>
    <w:basedOn w:val="1"/>
    <w:next w:val="1"/>
    <w:link w:val="3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paragraph" w:styleId="4">
    <w:name w:val="heading 3"/>
    <w:basedOn w:val="1"/>
    <w:next w:val="1"/>
    <w:link w:val="35"/>
    <w:qFormat/>
    <w:uiPriority w:val="9"/>
    <w:pPr>
      <w:ind w:right="300"/>
      <w:outlineLvl w:val="2"/>
    </w:pPr>
    <w:rPr>
      <w:rFonts w:ascii="仿宋_GB2312" w:hAnsi="Calibri" w:eastAsia="仿宋_GB2312" w:cs="Times New Roman"/>
      <w:sz w:val="30"/>
      <w:szCs w:val="30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qFormat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Document Map"/>
    <w:basedOn w:val="1"/>
    <w:link w:val="39"/>
    <w:unhideWhenUsed/>
    <w:qFormat/>
    <w:uiPriority w:val="0"/>
    <w:rPr>
      <w:rFonts w:ascii="宋体"/>
      <w:sz w:val="18"/>
      <w:szCs w:val="18"/>
    </w:rPr>
  </w:style>
  <w:style w:type="paragraph" w:styleId="6">
    <w:name w:val="annotation text"/>
    <w:basedOn w:val="1"/>
    <w:link w:val="32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7">
    <w:name w:val="Balloon Text"/>
    <w:basedOn w:val="1"/>
    <w:link w:val="30"/>
    <w:unhideWhenUsed/>
    <w:qFormat/>
    <w:uiPriority w:val="0"/>
    <w:rPr>
      <w:sz w:val="18"/>
      <w:szCs w:val="18"/>
    </w:rPr>
  </w:style>
  <w:style w:type="paragraph" w:styleId="8">
    <w:name w:val="footer"/>
    <w:basedOn w:val="1"/>
    <w:link w:val="2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footnote text"/>
    <w:basedOn w:val="1"/>
    <w:link w:val="37"/>
    <w:semiHidden/>
    <w:qFormat/>
    <w:uiPriority w:val="0"/>
    <w:pPr>
      <w:snapToGrid w:val="0"/>
      <w:jc w:val="left"/>
    </w:pPr>
    <w:rPr>
      <w:rFonts w:ascii="Times New Roman" w:hAnsi="Times New Roman"/>
      <w:sz w:val="18"/>
      <w:szCs w:val="18"/>
    </w:rPr>
  </w:style>
  <w:style w:type="paragraph" w:styleId="11">
    <w:name w:val="HTML Preformatted"/>
    <w:basedOn w:val="1"/>
    <w:link w:val="31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Hyperlink"/>
    <w:basedOn w:val="13"/>
    <w:unhideWhenUsed/>
    <w:uiPriority w:val="99"/>
    <w:rPr>
      <w:rFonts w:hint="default" w:ascii="ˎ̥" w:hAnsi="ˎ̥"/>
      <w:color w:val="0453CC"/>
      <w:sz w:val="20"/>
      <w:szCs w:val="20"/>
      <w:u w:val="none"/>
    </w:rPr>
  </w:style>
  <w:style w:type="character" w:styleId="15">
    <w:name w:val="annotation reference"/>
    <w:basedOn w:val="13"/>
    <w:unhideWhenUsed/>
    <w:uiPriority w:val="0"/>
    <w:rPr>
      <w:sz w:val="21"/>
      <w:szCs w:val="21"/>
    </w:rPr>
  </w:style>
  <w:style w:type="character" w:styleId="16">
    <w:name w:val="footnote reference"/>
    <w:unhideWhenUsed/>
    <w:qFormat/>
    <w:uiPriority w:val="0"/>
    <w:rPr>
      <w:rFonts w:ascii="Times New Roman" w:hAnsi="Times New Roman" w:cs="Times New Roman"/>
      <w:vertAlign w:val="superscript"/>
    </w:rPr>
  </w:style>
  <w:style w:type="table" w:styleId="18">
    <w:name w:val="Table Grid"/>
    <w:basedOn w:val="17"/>
    <w:uiPriority w:val="59"/>
    <w:pPr/>
    <w:tblPr>
      <w:tblStyle w:val="17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  <w:style w:type="paragraph" w:customStyle="1" w:styleId="20">
    <w:name w:val="Default"/>
    <w:qFormat/>
    <w:uiPriority w:val="99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kern w:val="0"/>
      <w:sz w:val="24"/>
      <w:szCs w:val="24"/>
      <w:lang w:val="en-US" w:eastAsia="zh-CN" w:bidi="ar-SA"/>
    </w:rPr>
  </w:style>
  <w:style w:type="paragraph" w:customStyle="1" w:styleId="21">
    <w:name w:val="juzhong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Revision"/>
    <w:hidden/>
    <w:semiHidden/>
    <w:uiPriority w:val="99"/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23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customStyle="1" w:styleId="24">
    <w:name w:val="列出段落4"/>
    <w:basedOn w:val="1"/>
    <w:qFormat/>
    <w:uiPriority w:val="0"/>
    <w:pPr>
      <w:ind w:firstLine="200" w:firstLineChars="200"/>
    </w:pPr>
    <w:rPr>
      <w:rFonts w:ascii="Calibri" w:hAnsi="Calibri" w:eastAsia="宋体" w:cs="Times New Roman"/>
    </w:rPr>
  </w:style>
  <w:style w:type="paragraph" w:customStyle="1" w:styleId="25">
    <w:name w:val="列出段落3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customStyle="1" w:styleId="26">
    <w:name w:val="p0"/>
    <w:basedOn w:val="1"/>
    <w:qFormat/>
    <w:uiPriority w:val="0"/>
    <w:pPr>
      <w:widowControl/>
    </w:pPr>
    <w:rPr>
      <w:rFonts w:ascii="Calibri" w:hAnsi="Calibri" w:eastAsia="宋体" w:cs="宋体"/>
      <w:kern w:val="0"/>
      <w:szCs w:val="21"/>
    </w:rPr>
  </w:style>
  <w:style w:type="paragraph" w:customStyle="1" w:styleId="27">
    <w:name w:val="Heading 1"/>
    <w:basedOn w:val="1"/>
    <w:qFormat/>
    <w:uiPriority w:val="1"/>
    <w:pPr>
      <w:spacing w:line="541" w:lineRule="exact"/>
      <w:ind w:left="1919" w:right="2017"/>
      <w:jc w:val="center"/>
      <w:outlineLvl w:val="1"/>
    </w:pPr>
    <w:rPr>
      <w:rFonts w:ascii="Noto Sans Mono CJK JP Regular" w:hAnsi="Noto Sans Mono CJK JP Regular" w:eastAsia="Noto Sans Mono CJK JP Regular" w:cs="Noto Sans Mono CJK JP Regular"/>
      <w:sz w:val="36"/>
      <w:szCs w:val="36"/>
    </w:rPr>
  </w:style>
  <w:style w:type="character" w:customStyle="1" w:styleId="28">
    <w:name w:val="页眉 Char"/>
    <w:basedOn w:val="13"/>
    <w:link w:val="9"/>
    <w:uiPriority w:val="99"/>
    <w:rPr>
      <w:sz w:val="18"/>
      <w:szCs w:val="18"/>
    </w:rPr>
  </w:style>
  <w:style w:type="character" w:customStyle="1" w:styleId="29">
    <w:name w:val="页脚 Char"/>
    <w:basedOn w:val="13"/>
    <w:link w:val="8"/>
    <w:uiPriority w:val="99"/>
    <w:rPr>
      <w:sz w:val="18"/>
      <w:szCs w:val="18"/>
    </w:rPr>
  </w:style>
  <w:style w:type="character" w:customStyle="1" w:styleId="30">
    <w:name w:val="批注框文本 Char"/>
    <w:basedOn w:val="13"/>
    <w:link w:val="7"/>
    <w:semiHidden/>
    <w:qFormat/>
    <w:uiPriority w:val="0"/>
    <w:rPr>
      <w:sz w:val="18"/>
      <w:szCs w:val="18"/>
    </w:rPr>
  </w:style>
  <w:style w:type="character" w:customStyle="1" w:styleId="31">
    <w:name w:val="HTML 预设格式 Char"/>
    <w:basedOn w:val="13"/>
    <w:link w:val="11"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32">
    <w:name w:val="批注文字 Char"/>
    <w:basedOn w:val="13"/>
    <w:link w:val="6"/>
    <w:semiHidden/>
    <w:qFormat/>
    <w:uiPriority w:val="0"/>
    <w:rPr>
      <w:rFonts w:ascii="Calibri" w:hAnsi="Calibri" w:eastAsia="宋体" w:cs="Times New Roman"/>
    </w:rPr>
  </w:style>
  <w:style w:type="character" w:customStyle="1" w:styleId="33">
    <w:name w:val="标题 1 Char"/>
    <w:basedOn w:val="13"/>
    <w:link w:val="2"/>
    <w:uiPriority w:val="9"/>
    <w:rPr>
      <w:rFonts w:ascii="黑体" w:hAnsi="黑体" w:eastAsia="黑体" w:cs="宋体"/>
      <w:color w:val="000000"/>
      <w:kern w:val="0"/>
      <w:sz w:val="30"/>
      <w:szCs w:val="30"/>
    </w:rPr>
  </w:style>
  <w:style w:type="character" w:customStyle="1" w:styleId="34">
    <w:name w:val="标题 2 Char"/>
    <w:basedOn w:val="13"/>
    <w:link w:val="3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35">
    <w:name w:val="标题 3 Char"/>
    <w:basedOn w:val="13"/>
    <w:link w:val="4"/>
    <w:qFormat/>
    <w:uiPriority w:val="9"/>
    <w:rPr>
      <w:rFonts w:ascii="仿宋_GB2312" w:hAnsi="Calibri" w:eastAsia="仿宋_GB2312" w:cs="Times New Roman"/>
      <w:sz w:val="30"/>
      <w:szCs w:val="30"/>
    </w:rPr>
  </w:style>
  <w:style w:type="character" w:customStyle="1" w:styleId="36">
    <w:name w:val="脚注文本 Char"/>
    <w:basedOn w:val="13"/>
    <w:semiHidden/>
    <w:qFormat/>
    <w:uiPriority w:val="99"/>
    <w:rPr>
      <w:kern w:val="2"/>
      <w:sz w:val="18"/>
      <w:szCs w:val="18"/>
    </w:rPr>
  </w:style>
  <w:style w:type="character" w:customStyle="1" w:styleId="37">
    <w:name w:val="脚注文本 Char1"/>
    <w:basedOn w:val="13"/>
    <w:link w:val="10"/>
    <w:semiHidden/>
    <w:uiPriority w:val="0"/>
    <w:rPr>
      <w:rFonts w:ascii="Times New Roman" w:hAnsi="Times New Roman"/>
      <w:sz w:val="18"/>
      <w:szCs w:val="18"/>
    </w:rPr>
  </w:style>
  <w:style w:type="character" w:customStyle="1" w:styleId="38">
    <w:name w:val="标题 4 Char Char"/>
    <w:qFormat/>
    <w:uiPriority w:val="0"/>
    <w:rPr>
      <w:rFonts w:ascii="Calibri" w:hAnsi="Calibri"/>
      <w:b/>
      <w:bCs/>
      <w:sz w:val="28"/>
      <w:szCs w:val="28"/>
      <w:lang w:eastAsia="en-US" w:bidi="en-US"/>
    </w:rPr>
  </w:style>
  <w:style w:type="character" w:customStyle="1" w:styleId="39">
    <w:name w:val="文档结构图 Char"/>
    <w:basedOn w:val="13"/>
    <w:link w:val="5"/>
    <w:uiPriority w:val="0"/>
    <w:rPr>
      <w:rFonts w:ascii="宋体"/>
      <w:sz w:val="18"/>
      <w:szCs w:val="18"/>
    </w:rPr>
  </w:style>
  <w:style w:type="character" w:customStyle="1" w:styleId="40">
    <w:name w:val="批注文字 Char1"/>
    <w:basedOn w:val="13"/>
    <w:semiHidden/>
    <w:qFormat/>
    <w:uiPriority w:val="99"/>
    <w:rPr>
      <w:kern w:val="2"/>
      <w:sz w:val="21"/>
      <w:szCs w:val="22"/>
    </w:rPr>
  </w:style>
  <w:style w:type="character" w:customStyle="1" w:styleId="41">
    <w:name w:val="Intense Emphasis"/>
    <w:basedOn w:val="13"/>
    <w:qFormat/>
    <w:uiPriority w:val="21"/>
    <w:rPr>
      <w:b/>
      <w:bCs/>
      <w:i/>
      <w:iCs/>
      <w:color w:val="4F81BD"/>
    </w:rPr>
  </w:style>
  <w:style w:type="character" w:customStyle="1" w:styleId="42">
    <w:name w:val="文档结构图 Char1"/>
    <w:basedOn w:val="13"/>
    <w:semiHidden/>
    <w:qFormat/>
    <w:uiPriority w:val="99"/>
    <w:rPr>
      <w:rFonts w:ascii="宋体" w:eastAsia="宋体"/>
      <w:sz w:val="18"/>
      <w:szCs w:val="18"/>
    </w:rPr>
  </w:style>
  <w:style w:type="character" w:customStyle="1" w:styleId="43">
    <w:name w:val="脚注文本 Char2"/>
    <w:basedOn w:val="1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235</Words>
  <Characters>1343</Characters>
  <Lines>11</Lines>
  <Paragraphs>3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2020-03-18T05:44:00Z</dcterms:created>
  <dc:creator>裴建君2</dc:creator>
  <cp:lastModifiedBy>蒙卫丹/资本项目管理处/南宁/PBC</cp:lastModifiedBy>
  <cp:lastPrinted>2020-07-02T09:03:00Z</cp:lastPrinted>
  <dcterms:modified xsi:type="dcterms:W3CDTF">2020-12-24T03:24:41Z</dcterms:modified>
  <dc:title>编号：57012               _x0001_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