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4"/>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jc w:val="cente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w:t>
      </w:r>
      <w:r>
        <w:rPr>
          <w:rFonts w:hint="eastAsia" w:ascii="Times New Roman" w:hAnsi="Times New Roman" w:eastAsia="仿宋_GB2312"/>
          <w:sz w:val="30"/>
          <w:szCs w:val="30"/>
        </w:rPr>
        <w:t>、</w:t>
      </w:r>
      <w:r>
        <w:rPr>
          <w:rFonts w:ascii="Times New Roman" w:hAnsi="Times New Roman" w:eastAsia="仿宋_GB2312" w:cs="Times New Roman"/>
          <w:sz w:val="30"/>
          <w:szCs w:val="30"/>
        </w:rPr>
        <w:t>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四、境内机构短期外债余额指标核准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2.《境内机构借用国际商业贷款管理办法》（〔97〕汇政发字06号）。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3.《境内外资银行外债管理办法》（国家发展和改革委员会 中国人民银行 中国银行业监督管理委员会令2004年第9号）。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4.《国家外汇管理局关于发布〈外债登记管理办法〉的通知》（汇发〔2013〕19号）。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5.《中国人民银行关于全口径跨境融资宏观审慎管理有关事宜的通知》（银发〔2017〕9号）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.其他相关法规。</w:t>
      </w:r>
    </w:p>
    <w:p>
      <w:pPr>
        <w:numPr>
          <w:ilvl w:val="0"/>
          <w:numId w:val="3"/>
        </w:num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申请人所在地国家外汇管理局分局（外汇管理部）。</w:t>
      </w:r>
    </w:p>
    <w:p>
      <w:pPr>
        <w:numPr>
          <w:ilvl w:val="0"/>
          <w:numId w:val="4"/>
        </w:num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 xml:space="preserve">国家外汇管理局或申请人所在地国家外汇管理局分局（外汇管理部）。 </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numPr>
          <w:ilvl w:val="0"/>
          <w:numId w:val="5"/>
        </w:num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1.金融机构需同时符合以下条件：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（1）短期外债使用无不良记录。</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（2）外汇局根据中、外资银行对外汇资金的实际合理需求，根据公平原则，参考上年度指标使用情况、同规模银行一般水平和当年度短期外债余额调控目标等因素为银行核定短期外债指标。</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2.非金融企业需同时符合以下条件：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（1）属于国家鼓励行业，具有对外贸易经营权。</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（2）过去三年内连续盈利，或经营趋势良好。</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（3）具有完善的财务管理制度和内控制度。</w:t>
      </w:r>
    </w:p>
    <w:p>
      <w:pPr>
        <w:adjustRightInd w:val="0"/>
        <w:snapToGrid w:val="0"/>
        <w:spacing w:line="360" w:lineRule="auto"/>
        <w:ind w:firstLine="600"/>
        <w:rPr>
          <w:rFonts w:ascii="Times New Roman" w:hAnsi="Times New Roman" w:eastAsia="仿宋_GB2312" w:cs="Times New Roman"/>
          <w:b/>
          <w:sz w:val="30"/>
          <w:szCs w:val="30"/>
        </w:rPr>
      </w:pPr>
      <w:r>
        <w:rPr>
          <w:rFonts w:ascii="Times New Roman" w:hAnsi="Times New Roman" w:eastAsia="仿宋_GB2312" w:cs="Times New Roman"/>
          <w:sz w:val="30"/>
          <w:szCs w:val="30"/>
        </w:rPr>
        <w:t>3.禁止性要求：如符合上述条件，不存在不予许可的情况。</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1.金融机构短期外债余额指标申请材料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4254"/>
        <w:gridCol w:w="992"/>
        <w:gridCol w:w="567"/>
        <w:gridCol w:w="851"/>
        <w:gridCol w:w="56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上年度资产负债表和损益表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流动性需要或资金用途有关的证明材料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境外总行或地区管理部门批准的对中国境内债务人的年度授信限额文件（外资金融机构的境内非法人分支机构提供）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境外总行授权文件（“短期外债管理行”提供）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numPr>
          <w:ilvl w:val="0"/>
          <w:numId w:val="6"/>
        </w:numPr>
        <w:ind w:right="30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非金融企业短期外债余额指标申请材料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474"/>
        <w:gridCol w:w="952"/>
        <w:gridCol w:w="457"/>
        <w:gridCol w:w="845"/>
        <w:gridCol w:w="490"/>
        <w:gridCol w:w="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47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5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4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9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7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上年度资产负债表和损益表</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上年度外汇收支情况。</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信贷机构出具的承诺贷款的意向书</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spacing w:line="360" w:lineRule="auto"/>
        <w:ind w:firstLine="600" w:firstLineChars="200"/>
        <w:outlineLvl w:val="0"/>
        <w:rPr>
          <w:rFonts w:ascii="Times New Roman" w:hAnsi="Times New Roman" w:eastAsia="黑体" w:cs="Times New Roman"/>
          <w:sz w:val="30"/>
          <w:szCs w:val="30"/>
        </w:rPr>
      </w:pPr>
    </w:p>
    <w:p>
      <w:pPr>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申请人可通过所在地外汇局分局（外汇管理部）业务窗口提交材料。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0" w:name="_GoBack"/>
      <w:bookmarkEnd w:id="0"/>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ascii="Times New Roman" w:hAnsi="Times New Roman" w:eastAsia="仿宋_GB2312" w:cs="Times New Roman"/>
          <w:sz w:val="30"/>
          <w:szCs w:val="30"/>
        </w:rPr>
        <w:sectPr>
          <w:headerReference r:id="rId4" w:type="default"/>
          <w:footerReference r:id="rId6" w:type="default"/>
          <w:headerReference r:id="rId5" w:type="even"/>
          <w:pgSz w:w="11906" w:h="16838"/>
          <w:pgMar w:top="1440" w:right="1800" w:bottom="1440" w:left="1800" w:header="851" w:footer="992" w:gutter="0"/>
          <w:cols w:space="720" w:num="1"/>
          <w:docGrid w:type="lines" w:linePitch="312" w:charSpace="0"/>
        </w:sect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r>
        <w:rPr>
          <w:rFonts w:ascii="Times New Roman" w:hAnsi="Times New Roman" w:eastAsia="仿宋_GB2312" w:cs="Times New Roman"/>
          <w:sz w:val="30"/>
          <w:szCs w:val="30"/>
        </w:rPr>
        <w:t>。</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left="567" w:right="300" w:hanging="567" w:hangingChars="189"/>
        <w:jc w:val="center"/>
        <w:rPr>
          <w:rFonts w:hint="eastAsia" w:ascii="Times New Roman" w:hAnsi="Times New Roman" w:eastAsia="黑体" w:cs="Times New Roman"/>
          <w:sz w:val="30"/>
          <w:szCs w:val="30"/>
        </w:rPr>
      </w:pPr>
      <w:r>
        <w:rPr>
          <w:rFonts w:ascii="Times New Roman" w:hAnsi="Times New Roman" w:eastAsia="黑体" w:cs="Times New Roman"/>
          <w:sz w:val="30"/>
          <w:szCs w:val="30"/>
        </w:rPr>
        <w:t>基本流程图</w:t>
      </w:r>
    </w:p>
    <w:p>
      <w:pPr>
        <w:ind w:left="567" w:right="300" w:hanging="567" w:hangingChars="189"/>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2" o:spid="_x0000_s1027" style="position:absolute;left:0;margin-left:-37.1pt;margin-top:5.6pt;height:665.15pt;width:491.25pt;rotation:0f;z-index:251658240;" coordorigin="1599,1560" coordsize="9010,13628">
            <o:lock v:ext="edit" position="f" selection="f" grouping="f" rotation="f" cropping="f" text="f" aspectratio="f"/>
            <v:shape id="AutoShape 3" o:spid="_x0000_s1028" type="#_x0000_t32" style="position:absolute;left:6566;top:10994;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4" o:spid="_x0000_s1029" style="position:absolute;left:1599;top:1560;height:13628;width:9010;rotation:0f;" coordorigin="1599,1560" coordsize="9010,13628">
              <o:lock v:ext="edit" position="f" selection="f" grouping="f" rotation="f" cropping="f" text="f" aspectratio="f"/>
              <v:shape id="AutoShape 5" o:spid="_x0000_s1030" type="#_x0000_t32" style="position:absolute;left:6565;top:11899;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6" o:spid="_x0000_s1031" style="position:absolute;left:1599;top:1560;height:13628;width:9010;rotation:0f;" coordorigin="1599,1560" coordsize="9010,13628">
                <o:lock v:ext="edit" position="f" selection="f" grouping="f" rotation="f" cropping="f" text="f" aspectratio="f"/>
                <v:rect id="Rectangle 7" o:spid="_x0000_s1032" style="position:absolute;left:5057;top:11620;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国家外汇管理局审核</w:t>
                        </w:r>
                      </w:p>
                    </w:txbxContent>
                  </v:textbox>
                </v:rect>
                <v:shape id="AutoShape 8" o:spid="_x0000_s1033" type="#_x0000_t32" style="position:absolute;left:3999;top:12614;height:56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9" o:spid="_x0000_s1034" type="#_x0000_t32" style="position:absolute;left:9017;top:12614;height:607;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5" type="#_x0000_t32" style="position:absolute;left:4013;top:12614;height:0;width:4987;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 o:spid="_x0000_s1036" type="#_x0000_t116" style="position:absolute;left:7492;top:13201;height:1329;width:311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p>
                        <w:pPr>
                          <w:jc w:val="center"/>
                        </w:pPr>
                      </w:p>
                    </w:txbxContent>
                  </v:textbox>
                </v:shape>
                <v:shape id="AutoShape 12" o:spid="_x0000_s1037" type="#_x0000_t116" style="position:absolute;left:2034;top:14510;height:678;width:479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初审外汇局出具批复文件，并送达</w:t>
                        </w:r>
                      </w:p>
                    </w:txbxContent>
                  </v:textbox>
                </v:shape>
                <v:rect id="Rectangle 13" o:spid="_x0000_s1038" style="position:absolute;left:2294;top:13181;height:859;width:3461;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w:t>
                        </w:r>
                      </w:p>
                      <w:p>
                        <w:pPr>
                          <w:jc w:val="center"/>
                        </w:pPr>
                        <w:r>
                          <w:rPr>
                            <w:rFonts w:hint="eastAsia"/>
                          </w:rPr>
                          <w:t>为初审外汇局出具批复文件</w:t>
                        </w:r>
                      </w:p>
                    </w:txbxContent>
                  </v:textbox>
                </v:rect>
                <v:shape id="AutoShape 14" o:spid="_x0000_s1039" type="#_x0000_t32" style="position:absolute;left:4013;top:14040;height:470;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5" o:spid="_x0000_s1040" style="position:absolute;left:1599;top:1560;height:11621;width:8921;rotation:0f;" coordorigin="1635,1526" coordsize="8921,11621">
                  <o:lock v:ext="edit" position="f" selection="f" grouping="f" rotation="f" cropping="f" text="f" aspectratio="f"/>
                  <v:shape id="AutoShape 16" o:spid="_x0000_s1041" type="#_x0000_t32" style="position:absolute;left:6600;top:8677;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7" o:spid="_x0000_s1042" type="#_x0000_t116" style="position:absolute;left:1920;top:1526;height:703;width:373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id="Group 18" o:spid="_x0000_s1043" style="position:absolute;left:1635;top:2321;height:6356;width:8921;rotation:0f;" coordorigin="1635,2361" coordsize="8921,6356">
                    <o:lock v:ext="edit" position="f" selection="f" grouping="f" rotation="f" cropping="f" text="f" aspectratio="f"/>
                    <v:shape id="AutoShape 19" o:spid="_x0000_s1044" type="#_x0000_t34" style="position:absolute;left:8014;top:4167;height:1285;width:3790;rotation:17694720f;" o:ole="f" o:connectortype="elbow" fillcolor="#FFFFFF" filled="f" o:preferrelative="t" stroked="t" coordorigin="0,0" coordsize="21600,21600" adj="45">
                      <v:fill on="f" color2="#FFFFFF" focus="0%"/>
                      <v:stroke color="#000000" color2="#FFFFFF" miterlimit="2"/>
                      <v:imagedata gain="65536f" blacklevel="0f" gamma="0"/>
                      <o:lock v:ext="edit" position="f" selection="f" grouping="f" rotation="f" cropping="f" text="f" aspectratio="f"/>
                    </v:shape>
                    <v:group id="Group 20" o:spid="_x0000_s1045" style="position:absolute;left:1635;top:2361;height:6356;width:8921;rotation:0f;" coordorigin="1656,3881" coordsize="8921,6356">
                      <o:lock v:ext="edit" position="f" selection="f" grouping="f" rotation="f" cropping="f" text="f" aspectratio="f"/>
                      <v:shape id="AutoShape 21" o:spid="_x0000_s1046" type="#_x0000_t32" style="position:absolute;left:7549;top:7016;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2" o:spid="_x0000_s1047" type="#_x0000_t4" style="position:absolute;left:5812;top:7377;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shape id="AutoShape 23" o:spid="_x0000_s1048" type="#_x0000_t32" style="position:absolute;left:3011;top:9967;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4" o:spid="_x0000_s1049" type="#_x0000_t32" style="position:absolute;left:3011;top:6530;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Text Box 25" o:spid="_x0000_s1050" type="#_x0000_t202" style="position:absolute;left:2253;top:7824;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AutoShape 26" o:spid="_x0000_s1051" type="#_x0000_t32" style="position:absolute;left:7549;top:9110;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7" o:spid="_x0000_s1052" type="#_x0000_t202" style="position:absolute;left:4429;top:9110;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rect id="Rectangle 28" o:spid="_x0000_s1053" style="position:absolute;left:4224;top:9718;height:519;width:5359;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txbxContent>
                        </v:textbox>
                      </v:rect>
                      <v:shape id="AutoShape 29" o:spid="_x0000_s1054" type="#_x0000_t32" style="position:absolute;left:4429;top:5511;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0" o:spid="_x0000_s1055" type="#_x0000_t32" style="position:absolute;left:5658;top:4533;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6" type="#_x0000_t4" style="position:absolute;left:1656;top:4480;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接件（5个工作日）作出是否受理决定</w:t>
                              </w:r>
                            </w:p>
                          </w:txbxContent>
                        </v:textbox>
                      </v:shape>
                      <v:shape id="AutoShape 32" o:spid="_x0000_s1057" type="#_x0000_t32" style="position:absolute;left:5686;top:6453;height:1;width:564;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3" o:spid="_x0000_s1058" type="#_x0000_t32" style="position:absolute;left:5658;top:4533;height:0;width:564;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rect id="Rectangle 34" o:spid="_x0000_s1059" style="position:absolute;left:6222;top:5885;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left="850" w:hanging="850" w:hangingChars="405"/>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35" o:spid="_x0000_s1060" type="#_x0000_t116" style="position:absolute;left:6222;top:3881;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shape id="Text Box 36" o:spid="_x0000_s1061" type="#_x0000_t202" style="position:absolute;left:4834;top:4762;height:48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shape id="Text Box 37" o:spid="_x0000_s1062" type="#_x0000_t202" style="position:absolute;left:9583;top:4841;height:2553;width:823;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38" o:spid="_x0000_s1063" type="#_x0000_t32" style="position:absolute;left:9040;top:4464;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shape id="AutoShape 39" o:spid="_x0000_s1064" type="#_x0000_t32" style="position:absolute;left:3011;top:2229;flip:x;height:69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40" o:spid="_x0000_s1065" type="#_x0000_t4" style="position:absolute;left:3562;top:9140;height:1920;width:612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申请人所在地外汇局分局（外汇管理部）根据申请材料，</w:t>
                          </w:r>
                        </w:p>
                        <w:p>
                          <w:pPr>
                            <w:jc w:val="center"/>
                          </w:pPr>
                          <w:r>
                            <w:rPr>
                              <w:rFonts w:hint="eastAsia"/>
                            </w:rPr>
                            <w:t>作出初审意见</w:t>
                          </w:r>
                        </w:p>
                      </w:txbxContent>
                    </v:textbox>
                  </v:shape>
                  <v:shape id="Text Box 41" o:spid="_x0000_s1066" type="#_x0000_t202" style="position:absolute;left:5093;top:10960;height:472;width:812;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同意</w:t>
                          </w:r>
                        </w:p>
                      </w:txbxContent>
                    </v:textbox>
                  </v:shape>
                  <v:shape id="Text Box 42" o:spid="_x0000_s1067" type="#_x0000_t202" style="position:absolute;left:8520;top:10848;height:584;width:1042;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不同意</w:t>
                          </w:r>
                        </w:p>
                      </w:txbxContent>
                    </v:textbox>
                  </v:shape>
                  <v:shape id="AutoShape 43" o:spid="_x0000_s1068" type="#_x0000_t32" style="position:absolute;left:9682;top:10120;height:302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v:group>
        </w:pict>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附录二          </w:t>
      </w:r>
    </w:p>
    <w:p>
      <w:pPr>
        <w:widowControl/>
        <w:jc w:val="left"/>
        <w:rPr>
          <w:rFonts w:ascii="Times New Roman" w:hAnsi="Times New Roman" w:eastAsia="仿宋_GB2312" w:cs="Times New Roman"/>
          <w:kern w:val="0"/>
          <w:sz w:val="30"/>
          <w:szCs w:val="30"/>
        </w:rPr>
      </w:pP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rPr>
          <w:rFonts w:ascii="Times New Roman" w:hAnsi="Times New Roman" w:eastAsia="仿宋_GB2312" w:cs="Times New Roman"/>
          <w:bCs/>
          <w:kern w:val="0"/>
          <w:sz w:val="30"/>
          <w:szCs w:val="30"/>
        </w:rPr>
      </w:pPr>
      <w:r>
        <w:rPr>
          <w:rFonts w:ascii="Times New Roman" w:hAnsi="Times New Roman" w:eastAsia="仿宋_GB2312" w:cs="Times New Roman"/>
          <w:bCs/>
          <w:kern w:val="0"/>
          <w:sz w:val="30"/>
          <w:szCs w:val="30"/>
        </w:rPr>
        <w:t xml:space="preserve">    问：外资金融机构能否申请短期外债余额指标？</w:t>
      </w:r>
    </w:p>
    <w:p>
      <w:pPr>
        <w:rPr>
          <w:rFonts w:ascii="Times New Roman" w:hAnsi="Times New Roman" w:cs="Times New Roman"/>
        </w:rPr>
      </w:pPr>
      <w:r>
        <w:rPr>
          <w:rFonts w:ascii="Times New Roman" w:hAnsi="Times New Roman" w:eastAsia="仿宋_GB2312" w:cs="Times New Roman"/>
          <w:bCs/>
          <w:kern w:val="0"/>
          <w:sz w:val="30"/>
          <w:szCs w:val="30"/>
        </w:rPr>
        <w:t xml:space="preserve">    答：2018年1月12日以前，外资金融机构可在短期外债余额指标管理模式和宏观审慎管理模式下任选一种模式适用。2018年1月12日以后，外资金融机构自动适用宏观审慎管理模式。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8</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59970">
    <w:nsid w:val="5A10F202"/>
    <w:multiLevelType w:val="singleLevel"/>
    <w:tmpl w:val="5A10F202"/>
    <w:lvl w:ilvl="0" w:tentative="1">
      <w:start w:val="3"/>
      <w:numFmt w:val="chineseCounting"/>
      <w:suff w:val="nothing"/>
      <w:lvlText w:val="（%1）"/>
      <w:lvlJc w:val="left"/>
    </w:lvl>
  </w:abstractNum>
  <w:abstractNum w:abstractNumId="1511063245">
    <w:nsid w:val="5A10FECD"/>
    <w:multiLevelType w:val="singleLevel"/>
    <w:tmpl w:val="5A10FECD"/>
    <w:lvl w:ilvl="0" w:tentative="1">
      <w:start w:val="2"/>
      <w:numFmt w:val="decimal"/>
      <w:suff w:val="nothing"/>
      <w:lvlText w:val="%1."/>
      <w:lvlJc w:val="left"/>
    </w:lvl>
  </w:abstractNum>
  <w:abstractNum w:abstractNumId="1511059936">
    <w:nsid w:val="5A10F1E0"/>
    <w:multiLevelType w:val="singleLevel"/>
    <w:tmpl w:val="5A10F1E0"/>
    <w:lvl w:ilvl="0" w:tentative="1">
      <w:start w:val="3"/>
      <w:numFmt w:val="chineseCounting"/>
      <w:suff w:val="nothing"/>
      <w:lvlText w:val="%1、"/>
      <w:lvlJc w:val="left"/>
    </w:lvl>
  </w:abstractNum>
  <w:abstractNum w:abstractNumId="1511059956">
    <w:nsid w:val="5A10F1F4"/>
    <w:multiLevelType w:val="singleLevel"/>
    <w:tmpl w:val="5A10F1F4"/>
    <w:lvl w:ilvl="0" w:tentative="1">
      <w:start w:val="2"/>
      <w:numFmt w:val="chineseCounting"/>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abstractNum w:abstractNumId="1511062315">
    <w:nsid w:val="5A10FB2B"/>
    <w:multiLevelType w:val="singleLevel"/>
    <w:tmpl w:val="5A10FB2B"/>
    <w:lvl w:ilvl="0" w:tentative="1">
      <w:start w:val="5"/>
      <w:numFmt w:val="chineseCounting"/>
      <w:suff w:val="nothing"/>
      <w:lvlText w:val="（%1）"/>
      <w:lvlJc w:val="left"/>
    </w:lvl>
  </w:abstractNum>
  <w:num w:numId="1">
    <w:abstractNumId w:val="1511059921"/>
  </w:num>
  <w:num w:numId="2">
    <w:abstractNumId w:val="1511059936"/>
  </w:num>
  <w:num w:numId="3">
    <w:abstractNumId w:val="1511059956"/>
  </w:num>
  <w:num w:numId="4">
    <w:abstractNumId w:val="1511059970"/>
  </w:num>
  <w:num w:numId="5">
    <w:abstractNumId w:val="1511062315"/>
  </w:num>
  <w:num w:numId="6">
    <w:abstractNumId w:val="15110632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B7295"/>
    <w:rsid w:val="000C27F4"/>
    <w:rsid w:val="00135109"/>
    <w:rsid w:val="00145BD8"/>
    <w:rsid w:val="00176A6D"/>
    <w:rsid w:val="001B0173"/>
    <w:rsid w:val="002641AE"/>
    <w:rsid w:val="00265F5D"/>
    <w:rsid w:val="002C6C8D"/>
    <w:rsid w:val="00330668"/>
    <w:rsid w:val="00366261"/>
    <w:rsid w:val="0038340C"/>
    <w:rsid w:val="0039521E"/>
    <w:rsid w:val="003976DA"/>
    <w:rsid w:val="003A03C4"/>
    <w:rsid w:val="003E46F2"/>
    <w:rsid w:val="00420920"/>
    <w:rsid w:val="00442008"/>
    <w:rsid w:val="00466BB3"/>
    <w:rsid w:val="004E1CBA"/>
    <w:rsid w:val="004E593D"/>
    <w:rsid w:val="004F0C27"/>
    <w:rsid w:val="00624074"/>
    <w:rsid w:val="00631264"/>
    <w:rsid w:val="00643652"/>
    <w:rsid w:val="00665B51"/>
    <w:rsid w:val="006821C8"/>
    <w:rsid w:val="006B2D7D"/>
    <w:rsid w:val="006B35CF"/>
    <w:rsid w:val="006C7F0D"/>
    <w:rsid w:val="00715C9E"/>
    <w:rsid w:val="007274A4"/>
    <w:rsid w:val="00756B35"/>
    <w:rsid w:val="00771D90"/>
    <w:rsid w:val="007813E1"/>
    <w:rsid w:val="007F2F08"/>
    <w:rsid w:val="00823D47"/>
    <w:rsid w:val="008720C9"/>
    <w:rsid w:val="0087502E"/>
    <w:rsid w:val="0088591A"/>
    <w:rsid w:val="00886AB5"/>
    <w:rsid w:val="008A21BD"/>
    <w:rsid w:val="008A4948"/>
    <w:rsid w:val="008F57C2"/>
    <w:rsid w:val="0091298F"/>
    <w:rsid w:val="00925C27"/>
    <w:rsid w:val="0096421E"/>
    <w:rsid w:val="009A7B1F"/>
    <w:rsid w:val="009F0EE8"/>
    <w:rsid w:val="00AA48B7"/>
    <w:rsid w:val="00B80652"/>
    <w:rsid w:val="00C125D3"/>
    <w:rsid w:val="00C8240C"/>
    <w:rsid w:val="00C91A20"/>
    <w:rsid w:val="00C94951"/>
    <w:rsid w:val="00CB28E1"/>
    <w:rsid w:val="00CD76A0"/>
    <w:rsid w:val="00CF1A09"/>
    <w:rsid w:val="00CF3A9E"/>
    <w:rsid w:val="00CF5F04"/>
    <w:rsid w:val="00D217AF"/>
    <w:rsid w:val="00D845DA"/>
    <w:rsid w:val="00DC7DB0"/>
    <w:rsid w:val="00DD3466"/>
    <w:rsid w:val="00DF4380"/>
    <w:rsid w:val="00E91622"/>
    <w:rsid w:val="00EC386A"/>
    <w:rsid w:val="00F36838"/>
    <w:rsid w:val="00F53E44"/>
    <w:rsid w:val="00F55030"/>
    <w:rsid w:val="00FA003D"/>
    <w:rsid w:val="00FA6F43"/>
    <w:rsid w:val="00FB14AD"/>
    <w:rsid w:val="00FD2363"/>
    <w:rsid w:val="1424027D"/>
    <w:rsid w:val="1D363FDD"/>
    <w:rsid w:val="3AD03EF0"/>
    <w:rsid w:val="44CB468A"/>
    <w:rsid w:val="53FC0EA2"/>
    <w:rsid w:val="65B24CC9"/>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3"/>
        <o:r id="V:Rule2" type="connector" idref="#AutoShape 5"/>
        <o:r id="V:Rule3" type="connector" idref="#AutoShape 8"/>
        <o:r id="V:Rule4" type="connector" idref="#AutoShape 9"/>
        <o:r id="V:Rule5" type="connector" idref="#AutoShape 10"/>
        <o:r id="V:Rule6" type="connector" idref="#AutoShape 14"/>
        <o:r id="V:Rule7" type="connector" idref="#AutoShape 16"/>
        <o:r id="V:Rule8" type="connector" idref="#AutoShape 19"/>
        <o:r id="V:Rule9" type="connector" idref="#AutoShape 21"/>
        <o:r id="V:Rule10" type="connector" idref="#AutoShape 23"/>
        <o:r id="V:Rule11" type="connector" idref="#AutoShape 24"/>
        <o:r id="V:Rule12" type="connector" idref="#AutoShape 26"/>
        <o:r id="V:Rule13" type="connector" idref="#AutoShape 29"/>
        <o:r id="V:Rule14" type="connector" idref="#AutoShape 30"/>
        <o:r id="V:Rule15" type="connector" idref="#AutoShape 32"/>
        <o:r id="V:Rule16" type="connector" idref="#AutoShape 33"/>
        <o:r id="V:Rule17" type="connector" idref="#AutoShape 38"/>
        <o:r id="V:Rule18" type="connector" idref="#AutoShape 39"/>
        <o:r id="V:Rule19" type="connector" idref="#AutoShape 43"/>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5"/>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6"/>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7"/>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6"/>
    <w:unhideWhenUsed/>
    <w:qFormat/>
    <w:uiPriority w:val="0"/>
    <w:rPr>
      <w:rFonts w:ascii="宋体"/>
      <w:sz w:val="18"/>
      <w:szCs w:val="18"/>
    </w:rPr>
  </w:style>
  <w:style w:type="paragraph" w:styleId="6">
    <w:name w:val="annotation text"/>
    <w:basedOn w:val="1"/>
    <w:link w:val="33"/>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4"/>
    <w:semiHidden/>
    <w:qFormat/>
    <w:uiPriority w:val="0"/>
    <w:pPr>
      <w:snapToGrid w:val="0"/>
      <w:jc w:val="left"/>
    </w:pPr>
    <w:rPr>
      <w:rFonts w:ascii="Times New Roman" w:hAnsi="Times New Roman"/>
      <w:sz w:val="18"/>
      <w:szCs w:val="18"/>
    </w:rPr>
  </w:style>
  <w:style w:type="paragraph" w:styleId="11">
    <w:name w:val="HTML Preformatted"/>
    <w:basedOn w:val="1"/>
    <w:link w:val="3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qFormat/>
    <w:uiPriority w:val="0"/>
    <w:pPr>
      <w:widowControl/>
    </w:pPr>
    <w:rPr>
      <w:rFonts w:ascii="Calibri" w:hAnsi="Calibri" w:eastAsia="宋体" w:cs="宋体"/>
      <w:kern w:val="0"/>
      <w:szCs w:val="21"/>
    </w:rPr>
  </w:style>
  <w:style w:type="paragraph" w:customStyle="1" w:styleId="24">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5">
    <w:name w:val="标题 1 Char"/>
    <w:basedOn w:val="13"/>
    <w:link w:val="2"/>
    <w:uiPriority w:val="9"/>
    <w:rPr>
      <w:rFonts w:ascii="黑体" w:hAnsi="黑体" w:eastAsia="黑体" w:cs="宋体"/>
      <w:color w:val="000000"/>
      <w:kern w:val="0"/>
      <w:sz w:val="30"/>
      <w:szCs w:val="30"/>
    </w:rPr>
  </w:style>
  <w:style w:type="character" w:customStyle="1" w:styleId="26">
    <w:name w:val="标题 2 Char"/>
    <w:basedOn w:val="13"/>
    <w:link w:val="3"/>
    <w:qFormat/>
    <w:uiPriority w:val="9"/>
    <w:rPr>
      <w:rFonts w:ascii="Cambria" w:hAnsi="Cambria" w:eastAsia="宋体" w:cs="Times New Roman"/>
      <w:b/>
      <w:bCs/>
      <w:sz w:val="32"/>
      <w:szCs w:val="32"/>
    </w:rPr>
  </w:style>
  <w:style w:type="character" w:customStyle="1" w:styleId="27">
    <w:name w:val="标题 3 Char"/>
    <w:basedOn w:val="13"/>
    <w:link w:val="4"/>
    <w:uiPriority w:val="9"/>
    <w:rPr>
      <w:rFonts w:ascii="仿宋_GB2312" w:hAnsi="Calibri" w:eastAsia="仿宋_GB2312" w:cs="Times New Roman"/>
      <w:sz w:val="30"/>
      <w:szCs w:val="30"/>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uiPriority w:val="0"/>
    <w:rPr>
      <w:sz w:val="18"/>
      <w:szCs w:val="18"/>
    </w:rPr>
  </w:style>
  <w:style w:type="character" w:customStyle="1" w:styleId="31">
    <w:name w:val="批注框文本 Char1"/>
    <w:basedOn w:val="13"/>
    <w:semiHidden/>
    <w:uiPriority w:val="99"/>
    <w:rPr>
      <w:sz w:val="18"/>
      <w:szCs w:val="18"/>
    </w:rPr>
  </w:style>
  <w:style w:type="character" w:customStyle="1" w:styleId="32">
    <w:name w:val="HTML 预设格式 Char"/>
    <w:basedOn w:val="13"/>
    <w:link w:val="11"/>
    <w:uiPriority w:val="99"/>
    <w:rPr>
      <w:rFonts w:ascii="宋体" w:hAnsi="宋体" w:eastAsia="宋体" w:cs="宋体"/>
      <w:kern w:val="0"/>
      <w:sz w:val="24"/>
      <w:szCs w:val="24"/>
    </w:rPr>
  </w:style>
  <w:style w:type="character" w:customStyle="1" w:styleId="33">
    <w:name w:val="批注文字 Char"/>
    <w:basedOn w:val="13"/>
    <w:link w:val="6"/>
    <w:qFormat/>
    <w:uiPriority w:val="99"/>
    <w:rPr>
      <w:rFonts w:ascii="Calibri" w:hAnsi="Calibri" w:eastAsia="宋体" w:cs="Times New Roman"/>
    </w:rPr>
  </w:style>
  <w:style w:type="character" w:customStyle="1" w:styleId="34">
    <w:name w:val="脚注文本 Char"/>
    <w:basedOn w:val="13"/>
    <w:link w:val="10"/>
    <w:semiHidden/>
    <w:qFormat/>
    <w:uiPriority w:val="0"/>
    <w:rPr>
      <w:rFonts w:ascii="Times New Roman" w:hAnsi="Times New Roman"/>
      <w:sz w:val="18"/>
      <w:szCs w:val="18"/>
    </w:rPr>
  </w:style>
  <w:style w:type="character" w:customStyle="1" w:styleId="35">
    <w:name w:val="标题 4 Char Char"/>
    <w:qFormat/>
    <w:uiPriority w:val="0"/>
    <w:rPr>
      <w:rFonts w:ascii="Calibri" w:hAnsi="Calibri"/>
      <w:b/>
      <w:bCs/>
      <w:sz w:val="28"/>
      <w:szCs w:val="28"/>
      <w:lang w:eastAsia="en-US" w:bidi="en-US"/>
    </w:rPr>
  </w:style>
  <w:style w:type="character" w:customStyle="1" w:styleId="36">
    <w:name w:val="文档结构图 Char"/>
    <w:basedOn w:val="13"/>
    <w:link w:val="5"/>
    <w:qFormat/>
    <w:uiPriority w:val="0"/>
    <w:rPr>
      <w:rFonts w:ascii="宋体"/>
      <w:sz w:val="18"/>
      <w:szCs w:val="18"/>
    </w:rPr>
  </w:style>
  <w:style w:type="character" w:customStyle="1" w:styleId="37">
    <w:name w:val="Intense Emphasis"/>
    <w:basedOn w:val="13"/>
    <w:qFormat/>
    <w:uiPriority w:val="21"/>
    <w:rPr>
      <w:b/>
      <w:bCs/>
      <w:i/>
      <w:iCs/>
      <w:color w:val="4F81BD"/>
    </w:rPr>
  </w:style>
  <w:style w:type="character" w:customStyle="1" w:styleId="38">
    <w:name w:val="文档结构图 Char1"/>
    <w:basedOn w:val="13"/>
    <w:semiHidden/>
    <w:qFormat/>
    <w:uiPriority w:val="99"/>
    <w:rPr>
      <w:rFonts w:ascii="宋体" w:eastAsia="宋体"/>
      <w:sz w:val="18"/>
      <w:szCs w:val="18"/>
    </w:rPr>
  </w:style>
  <w:style w:type="character" w:customStyle="1" w:styleId="39">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408</Words>
  <Characters>2331</Characters>
  <Lines>19</Lines>
  <Paragraphs>5</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2020-03-17T01:49:00Z</dcterms:created>
  <dc:creator>朱敏1</dc:creator>
  <cp:lastModifiedBy>蒙卫丹/资本项目管理处/南宁/PBC</cp:lastModifiedBy>
  <cp:lastPrinted>2019-11-29T03:02:00Z</cp:lastPrinted>
  <dcterms:modified xsi:type="dcterms:W3CDTF">2020-12-24T03:21:44Z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