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编号：57012</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 xml:space="preserve">“资本项目外汇资金结汇核准”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firstLine="2250" w:firstLineChars="750"/>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widowControl w:val="0"/>
        <w:wordWrap/>
        <w:adjustRightInd w:val="0"/>
        <w:snapToGrid w:val="0"/>
        <w:spacing w:line="360" w:lineRule="auto"/>
        <w:ind w:left="0" w:leftChars="0" w:right="0" w:firstLine="600" w:firstLineChars="200"/>
        <w:jc w:val="left"/>
        <w:textAlignment w:val="auto"/>
        <w:outlineLvl w:val="9"/>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项目名称：资本项目外汇资金结汇核准；</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项目编号：57012；</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本指南适用于“资本项目外汇资金结汇核准”的申请和办理。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《中华人民共和国外汇管理条例》（国务院令第532号）第二十一条：“资本项目外汇收入保留或者卖给经营结汇、售汇业务的金融机构，应当经外汇管理机关批准，但国家规定无需批准的除外”。</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四、金融机构外债结汇核准</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2.《外债统计监测暂行规定》（1987年公布）。</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3.《境内机构借用国际商业贷款管理办法》（〔97〕汇政发字06号）。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4.《境内外资银行外债管理办法》（国家发展和改革委员会 中国人民银行 中国银行业监督管理委员会令2004年第9号）。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5.《国家外汇管理局关于发布〈外债登记管理办法〉的通知》（汇发〔2013〕19号）。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.《国家外汇管理局关于废止和修改涉及注册资本登记制度改革相关规范性文件的通知》（汇发〔2015〕20号）。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7</w:t>
      </w:r>
      <w:r>
        <w:rPr>
          <w:rFonts w:ascii="Times New Roman" w:hAnsi="Times New Roman" w:eastAsia="仿宋_GB2312" w:cs="Times New Roman"/>
          <w:sz w:val="30"/>
          <w:szCs w:val="30"/>
        </w:rPr>
        <w:t>.《中国人民银行关于全口径跨境融资宏观审慎管理有关事宜的通知》（银发〔2017〕9号）。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8</w:t>
      </w:r>
      <w:r>
        <w:rPr>
          <w:rFonts w:ascii="Times New Roman" w:hAnsi="Times New Roman" w:eastAsia="仿宋_GB2312" w:cs="Times New Roman"/>
          <w:sz w:val="30"/>
          <w:szCs w:val="30"/>
        </w:rPr>
        <w:t>．其他相关法规。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国家外汇管理局或申请人所在地外汇分局。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450" w:firstLineChars="150"/>
        <w:rPr>
          <w:rFonts w:ascii="Times New Roman" w:hAnsi="Times New Roman" w:eastAsia="仿宋_GB2312" w:cs="Times New Roman"/>
          <w:sz w:val="30"/>
          <w:szCs w:val="30"/>
        </w:rPr>
      </w:pPr>
      <w:r>
        <w:rPr>
          <w:rFonts w:ascii="Times New Roman" w:hAnsi="Times New Roman" w:eastAsia="仿宋_GB2312" w:cs="Times New Roman"/>
          <w:sz w:val="30"/>
          <w:szCs w:val="30"/>
        </w:rPr>
        <w:t>1．金融机构融入资金可用于补充资本金，服务实体经济发展，并符合国家产业宏观调控方向，经国家外汇管理局批准，金融机构融入外汇资金可结汇使用。</w:t>
      </w:r>
    </w:p>
    <w:p>
      <w:pPr>
        <w:adjustRightInd w:val="0"/>
        <w:snapToGrid w:val="0"/>
        <w:spacing w:line="360" w:lineRule="auto"/>
        <w:ind w:firstLine="450" w:firstLineChars="150"/>
        <w:rPr>
          <w:rFonts w:ascii="Times New Roman" w:hAnsi="Times New Roman" w:eastAsia="仿宋_GB2312" w:cs="Times New Roman"/>
          <w:sz w:val="30"/>
          <w:szCs w:val="30"/>
        </w:rPr>
      </w:pPr>
      <w:r>
        <w:rPr>
          <w:rFonts w:ascii="Times New Roman" w:hAnsi="Times New Roman" w:eastAsia="仿宋_GB2312" w:cs="Times New Roman"/>
          <w:sz w:val="30"/>
          <w:szCs w:val="30"/>
        </w:rPr>
        <w:t>2．禁止性要求：如符合上述条件，不存在不予许可的情况。</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（六）</w:t>
      </w:r>
      <w:r>
        <w:rPr>
          <w:rFonts w:hint="eastAsia" w:ascii="Times New Roman" w:hAnsi="Times New Roman" w:eastAsia="黑体" w:cs="Times New Roman"/>
          <w:sz w:val="30"/>
          <w:szCs w:val="30"/>
        </w:rPr>
        <w:t>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2410"/>
        <w:gridCol w:w="2127"/>
        <w:gridCol w:w="567"/>
        <w:gridCol w:w="992"/>
        <w:gridCol w:w="567"/>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410"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2127"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2"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326" w:type="dxa"/>
            <w:vAlign w:val="center"/>
          </w:tcPr>
          <w:p>
            <w:pPr>
              <w:ind w:right="300"/>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533" w:type="dxa"/>
            <w:vAlign w:val="center"/>
          </w:tcPr>
          <w:p>
            <w:pPr>
              <w:ind w:right="300"/>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410" w:type="dxa"/>
            <w:vAlign w:val="center"/>
          </w:tcPr>
          <w:p>
            <w:pP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p>
        </w:tc>
        <w:tc>
          <w:tcPr>
            <w:tcW w:w="212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rPr>
                <w:rFonts w:ascii="Times New Roman" w:hAnsi="Times New Roman" w:eastAsia="仿宋_GB2312" w:cs="Times New Roman"/>
                <w:sz w:val="24"/>
                <w:szCs w:val="24"/>
              </w:rPr>
            </w:pPr>
          </w:p>
        </w:tc>
        <w:tc>
          <w:tcPr>
            <w:tcW w:w="1326" w:type="dxa"/>
            <w:vAlign w:val="center"/>
          </w:tcPr>
          <w:p>
            <w:pP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ind w:right="300"/>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410" w:type="dxa"/>
            <w:vAlign w:val="center"/>
          </w:tcPr>
          <w:p>
            <w:pPr>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资金需结汇使用相关真实性证明</w:t>
            </w:r>
            <w:r>
              <w:rPr>
                <w:rFonts w:ascii="Times New Roman" w:hAnsi="Times New Roman" w:eastAsia="仿宋_GB2312" w:cs="Times New Roman"/>
                <w:color w:val="000000"/>
                <w:sz w:val="24"/>
                <w:szCs w:val="24"/>
              </w:rPr>
              <w:t>材料</w:t>
            </w:r>
          </w:p>
        </w:tc>
        <w:tc>
          <w:tcPr>
            <w:tcW w:w="212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rPr>
                <w:rFonts w:ascii="Times New Roman" w:hAnsi="Times New Roman" w:eastAsia="仿宋_GB2312" w:cs="Times New Roman"/>
                <w:sz w:val="24"/>
                <w:szCs w:val="24"/>
              </w:rPr>
            </w:pPr>
          </w:p>
        </w:tc>
        <w:tc>
          <w:tcPr>
            <w:tcW w:w="1326"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360" w:lineRule="auto"/>
        <w:ind w:firstLine="450" w:firstLineChars="150"/>
        <w:rPr>
          <w:rFonts w:ascii="Times New Roman" w:hAnsi="Times New Roman" w:eastAsia="黑体" w:cs="Times New Roman"/>
          <w:sz w:val="30"/>
          <w:szCs w:val="30"/>
        </w:rPr>
      </w:pP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一般程序：申请、告知补正、受理、审核、办理登记或不予许可、出具相关业务办理凭证。</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出具相关业务办理凭证。</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450" w:firstLineChars="15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黑体"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w:t>
      </w:r>
      <w:r>
        <w:rPr>
          <w:rFonts w:hint="eastAsia" w:ascii="仿宋_GB2312" w:hAnsi="仿宋_GB2312" w:eastAsia="仿宋_GB2312" w:cs="仿宋_GB2312"/>
          <w:color w:val="auto"/>
          <w:sz w:val="30"/>
          <w:szCs w:val="30"/>
          <w:lang w:val="en-US" w:eastAsia="zh-CN"/>
        </w:rPr>
        <w:t>804</w:t>
      </w:r>
      <w:r>
        <w:rPr>
          <w:rFonts w:hint="eastAsia" w:ascii="Times New Roman" w:hAnsi="Times New Roman" w:eastAsia="仿宋_GB2312" w:cs="Times New Roman"/>
          <w:color w:val="auto"/>
          <w:sz w:val="30"/>
          <w:szCs w:val="30"/>
          <w:lang w:val="en-US" w:eastAsia="zh-CN"/>
        </w:rPr>
        <w:t>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ascii="Times New Roman" w:hAnsi="Times New Roman" w:eastAsia="仿宋_GB2312" w:cs="Times New Roman"/>
          <w:sz w:val="30"/>
          <w:szCs w:val="30"/>
        </w:rPr>
        <w:sectPr>
          <w:footerReference r:id="rId5" w:type="default"/>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Group 1394" o:spid="_x0000_s1027" style="position:absolute;left:0;margin-left:-12.35pt;margin-top:8.4pt;height:586.05pt;width:446.05pt;rotation:0f;z-index:251658240;" coordorigin="1347,3000" coordsize="8921,11721">
            <o:lock v:ext="edit" position="f" selection="f" grouping="f" rotation="f" cropping="f" text="f" aspectratio="f"/>
            <v:rect id="Rectangle 1395"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396"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397"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398"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99"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400"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401"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402"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03" o:spid="_x0000_s1036" style="position:absolute;left:1347;top:3000;height:7693;width:8921;rotation:0f;" coordorigin="1347,3000" coordsize="8921,7693">
              <o:lock v:ext="edit" position="f" selection="f" grouping="f" rotation="f" cropping="f" text="f" aspectratio="f"/>
              <v:shape id="AutoShape 1404"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405" o:spid="_x0000_s1038" style="position:absolute;left:1347;top:3000;height:7693;width:8921;rotation:0f;" coordorigin="1347,3000" coordsize="8921,7693">
                <o:lock v:ext="edit" position="f" selection="f" grouping="f" rotation="f" cropping="f" text="f" aspectratio="f"/>
                <v:shape id="AutoShape 1406"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407"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408"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409"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410" o:spid="_x0000_s1043" type="#_x0000_t4" style="position:absolute;left:5503;top:7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411"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412"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413" o:spid="_x0000_s1046" type="#_x0000_t116" style="position:absolute;left:5913;top:4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414" o:spid="_x0000_s1047" style="position:absolute;left:1347;top:3000;height:7424;width:4594;rotation:0f;" coordorigin="1347,3000" coordsize="4594,7424">
                  <o:lock v:ext="edit" position="f" selection="f" grouping="f" rotation="f" cropping="f" text="f" aspectratio="f"/>
                  <v:shape id="AutoShape 1415"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416"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17" o:spid="_x0000_s1050" style="position:absolute;left:1347;top:3000;height:3986;width:3629;rotation:0f;" coordorigin="1347,3000" coordsize="3629,3986">
                    <o:lock v:ext="edit" position="f" selection="f" grouping="f" rotation="f" cropping="f" text="f" aspectratio="f"/>
                    <v:shape id="AutoShape 1418"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419" o:spid="_x0000_s1052" type="#_x0000_t32" style="position:absolute;left:3747;top:5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420" o:spid="_x0000_s1053" type="#_x0000_t4" style="position:absolute;left:1347;top:4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421"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422"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423"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424"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425"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426"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427" o:spid="_x0000_s1060" type="#_x0000_t32" style="position:absolute;left:8731;top:4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1．问：不具备吸存放贷业务资格的非存款类金融机构外债资金是否可以意愿结汇？</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答：不具备吸存放贷业务资格的非存款类金融机构外债资金，用于服务实体经济发展，并符合国家产业宏观调控方向，经所在地外汇分局批准可结汇使用。</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2．问：银行的外债可以结汇吗？</w:t>
      </w:r>
    </w:p>
    <w:p>
      <w:pPr>
        <w:adjustRightInd w:val="0"/>
        <w:snapToGrid w:val="0"/>
        <w:spacing w:line="360" w:lineRule="auto"/>
        <w:ind w:firstLine="600" w:firstLineChars="200"/>
        <w:rPr>
          <w:rFonts w:ascii="Times New Roman" w:hAnsi="Times New Roman" w:eastAsia="黑体" w:cs="Times New Roman"/>
          <w:sz w:val="48"/>
          <w:szCs w:val="48"/>
        </w:rPr>
      </w:pPr>
      <w:r>
        <w:rPr>
          <w:rFonts w:ascii="Times New Roman" w:hAnsi="Times New Roman" w:eastAsia="仿宋_GB2312" w:cs="Times New Roman"/>
          <w:sz w:val="30"/>
          <w:szCs w:val="30"/>
        </w:rPr>
        <w:t>答：服务实体经济发展，并符合国家产业宏观调控方向，经国家外汇管理局批准，金融机构融入外汇资金可结汇使用。</w:t>
      </w: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5</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7</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04509"/>
    <w:rsid w:val="00022191"/>
    <w:rsid w:val="00023783"/>
    <w:rsid w:val="00041960"/>
    <w:rsid w:val="00041E69"/>
    <w:rsid w:val="00041F4C"/>
    <w:rsid w:val="00042B58"/>
    <w:rsid w:val="00054B00"/>
    <w:rsid w:val="00054F8B"/>
    <w:rsid w:val="00055270"/>
    <w:rsid w:val="00057F76"/>
    <w:rsid w:val="0006560A"/>
    <w:rsid w:val="00072F8A"/>
    <w:rsid w:val="000750C8"/>
    <w:rsid w:val="00080630"/>
    <w:rsid w:val="00091661"/>
    <w:rsid w:val="00092D53"/>
    <w:rsid w:val="00096CBB"/>
    <w:rsid w:val="00097F7B"/>
    <w:rsid w:val="000A3B03"/>
    <w:rsid w:val="000B6901"/>
    <w:rsid w:val="000B728B"/>
    <w:rsid w:val="000B7620"/>
    <w:rsid w:val="000C15B3"/>
    <w:rsid w:val="000C2B33"/>
    <w:rsid w:val="000D1995"/>
    <w:rsid w:val="000D7478"/>
    <w:rsid w:val="001135E5"/>
    <w:rsid w:val="0012271F"/>
    <w:rsid w:val="00130519"/>
    <w:rsid w:val="00132D03"/>
    <w:rsid w:val="00135BEE"/>
    <w:rsid w:val="0014667A"/>
    <w:rsid w:val="00154B58"/>
    <w:rsid w:val="00157C64"/>
    <w:rsid w:val="00157E81"/>
    <w:rsid w:val="00170126"/>
    <w:rsid w:val="00177059"/>
    <w:rsid w:val="00181D3E"/>
    <w:rsid w:val="00196FAE"/>
    <w:rsid w:val="001A3E49"/>
    <w:rsid w:val="001A7211"/>
    <w:rsid w:val="001A72AA"/>
    <w:rsid w:val="001B0681"/>
    <w:rsid w:val="001B1E2C"/>
    <w:rsid w:val="001C44C7"/>
    <w:rsid w:val="001D65A2"/>
    <w:rsid w:val="001E1407"/>
    <w:rsid w:val="001F4BD4"/>
    <w:rsid w:val="001F7297"/>
    <w:rsid w:val="00205D07"/>
    <w:rsid w:val="00212F39"/>
    <w:rsid w:val="00217116"/>
    <w:rsid w:val="00231EED"/>
    <w:rsid w:val="00233841"/>
    <w:rsid w:val="00235F24"/>
    <w:rsid w:val="002417D2"/>
    <w:rsid w:val="00241FE8"/>
    <w:rsid w:val="0024527E"/>
    <w:rsid w:val="00253F7B"/>
    <w:rsid w:val="00263B1F"/>
    <w:rsid w:val="00291C17"/>
    <w:rsid w:val="0029313A"/>
    <w:rsid w:val="002B0B1C"/>
    <w:rsid w:val="002B598D"/>
    <w:rsid w:val="002B61C1"/>
    <w:rsid w:val="002E1323"/>
    <w:rsid w:val="002F3868"/>
    <w:rsid w:val="00302119"/>
    <w:rsid w:val="00302E87"/>
    <w:rsid w:val="00306280"/>
    <w:rsid w:val="00310261"/>
    <w:rsid w:val="00343044"/>
    <w:rsid w:val="00344B01"/>
    <w:rsid w:val="00353AC4"/>
    <w:rsid w:val="003616B4"/>
    <w:rsid w:val="003751DB"/>
    <w:rsid w:val="003A57B2"/>
    <w:rsid w:val="003C7132"/>
    <w:rsid w:val="003D77A5"/>
    <w:rsid w:val="003E1D32"/>
    <w:rsid w:val="003E6BF6"/>
    <w:rsid w:val="003F221D"/>
    <w:rsid w:val="003F3097"/>
    <w:rsid w:val="003F4E58"/>
    <w:rsid w:val="00402AE8"/>
    <w:rsid w:val="00405FE6"/>
    <w:rsid w:val="004105BC"/>
    <w:rsid w:val="00421C27"/>
    <w:rsid w:val="00440A1F"/>
    <w:rsid w:val="00443603"/>
    <w:rsid w:val="00443604"/>
    <w:rsid w:val="004501EA"/>
    <w:rsid w:val="00460458"/>
    <w:rsid w:val="0046792D"/>
    <w:rsid w:val="004767DF"/>
    <w:rsid w:val="00493CCC"/>
    <w:rsid w:val="004A0218"/>
    <w:rsid w:val="004A7840"/>
    <w:rsid w:val="004B545A"/>
    <w:rsid w:val="004B7E80"/>
    <w:rsid w:val="004C457E"/>
    <w:rsid w:val="004C48D5"/>
    <w:rsid w:val="004D03B7"/>
    <w:rsid w:val="004D1436"/>
    <w:rsid w:val="004D57AE"/>
    <w:rsid w:val="004D5EEE"/>
    <w:rsid w:val="004E4568"/>
    <w:rsid w:val="005056D4"/>
    <w:rsid w:val="005151F3"/>
    <w:rsid w:val="00526B2B"/>
    <w:rsid w:val="005362B0"/>
    <w:rsid w:val="00542447"/>
    <w:rsid w:val="00542ACD"/>
    <w:rsid w:val="00564312"/>
    <w:rsid w:val="005A2981"/>
    <w:rsid w:val="005C6937"/>
    <w:rsid w:val="005C7F02"/>
    <w:rsid w:val="005D6B44"/>
    <w:rsid w:val="005F0A86"/>
    <w:rsid w:val="005F144A"/>
    <w:rsid w:val="005F1C00"/>
    <w:rsid w:val="0061621E"/>
    <w:rsid w:val="00630AA8"/>
    <w:rsid w:val="00630B2E"/>
    <w:rsid w:val="00643D2A"/>
    <w:rsid w:val="00664E11"/>
    <w:rsid w:val="00673B30"/>
    <w:rsid w:val="006864FA"/>
    <w:rsid w:val="00696E5D"/>
    <w:rsid w:val="006B386B"/>
    <w:rsid w:val="006B5B86"/>
    <w:rsid w:val="006C5908"/>
    <w:rsid w:val="006C633E"/>
    <w:rsid w:val="006D56AB"/>
    <w:rsid w:val="006D734F"/>
    <w:rsid w:val="006E043F"/>
    <w:rsid w:val="006E4695"/>
    <w:rsid w:val="006E4B8B"/>
    <w:rsid w:val="006E5901"/>
    <w:rsid w:val="007033AD"/>
    <w:rsid w:val="00703F39"/>
    <w:rsid w:val="0071091C"/>
    <w:rsid w:val="00714961"/>
    <w:rsid w:val="00744BD5"/>
    <w:rsid w:val="00745748"/>
    <w:rsid w:val="00750E36"/>
    <w:rsid w:val="00753CB0"/>
    <w:rsid w:val="00755460"/>
    <w:rsid w:val="00761FB7"/>
    <w:rsid w:val="00762107"/>
    <w:rsid w:val="00764CB9"/>
    <w:rsid w:val="00765055"/>
    <w:rsid w:val="00765B05"/>
    <w:rsid w:val="0077269F"/>
    <w:rsid w:val="00785F45"/>
    <w:rsid w:val="007A2780"/>
    <w:rsid w:val="007A68EA"/>
    <w:rsid w:val="007A7BCC"/>
    <w:rsid w:val="007B06FC"/>
    <w:rsid w:val="007B0FEF"/>
    <w:rsid w:val="007B2DB5"/>
    <w:rsid w:val="007C465E"/>
    <w:rsid w:val="007D2C11"/>
    <w:rsid w:val="007D6171"/>
    <w:rsid w:val="007D69EA"/>
    <w:rsid w:val="007E2C7B"/>
    <w:rsid w:val="007E411B"/>
    <w:rsid w:val="007F0863"/>
    <w:rsid w:val="007F2F3B"/>
    <w:rsid w:val="00802307"/>
    <w:rsid w:val="0082168E"/>
    <w:rsid w:val="00821968"/>
    <w:rsid w:val="008471B6"/>
    <w:rsid w:val="00851521"/>
    <w:rsid w:val="00851989"/>
    <w:rsid w:val="0085686A"/>
    <w:rsid w:val="00860878"/>
    <w:rsid w:val="008622E8"/>
    <w:rsid w:val="008731FF"/>
    <w:rsid w:val="0088294A"/>
    <w:rsid w:val="0089282A"/>
    <w:rsid w:val="008A3757"/>
    <w:rsid w:val="008A4538"/>
    <w:rsid w:val="008A704B"/>
    <w:rsid w:val="008B08D2"/>
    <w:rsid w:val="008B4EE5"/>
    <w:rsid w:val="008B5807"/>
    <w:rsid w:val="008D5FA0"/>
    <w:rsid w:val="008E2D38"/>
    <w:rsid w:val="008F5724"/>
    <w:rsid w:val="008F5900"/>
    <w:rsid w:val="00902633"/>
    <w:rsid w:val="009027D8"/>
    <w:rsid w:val="0090372F"/>
    <w:rsid w:val="00911E27"/>
    <w:rsid w:val="0092129A"/>
    <w:rsid w:val="00925BB2"/>
    <w:rsid w:val="00930C8C"/>
    <w:rsid w:val="009360EA"/>
    <w:rsid w:val="00941CA2"/>
    <w:rsid w:val="00947C57"/>
    <w:rsid w:val="00951149"/>
    <w:rsid w:val="00960EDB"/>
    <w:rsid w:val="009622DB"/>
    <w:rsid w:val="009664BC"/>
    <w:rsid w:val="009723A6"/>
    <w:rsid w:val="0097320B"/>
    <w:rsid w:val="00980F02"/>
    <w:rsid w:val="00991B77"/>
    <w:rsid w:val="00997523"/>
    <w:rsid w:val="009A0C5D"/>
    <w:rsid w:val="009C4672"/>
    <w:rsid w:val="009C491B"/>
    <w:rsid w:val="009D0911"/>
    <w:rsid w:val="009D24F8"/>
    <w:rsid w:val="009D688C"/>
    <w:rsid w:val="009E67AD"/>
    <w:rsid w:val="009F3074"/>
    <w:rsid w:val="009F7A36"/>
    <w:rsid w:val="00A249C2"/>
    <w:rsid w:val="00A24FAB"/>
    <w:rsid w:val="00A301E7"/>
    <w:rsid w:val="00A42E69"/>
    <w:rsid w:val="00A45CA7"/>
    <w:rsid w:val="00A51415"/>
    <w:rsid w:val="00A54A5A"/>
    <w:rsid w:val="00A6014E"/>
    <w:rsid w:val="00A60356"/>
    <w:rsid w:val="00A75425"/>
    <w:rsid w:val="00A81DF1"/>
    <w:rsid w:val="00A8457E"/>
    <w:rsid w:val="00A90EF3"/>
    <w:rsid w:val="00AA7717"/>
    <w:rsid w:val="00AB131E"/>
    <w:rsid w:val="00AB644F"/>
    <w:rsid w:val="00AC3F5E"/>
    <w:rsid w:val="00AE7ACF"/>
    <w:rsid w:val="00B06409"/>
    <w:rsid w:val="00B17D66"/>
    <w:rsid w:val="00B31FD9"/>
    <w:rsid w:val="00B35D3A"/>
    <w:rsid w:val="00B422F1"/>
    <w:rsid w:val="00B71531"/>
    <w:rsid w:val="00B7456C"/>
    <w:rsid w:val="00B84131"/>
    <w:rsid w:val="00B8630E"/>
    <w:rsid w:val="00B931F4"/>
    <w:rsid w:val="00B95573"/>
    <w:rsid w:val="00B96395"/>
    <w:rsid w:val="00BA2AF8"/>
    <w:rsid w:val="00BB2650"/>
    <w:rsid w:val="00BB5BDC"/>
    <w:rsid w:val="00BB7B76"/>
    <w:rsid w:val="00BD233D"/>
    <w:rsid w:val="00BF4EF0"/>
    <w:rsid w:val="00C024D6"/>
    <w:rsid w:val="00C02E44"/>
    <w:rsid w:val="00C147D2"/>
    <w:rsid w:val="00C2075F"/>
    <w:rsid w:val="00C23799"/>
    <w:rsid w:val="00C267BD"/>
    <w:rsid w:val="00C274C9"/>
    <w:rsid w:val="00C31E02"/>
    <w:rsid w:val="00C54291"/>
    <w:rsid w:val="00C672C3"/>
    <w:rsid w:val="00C712B2"/>
    <w:rsid w:val="00C94325"/>
    <w:rsid w:val="00C97FED"/>
    <w:rsid w:val="00CA0243"/>
    <w:rsid w:val="00CA1DBB"/>
    <w:rsid w:val="00CA2622"/>
    <w:rsid w:val="00CA7F2C"/>
    <w:rsid w:val="00CA7FF8"/>
    <w:rsid w:val="00CB5DE7"/>
    <w:rsid w:val="00CC068D"/>
    <w:rsid w:val="00CC4922"/>
    <w:rsid w:val="00CD1FF6"/>
    <w:rsid w:val="00CE25C7"/>
    <w:rsid w:val="00CE3335"/>
    <w:rsid w:val="00CE4849"/>
    <w:rsid w:val="00CE5C8E"/>
    <w:rsid w:val="00CE5F49"/>
    <w:rsid w:val="00CF0C4E"/>
    <w:rsid w:val="00D01626"/>
    <w:rsid w:val="00D2058A"/>
    <w:rsid w:val="00D33A4D"/>
    <w:rsid w:val="00D33F76"/>
    <w:rsid w:val="00D41F5E"/>
    <w:rsid w:val="00D43DC0"/>
    <w:rsid w:val="00D54E56"/>
    <w:rsid w:val="00D6407D"/>
    <w:rsid w:val="00D909FB"/>
    <w:rsid w:val="00D93E78"/>
    <w:rsid w:val="00DC6E91"/>
    <w:rsid w:val="00DC7514"/>
    <w:rsid w:val="00DD3845"/>
    <w:rsid w:val="00DE2A32"/>
    <w:rsid w:val="00DE531B"/>
    <w:rsid w:val="00E1687A"/>
    <w:rsid w:val="00E20A2E"/>
    <w:rsid w:val="00E277DE"/>
    <w:rsid w:val="00E27EE9"/>
    <w:rsid w:val="00E3239D"/>
    <w:rsid w:val="00E3439B"/>
    <w:rsid w:val="00E42C5F"/>
    <w:rsid w:val="00E56824"/>
    <w:rsid w:val="00E65A1B"/>
    <w:rsid w:val="00E72F1F"/>
    <w:rsid w:val="00E7627E"/>
    <w:rsid w:val="00E8543C"/>
    <w:rsid w:val="00E934AB"/>
    <w:rsid w:val="00EA06AC"/>
    <w:rsid w:val="00EA08BF"/>
    <w:rsid w:val="00EA24FB"/>
    <w:rsid w:val="00EB3204"/>
    <w:rsid w:val="00EB50BA"/>
    <w:rsid w:val="00EC3D33"/>
    <w:rsid w:val="00ED302A"/>
    <w:rsid w:val="00ED3A42"/>
    <w:rsid w:val="00EE02BC"/>
    <w:rsid w:val="00EE6970"/>
    <w:rsid w:val="00EF38D0"/>
    <w:rsid w:val="00EF3DDF"/>
    <w:rsid w:val="00EF4A8C"/>
    <w:rsid w:val="00F2678C"/>
    <w:rsid w:val="00F27B38"/>
    <w:rsid w:val="00F40278"/>
    <w:rsid w:val="00F41832"/>
    <w:rsid w:val="00F56988"/>
    <w:rsid w:val="00F620FB"/>
    <w:rsid w:val="00F6571F"/>
    <w:rsid w:val="00F8687E"/>
    <w:rsid w:val="00F93331"/>
    <w:rsid w:val="00F95549"/>
    <w:rsid w:val="00FA1E24"/>
    <w:rsid w:val="00FA24FB"/>
    <w:rsid w:val="00FA632B"/>
    <w:rsid w:val="00FB38EA"/>
    <w:rsid w:val="00FB5E0F"/>
    <w:rsid w:val="00FB6AFF"/>
    <w:rsid w:val="00FC4D8F"/>
    <w:rsid w:val="00FD06D3"/>
    <w:rsid w:val="00FE09D4"/>
    <w:rsid w:val="00FE3157"/>
    <w:rsid w:val="00FE6865"/>
    <w:rsid w:val="00FE6993"/>
    <w:rsid w:val="096766E0"/>
    <w:rsid w:val="0DA710C0"/>
    <w:rsid w:val="17AD7536"/>
    <w:rsid w:val="67180745"/>
    <w:rsid w:val="677A20B6"/>
    <w:rsid w:val="6B473071"/>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398"/>
        <o:r id="V:Rule2" type="connector" idref="#AutoShape 1399"/>
        <o:r id="V:Rule3" type="connector" idref="#AutoShape 1400"/>
        <o:r id="V:Rule4" type="connector" idref="#AutoShape 1401"/>
        <o:r id="V:Rule5" type="connector" idref="#AutoShape 1402"/>
        <o:r id="V:Rule6" type="connector" idref="#AutoShape 1404"/>
        <o:r id="V:Rule7" type="connector" idref="#AutoShape 1406"/>
        <o:r id="V:Rule8" type="connector" idref="#AutoShape 1408"/>
        <o:r id="V:Rule9" type="connector" idref="#AutoShape 1415"/>
        <o:r id="V:Rule10" type="connector" idref="#AutoShape 1416"/>
        <o:r id="V:Rule11" type="connector" idref="#AutoShape 1418"/>
        <o:r id="V:Rule12" type="connector" idref="#AutoShape 1419"/>
        <o:r id="V:Rule13" type="connector" idref="#AutoShape 1422"/>
        <o:r id="V:Rule14" type="connector" idref="#AutoShape 1423"/>
        <o:r id="V:Rule15" type="connector" idref="#AutoShape 1424"/>
        <o:r id="V:Rule16" type="connector" idref="#AutoShape 1427"/>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qFormat/>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272</Words>
  <Characters>1552</Characters>
  <Lines>12</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2020-03-18T05:48:00Z</dcterms:created>
  <dc:creator>裴建君2</dc:creator>
  <cp:lastModifiedBy>蒙卫丹/资本项目管理处/南宁/PBC</cp:lastModifiedBy>
  <cp:lastPrinted>2020-07-02T09:04:00Z</cp:lastPrinted>
  <dcterms:modified xsi:type="dcterms:W3CDTF">2020-12-24T03:24:27Z</dcterms:modified>
  <dc:title>编号：57012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