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 xml:space="preserve">编号：57014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“保险、证券公司等非银行金融机构外汇业务市场准入、退出审批”行政审批服务指南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titlePg/>
          <w:docGrid w:type="lines" w:linePitch="312" w:charSpace="0"/>
        </w:sectPr>
      </w:pPr>
    </w:p>
    <w:p>
      <w:pPr>
        <w:adjustRightInd w:val="0"/>
        <w:spacing w:line="360" w:lineRule="auto"/>
        <w:jc w:val="left"/>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项目名称：保险、证券公司等非银行金融机构外汇业务市场准入、退出审批；</w:t>
      </w:r>
    </w:p>
    <w:p>
      <w:pPr>
        <w:adjustRightIn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项目编号：57014；</w:t>
      </w:r>
    </w:p>
    <w:p>
      <w:pPr>
        <w:adjustRightIn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本指南适用于“保险、证券公司等非银行金融机构外汇业务市场准入、退出审批”的申请和办理。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四条：“金融机构经营或者终止经营结汇、售汇业务，应当经外汇管理机关批准；经营或者终止经营其他外汇业务，应当按照职责分工经外汇管理机关或者金融业监督管理机构批准”。</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w:t>
      </w:r>
      <w:r>
        <w:rPr>
          <w:rFonts w:ascii="Times New Roman" w:hAnsi="黑体" w:eastAsia="黑体" w:cs="Times New Roman"/>
          <w:sz w:val="30"/>
          <w:szCs w:val="30"/>
        </w:rPr>
        <w:t>非银行金融机构（不含保险公司）结售汇业务资格审批（含初审）</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2.《国家外汇管理局关于发布〈境内企业内部成员外汇资金集中运营管理规定〉的通知》（汇发〔2009〕49号）。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3.《国家外汇管理局关于调整金融机构进入银行间外汇市场有关管理政策的通知》（汇发〔2014〕48号）。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4.《国家外汇管理局关于印发〈银行办理结售汇业务管理办法实施细则〉的通知》（汇发〔2014〕53号）。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5.《国家外汇管理局关于进一步促进贸易投资便利化完善真实性审核的通知》（汇发〔2016〕7号）。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非银行金融机构将相关申请材料提交所在地外汇局初审后，通过所在地外汇局报国家外汇管理局审批。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非银行金融机构将相关申请材料提交所在地外汇局初审后，通过所在地外汇局报国家外汇管理局审批。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1.申请人条件</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在境内合法注册成立的非银行金融机构。</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2.具备或符合如下条件的，准予批准：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（1）具有开展金融业务资格。</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（2）具有真实的结售汇需求，且有一定结售汇业务规模（可提供行业公认的排名、业绩认定等）。</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（3）监管机构或其授权的行业管理组织对其开展结售汇业务许可或无异议。</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（4）具备完善的业务管理制度。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（5）具备办理业务所必需的场所和其他软硬件设施。</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（6）拥有具备相应业务工作经验的高级管理人员和业务人员。</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3.禁止性要求：如符合上述条件，不存在不予许可的情况。</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3879"/>
        <w:gridCol w:w="1000"/>
        <w:gridCol w:w="559"/>
        <w:gridCol w:w="851"/>
        <w:gridCol w:w="567"/>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2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监管机构颁发的金融业务许可文件</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结售汇业务内部管理规章制度</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具备办理结售汇业务所必需的软硬件设施的说明材料</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拥有具备相应业务工作经验的高级管理人员和业务人员的说明材料</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证券经营机构还需提交监管机构或其授权的行业管理组织许可或同意非银行金融机构开展结售汇业务的许可文件或证明文件、无异议材料等</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387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非银行金融机构申请开展衍生产品业务的，还需提供主管人员和主要交易人员名单、履历，以及监管部门或其授权的行业管理部门许可其开展衍生产品业务的相关资格许可文件或证明文件、无异议材料等（如有）</w:t>
            </w:r>
          </w:p>
        </w:tc>
        <w:tc>
          <w:tcPr>
            <w:tcW w:w="1000"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59"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top w:val="single" w:color="auto" w:sz="4" w:space="0"/>
              <w:left w:val="single" w:color="auto" w:sz="4" w:space="0"/>
              <w:bottom w:val="single" w:color="auto" w:sz="4" w:space="0"/>
              <w:right w:val="single" w:color="auto" w:sz="4" w:space="0"/>
            </w:tcBorders>
            <w:vAlign w:val="center"/>
          </w:tcPr>
          <w:p>
            <w:pPr>
              <w:contextualSpacing/>
              <w:jc w:val="left"/>
              <w:rPr>
                <w:rFonts w:ascii="Times New Roman" w:hAnsi="Times New Roman" w:eastAsia="仿宋_GB2312" w:cs="Times New Roman"/>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申请人可通过所在地外汇局向国家外汇管理局资本项目管理司提交材料。初审时，申请人可通过所在地外汇局业务窗口提交材料。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一般程序：申请、告知补正、受理、审核、办理登记或不予许可、出具相关业务办理凭证。初审的一般程序：申请、告知补正、受理、审核、上报初审结论。</w:t>
      </w:r>
    </w:p>
    <w:p>
      <w:pPr>
        <w:adjustRightInd w:val="0"/>
        <w:snapToGrid w:val="0"/>
        <w:spacing w:line="36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初审：申请人提交材料备齐备之日起初审20个工作日。所在地国家外汇管理局分局（外汇管理部）受国家外汇管理局委托，对申请人相关软硬件设施进行实地检查并在相关要求和设施符合标准后，于20个工作日内完成对国家外汇管理局上报初审意见。</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国家外汇管理局收到外汇分局（外汇管理部）上报的初审材料，于20个工作日内做出结售汇业务资格许可，并核定其结售汇综合头寸。</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批复文件。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rPr>
        <w:t>初审意见上报国家外汇管理局。国家外汇管理局向初审外汇局批复后，由初审外汇局向申请人出具批复文件。</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国家外汇管理局通过发文回复初审外汇局（外汇管理部）。初审外汇局出具的批复文件通过现场告知或电话通知申请人，并通过现场领取或邮寄方式将结果送达。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（十五）咨询途径</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1.咨询窗口：国家外汇管理局资本项目管理司</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2.咨询电话：（010）68402347</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3.咨询电子邮件：</w:t>
      </w:r>
      <w:r>
        <w:fldChar w:fldCharType="begin"/>
      </w:r>
      <w:r>
        <w:instrText xml:space="preserve"> HYPERLINK "mailto:zb-sc@mail.safe.gov.cn" </w:instrText>
      </w:r>
      <w:r>
        <w:fldChar w:fldCharType="separate"/>
      </w:r>
      <w:r>
        <w:rPr>
          <w:rFonts w:ascii="Times New Roman" w:hAnsi="Times New Roman" w:eastAsia="仿宋_GB2312" w:cs="Times New Roman"/>
          <w:sz w:val="30"/>
          <w:szCs w:val="30"/>
        </w:rPr>
        <w:t>zb-sc@mail.safe.gov.cn</w:t>
      </w:r>
      <w:r>
        <w:rPr>
          <w:rFonts w:ascii="Times New Roman" w:hAnsi="Times New Roman" w:eastAsia="仿宋_GB2312" w:cs="Times New Roman"/>
          <w:sz w:val="30"/>
          <w:szCs w:val="30"/>
        </w:rPr>
        <w:fldChar w:fldCharType="end"/>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4.咨询信件邮寄地址：北京市海淀区阜成路18号华融大厦资本项目管理司，邮政编码100048。</w:t>
      </w:r>
    </w:p>
    <w:p>
      <w:pPr>
        <w:adjustRightInd w:val="0"/>
        <w:snapToGrid w:val="0"/>
        <w:spacing w:line="360" w:lineRule="auto"/>
        <w:ind w:firstLine="600"/>
        <w:rPr>
          <w:rFonts w:hint="eastAsia" w:ascii="Times New Roman" w:hAnsi="Times New Roman" w:eastAsia="仿宋_GB2312" w:cs="Times New Roman"/>
          <w:sz w:val="30"/>
          <w:szCs w:val="30"/>
          <w:lang w:val="en-US" w:eastAsia="zh-CN"/>
        </w:rPr>
      </w:pPr>
      <w:r>
        <w:rPr>
          <w:rFonts w:ascii="Times New Roman" w:hAnsi="Times New Roman" w:eastAsia="仿宋_GB2312" w:cs="Times New Roman"/>
          <w:sz w:val="30"/>
          <w:szCs w:val="30"/>
        </w:rPr>
        <w:t>5.初审业务的咨询途径</w:t>
      </w:r>
      <w:r>
        <w:rPr>
          <w:rFonts w:hint="eastAsia" w:ascii="Times New Roman" w:hAnsi="Times New Roman" w:eastAsia="仿宋_GB2312" w:cs="Times New Roman"/>
          <w:sz w:val="30"/>
          <w:szCs w:val="30"/>
          <w:lang w:val="en-US" w:eastAsia="zh-CN"/>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（十六）监督和投诉渠道</w:t>
      </w:r>
    </w:p>
    <w:p>
      <w:pPr>
        <w:adjustRightInd w:val="0"/>
        <w:snapToGrid w:val="0"/>
        <w:spacing w:line="360" w:lineRule="auto"/>
        <w:ind w:firstLine="601"/>
        <w:rPr>
          <w:rFonts w:ascii="Times New Roman" w:hAnsi="Times New Roman" w:eastAsia="仿宋_GB2312" w:cs="Times New Roman"/>
          <w:sz w:val="30"/>
          <w:szCs w:val="30"/>
          <w:highlight w:val="yellow"/>
        </w:rPr>
      </w:pPr>
      <w:r>
        <w:rPr>
          <w:rFonts w:ascii="Times New Roman" w:hAnsi="Times New Roman" w:eastAsia="仿宋_GB2312" w:cs="Times New Roman"/>
          <w:sz w:val="30"/>
          <w:szCs w:val="30"/>
        </w:rPr>
        <w:t>向国家外汇管理局咨询、监督投诉、公开查询等可通过国家外汇管理局官方互联网站公众交流栏目进行，网址为</w:t>
      </w:r>
      <w:r>
        <w:fldChar w:fldCharType="begin"/>
      </w:r>
      <w:r>
        <w:instrText xml:space="preserve"> HYPERLINK "http://www.safe.gov.cn" </w:instrText>
      </w:r>
      <w:r>
        <w:fldChar w:fldCharType="separate"/>
      </w:r>
      <w:r>
        <w:rPr>
          <w:rStyle w:val="14"/>
          <w:rFonts w:ascii="Times New Roman" w:hAnsi="Times New Roman" w:eastAsia="仿宋_GB2312" w:cs="Times New Roman"/>
          <w:color w:val="auto"/>
          <w:sz w:val="30"/>
          <w:szCs w:val="30"/>
        </w:rPr>
        <w:t>www.safe.gov.cn</w:t>
      </w:r>
      <w:r>
        <w:rPr>
          <w:rStyle w:val="14"/>
          <w:rFonts w:ascii="Times New Roman" w:hAnsi="Times New Roman" w:eastAsia="仿宋_GB2312" w:cs="Times New Roman"/>
          <w:color w:val="auto"/>
          <w:sz w:val="30"/>
          <w:szCs w:val="30"/>
        </w:rPr>
        <w:fldChar w:fldCharType="end"/>
      </w:r>
      <w:r>
        <w:rPr>
          <w:rFonts w:ascii="Times New Roman" w:hAnsi="Times New Roman" w:eastAsia="仿宋_GB2312" w:cs="Times New Roman"/>
          <w:sz w:val="30"/>
          <w:szCs w:val="30"/>
        </w:rPr>
        <w:t>。</w:t>
      </w:r>
    </w:p>
    <w:p>
      <w:pPr>
        <w:adjustRightInd w:val="0"/>
        <w:snapToGrid w:val="0"/>
        <w:spacing w:line="360" w:lineRule="auto"/>
        <w:ind w:firstLine="601"/>
        <w:rPr>
          <w:rFonts w:hint="eastAsia" w:ascii="Times New Roman" w:hAnsi="Times New Roman" w:eastAsia="仿宋_GB2312" w:cs="Times New Roman"/>
          <w:b w:val="0"/>
          <w:bCs w:val="0"/>
          <w:color w:val="auto"/>
          <w:sz w:val="30"/>
          <w:szCs w:val="30"/>
          <w:lang w:val="en-US" w:eastAsia="zh-CN"/>
        </w:rPr>
      </w:pPr>
      <w:r>
        <w:rPr>
          <w:rFonts w:hint="eastAsia" w:ascii="Times New Roman" w:hAnsi="Times New Roman" w:eastAsia="仿宋_GB2312" w:cs="Times New Roman"/>
          <w:b w:val="0"/>
          <w:bCs w:val="0"/>
          <w:sz w:val="30"/>
          <w:szCs w:val="30"/>
          <w:lang w:eastAsia="zh-CN"/>
        </w:rPr>
        <w:t>向</w:t>
      </w:r>
      <w:r>
        <w:rPr>
          <w:rFonts w:hint="eastAsia" w:ascii="Times New Roman" w:hAnsi="Times New Roman" w:eastAsia="仿宋_GB2312" w:cs="Times New Roman"/>
          <w:b w:val="0"/>
          <w:bCs w:val="0"/>
          <w:color w:val="auto"/>
          <w:sz w:val="30"/>
          <w:szCs w:val="30"/>
          <w:lang w:val="en-US" w:eastAsia="zh-CN"/>
        </w:rPr>
        <w:t>国家外汇管理局广西壮族自治区分局提出监督投诉途径如下：</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（十七）办公地址和时间</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1.办公地址。北京市海淀区阜成路18号华融大厦，邮政编码100048。</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2.办公时间。周一至周五工作日的8:00-12：00，13：00-17：00</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3.乘车路线。公交车40、631、944、977、运通102、运通103路航天桥南站下车，位于航天桥东南角。</w:t>
      </w:r>
    </w:p>
    <w:p>
      <w:pPr>
        <w:adjustRightInd w:val="0"/>
        <w:snapToGrid w:val="0"/>
        <w:spacing w:line="360" w:lineRule="auto"/>
        <w:ind w:firstLine="600"/>
        <w:rPr>
          <w:rFonts w:hint="eastAsia" w:ascii="Times New Roman" w:hAnsi="Times New Roman" w:eastAsia="仿宋_GB2312" w:cs="Times New Roman"/>
          <w:sz w:val="30"/>
          <w:szCs w:val="30"/>
          <w:lang w:eastAsia="zh-CN"/>
        </w:rPr>
      </w:pPr>
      <w:r>
        <w:rPr>
          <w:rFonts w:ascii="Times New Roman" w:hAnsi="Times New Roman" w:eastAsia="仿宋_GB2312" w:cs="Times New Roman"/>
          <w:sz w:val="30"/>
          <w:szCs w:val="30"/>
        </w:rPr>
        <w:t>4.初审业务的办公地址和时间</w:t>
      </w:r>
      <w:r>
        <w:rPr>
          <w:rFonts w:hint="eastAsia" w:ascii="Times New Roman" w:hAnsi="Times New Roman" w:eastAsia="仿宋_GB2312" w:cs="Times New Roman"/>
          <w:sz w:val="30"/>
          <w:szCs w:val="30"/>
          <w:lang w:eastAsia="zh-CN"/>
        </w:rPr>
        <w:t>：</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adjustRightInd w:val="0"/>
        <w:snapToGrid w:val="0"/>
        <w:spacing w:line="360" w:lineRule="auto"/>
        <w:ind w:firstLine="600"/>
        <w:rPr>
          <w:rFonts w:hint="eastAsia" w:ascii="Times New Roman" w:hAnsi="Times New Roman" w:eastAsia="仿宋_GB2312" w:cs="Times New Roman"/>
          <w:sz w:val="30"/>
          <w:szCs w:val="30"/>
          <w:lang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（十八）公开查询</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办理时限结束之日后，申请人可通过电话查询。</w:t>
      </w:r>
    </w:p>
    <w:p>
      <w:pPr>
        <w:adjustRightInd w:val="0"/>
        <w:snapToGrid w:val="0"/>
        <w:spacing w:line="360" w:lineRule="auto"/>
        <w:ind w:firstLine="600"/>
        <w:rPr>
          <w:rFonts w:hint="eastAsia" w:ascii="Times New Roman" w:hAnsi="Times New Roman" w:eastAsia="仿宋_GB2312" w:cs="Times New Roman"/>
          <w:sz w:val="30"/>
          <w:szCs w:val="30"/>
          <w:lang w:eastAsia="zh-CN"/>
        </w:rPr>
      </w:pPr>
      <w:r>
        <w:rPr>
          <w:rFonts w:ascii="Times New Roman" w:hAnsi="Times New Roman" w:eastAsia="仿宋_GB2312" w:cs="Times New Roman"/>
          <w:sz w:val="30"/>
          <w:szCs w:val="30"/>
        </w:rPr>
        <w:t>初审业务的公开查询方式</w:t>
      </w:r>
      <w:r>
        <w:rPr>
          <w:rFonts w:hint="eastAsia" w:ascii="Times New Roman" w:hAnsi="Times New Roman" w:eastAsia="仿宋_GB2312" w:cs="Times New Roman"/>
          <w:sz w:val="30"/>
          <w:szCs w:val="30"/>
          <w:lang w:eastAsia="zh-CN"/>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widowControl w:val="0"/>
        <w:wordWrap/>
        <w:adjustRightInd w:val="0"/>
        <w:snapToGrid w:val="0"/>
        <w:spacing w:line="360" w:lineRule="auto"/>
        <w:ind w:left="0" w:leftChars="0" w:right="0" w:firstLine="600" w:firstLineChars="200"/>
        <w:jc w:val="both"/>
        <w:textAlignment w:val="auto"/>
        <w:outlineLvl w:val="9"/>
        <w:rPr>
          <w:rFonts w:ascii="Times New Roman" w:hAnsi="Times New Roman" w:eastAsia="仿宋_GB2312" w:cs="Times New Roman"/>
          <w:sz w:val="30"/>
          <w:szCs w:val="30"/>
        </w:rPr>
      </w:pPr>
      <w:r>
        <w:rPr>
          <w:rFonts w:hint="eastAsia" w:ascii="Times New Roman" w:hAnsi="Times New Roman" w:eastAsia="仿宋_GB2312" w:cs="Times New Roman"/>
          <w:color w:val="auto"/>
          <w:sz w:val="30"/>
          <w:szCs w:val="30"/>
          <w:lang w:val="en-US" w:eastAsia="zh-CN"/>
        </w:rPr>
        <w:t>电话查询：0771-6111213</w:t>
      </w:r>
      <w:r>
        <w:rPr>
          <w:rFonts w:ascii="Times New Roman" w:hAnsi="Times New Roman" w:eastAsia="仿宋_GB2312" w:cs="Times New Roman"/>
          <w:sz w:val="30"/>
          <w:szCs w:val="30"/>
        </w:rPr>
        <w:t>。</w:t>
      </w:r>
    </w:p>
    <w:p>
      <w:pPr>
        <w:widowControl w:val="0"/>
        <w:wordWrap/>
        <w:adjustRightInd/>
        <w:snapToGrid/>
        <w:spacing w:line="240" w:lineRule="auto"/>
        <w:ind w:left="0" w:leftChars="0" w:right="0" w:firstLine="600" w:firstLineChars="200"/>
        <w:jc w:val="both"/>
        <w:textAlignment w:val="auto"/>
        <w:outlineLvl w:val="9"/>
      </w:pPr>
      <w:r>
        <w:rPr>
          <w:rFonts w:hint="eastAsia" w:ascii="Times New Roman" w:hAnsi="Times New Roman" w:eastAsia="仿宋_GB2312" w:cs="Times New Roman"/>
          <w:color w:val="auto"/>
          <w:sz w:val="30"/>
          <w:szCs w:val="30"/>
          <w:lang w:val="en-US" w:eastAsia="zh-CN"/>
        </w:rPr>
        <w:t>网站查询：国家外汇管理局数字外管平台（ASOne）（zwfw.safe.gov.cn/asone/）。</w:t>
      </w:r>
    </w:p>
    <w:p>
      <w:pPr>
        <w:widowControl w:val="0"/>
        <w:wordWrap/>
        <w:adjustRightInd w:val="0"/>
        <w:snapToGrid w:val="0"/>
        <w:spacing w:line="360" w:lineRule="auto"/>
        <w:ind w:left="0" w:leftChars="0" w:right="0" w:firstLine="600" w:firstLineChars="200"/>
        <w:jc w:val="both"/>
        <w:textAlignment w:val="auto"/>
        <w:outlineLvl w:val="9"/>
        <w:rPr>
          <w:rFonts w:ascii="Times New Roman" w:hAnsi="Times New Roman" w:eastAsia="仿宋_GB2312" w:cs="Times New Roman"/>
          <w:sz w:val="30"/>
          <w:szCs w:val="30"/>
        </w:rPr>
      </w:pPr>
      <w:bookmarkStart w:id="0" w:name="_GoBack"/>
      <w:bookmarkEnd w:id="0"/>
      <w:r>
        <w:rPr>
          <w:rFonts w:ascii="Times New Roman" w:hAnsi="Times New Roman" w:cs="Times New Roman"/>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组合 1" o:spid="_x0000_s1027" style="position:absolute;left:0;margin-left:-41.25pt;margin-top:27.05pt;height:681.4pt;width:470.35pt;rotation:0f;z-index:251658240;" coordorigin="1425,1526" coordsize="9407,13628">
            <o:lock v:ext="edit" position="f" selection="f" grouping="f" rotation="f" cropping="f" text="f" aspectratio="f"/>
            <v:shape id="AutoShape 3" o:spid="_x0000_s1028" type="#_x0000_t32" style="position:absolute;left:6601;top:11865;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4" o:spid="_x0000_s1029" style="position:absolute;left:1425;top:1526;height:13628;width:9407;rotation:0f;" coordorigin="1425,1526" coordsize="9407,13628">
              <o:lock v:ext="edit" position="f" selection="f" grouping="f" rotation="f" cropping="f" text="f" aspectratio="f"/>
              <v:shape id="AutoShape 5" o:spid="_x0000_s1030" type="#_x0000_t32" style="position:absolute;left:9019;top:12580;height:627;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 o:spid="_x0000_s1031" type="#_x0000_t32" style="position:absolute;left:4049;top:12580;height:0;width:4987;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7" o:spid="_x0000_s1032" style="position:absolute;left:1425;top:1526;height:13628;width:9407;rotation:0f;" coordorigin="1425,1526" coordsize="9407,13628">
                <o:lock v:ext="edit" position="f" selection="f" grouping="f" rotation="f" cropping="f" text="f" aspectratio="f"/>
                <v:rect id="Rectangle 8" o:spid="_x0000_s1033" style="position:absolute;left:5093;top:11586;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国家外汇管理局审核</w:t>
                        </w:r>
                      </w:p>
                    </w:txbxContent>
                  </v:textbox>
                </v:rect>
                <v:group id="Group 9" o:spid="_x0000_s1034" style="position:absolute;left:1425;top:1526;height:13628;width:9407;rotation:0f;" coordorigin="1425,1526" coordsize="9407,13628">
                  <o:lock v:ext="edit" position="f" selection="f" grouping="f" rotation="f" cropping="f" text="f" aspectratio="f"/>
                  <v:shape id="AutoShape 10" o:spid="_x0000_s1035" type="#_x0000_t116" style="position:absolute;left:7715;top:13147;height:1329;width:311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1" o:spid="_x0000_s1036" type="#_x0000_t116" style="position:absolute;left:2070;top:14476;height:678;width:479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初审外汇局出具批复文件，并送达</w:t>
                          </w:r>
                        </w:p>
                      </w:txbxContent>
                    </v:textbox>
                  </v:shape>
                  <v:shape id="AutoShape 12" o:spid="_x0000_s1037" type="#_x0000_t32" style="position:absolute;left:4035;top:12580;height:56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rect id="Rectangle 13" o:spid="_x0000_s1038" style="position:absolute;left:1934;top:13147;height:859;width:466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w:t>
                          </w:r>
                        </w:p>
                        <w:p>
                          <w:pPr>
                            <w:jc w:val="center"/>
                          </w:pPr>
                          <w:r>
                            <w:rPr>
                              <w:rFonts w:hint="eastAsia"/>
                            </w:rPr>
                            <w:t>为初审外汇局出具批复文件</w:t>
                          </w:r>
                        </w:p>
                      </w:txbxContent>
                    </v:textbox>
                  </v:rect>
                  <v:shape id="AutoShape 14" o:spid="_x0000_s1039" type="#_x0000_t32" style="position:absolute;left:4049;top:14006;height:470;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5" o:spid="_x0000_s1040" type="#_x0000_t32" style="position:absolute;left:6647;top:10960;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41" style="position:absolute;left:1425;top:1526;height:11606;width:9131;rotation:0f;" coordorigin="1425,1526" coordsize="9131,11606">
                    <o:lock v:ext="edit" position="f" selection="f" grouping="f" rotation="f" cropping="f" text="f" aspectratio="f"/>
                    <v:shape id="AutoShape 17" o:spid="_x0000_s1042" type="#_x0000_t32" style="position:absolute;left:6600;top:8677;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8" o:spid="_x0000_s1043" type="#_x0000_t116" style="position:absolute;left:1920;top:1526;height:703;width:373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id="Group 19" o:spid="_x0000_s1044" style="position:absolute;left:1425;top:2261;height:6416;width:9131;rotation:0f;" coordorigin="1425,2301" coordsize="9131,6416">
                      <o:lock v:ext="edit" position="f" selection="f" grouping="f" rotation="f" cropping="f" text="f" aspectratio="f"/>
                      <v:shape id="AutoShape 20" o:spid="_x0000_s1045" type="#_x0000_t34" style="position:absolute;left:8015;top:4168;height:1285;width:3790;rotation:17694720f;" o:ole="f" o:connectortype="elbow" fillcolor="#FFFFFF" filled="f" o:preferrelative="t" stroked="t" coordorigin="0,0" coordsize="21600,21600" adj="45">
                        <v:fill on="f" color2="#FFFFFF" focus="0%"/>
                        <v:stroke color="#000000" color2="#FFFFFF" miterlimit="2"/>
                        <v:imagedata gain="65536f" blacklevel="0f" gamma="0"/>
                        <o:lock v:ext="edit" position="f" selection="f" grouping="f" rotation="f" cropping="f" text="f" aspectratio="f"/>
                      </v:shape>
                      <v:group id="Group 21" o:spid="_x0000_s1046" style="position:absolute;left:1425;top:2301;height:6416;width:9131;rotation:0f;" coordorigin="1446,3821" coordsize="9131,6416">
                        <o:lock v:ext="edit" position="f" selection="f" grouping="f" rotation="f" cropping="f" text="f" aspectratio="f"/>
                        <v:shape id="AutoShape 22" o:spid="_x0000_s1047" type="#_x0000_t32" style="position:absolute;left:7549;top:7016;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3" o:spid="_x0000_s1048" type="#_x0000_t4" style="position:absolute;left:5812;top:7377;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申请人补充材料</w:t>
                                </w:r>
                              </w:p>
                            </w:txbxContent>
                          </v:textbox>
                        </v:shape>
                        <v:shape id="AutoShape 24" o:spid="_x0000_s1049" type="#_x0000_t32" style="position:absolute;left:3011;top:9967;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5" o:spid="_x0000_s1050" type="#_x0000_t32" style="position:absolute;left:3011;top:6530;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Text Box 26" o:spid="_x0000_s1051" type="#_x0000_t202" style="position:absolute;left:2253;top:7824;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AutoShape 27" o:spid="_x0000_s1052" type="#_x0000_t32" style="position:absolute;left:7549;top:9110;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8" o:spid="_x0000_s1053" type="#_x0000_t202" style="position:absolute;left:4429;top:9110;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rect id="Rectangle 29" o:spid="_x0000_s1054" style="position:absolute;left:4224;top:9718;height:519;width:5359;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txbxContent>
                          </v:textbox>
                        </v:rect>
                        <v:shape id="AutoShape 30" o:spid="_x0000_s1055" type="#_x0000_t32" style="position:absolute;left:4668;top:5550;height:0;width:99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6" type="#_x0000_t32" style="position:absolute;left:5658;top:4533;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2" o:spid="_x0000_s1057" type="#_x0000_t4" style="position:absolute;left:1446;top:4484;height:2131;width:319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接件（5个工作日）作出是否受理决定</w:t>
                                </w:r>
                              </w:p>
                            </w:txbxContent>
                          </v:textbox>
                        </v:shape>
                        <v:shape id="AutoShape 33" o:spid="_x0000_s1058" type="#_x0000_t32" style="position:absolute;left:5686;top:6453;height:1;width:564;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9" type="#_x0000_t32" style="position:absolute;left:5658;top:4533;height:0;width:564;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rect id="Rectangle 35" o:spid="_x0000_s1060" style="position:absolute;left:6222;top:5885;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36" o:spid="_x0000_s1061" type="#_x0000_t116" style="position:absolute;left:6282;top:3821;height:1483;width:2919;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shape id="Text Box 37" o:spid="_x0000_s1062" type="#_x0000_t202" style="position:absolute;left:4834;top:4762;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shape id="Text Box 38" o:spid="_x0000_s1063" type="#_x0000_t202" style="position:absolute;left:9583;top:4841;height:2553;width:823;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39" o:spid="_x0000_s1064" type="#_x0000_t32" style="position:absolute;left:9231;top:4464;flip:x;height:20;width:1346;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shape id="AutoShape 40" o:spid="_x0000_s1065" type="#_x0000_t32" style="position:absolute;left:3011;top:2229;flip:x;height:69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41" o:spid="_x0000_s1066" type="#_x0000_t4" style="position:absolute;left:3450;top:8996;height:2160;width:63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申请人所在地外汇分局（外汇管理部）根据申请材料和软硬件基础设施情况，作出初审意见</w:t>
                            </w:r>
                          </w:p>
                        </w:txbxContent>
                      </v:textbox>
                    </v:shape>
                    <v:shape id="Text Box 42" o:spid="_x0000_s1067" type="#_x0000_t202" style="position:absolute;left:5093;top:10960;height:472;width:812;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同意</w:t>
                            </w:r>
                          </w:p>
                        </w:txbxContent>
                      </v:textbox>
                    </v:shape>
                    <v:shape id="Text Box 43" o:spid="_x0000_s1068" type="#_x0000_t202" style="position:absolute;left:8520;top:10848;height:584;width:1042;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不同意</w:t>
                            </w:r>
                          </w:p>
                        </w:txbxContent>
                      </v:textbox>
                    </v:shape>
                    <v:shape id="AutoShape 44" o:spid="_x0000_s1069" type="#_x0000_t32" style="position:absolute;left:9825;top:10105;height:302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v:group>
          </v:group>
        </w:pict>
      </w: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附录二           </w:t>
      </w:r>
    </w:p>
    <w:p>
      <w:pPr>
        <w:widowControl/>
        <w:jc w:val="center"/>
        <w:rPr>
          <w:rFonts w:ascii="Times New Roman" w:hAnsi="Times New Roman" w:eastAsia="黑体" w:cs="Times New Roman"/>
          <w:sz w:val="30"/>
          <w:szCs w:val="30"/>
        </w:rPr>
      </w:pPr>
      <w:r>
        <w:rPr>
          <w:rFonts w:ascii="Times New Roman" w:hAnsi="黑体" w:eastAsia="黑体" w:cs="Times New Roman"/>
          <w:sz w:val="30"/>
          <w:szCs w:val="30"/>
        </w:rPr>
        <w:t>常见问题</w:t>
      </w: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问：国家外汇管理局收到机构完整的申请材料后，委托所在地外汇局对机构相关软硬件设施进行实地检查，在相关要求和设施符合标准后，于多少个工作日内做出结售汇业务资格许可，并核定其结售汇综合头寸？</w:t>
      </w: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答：国家外汇管理局收到机构完整的申请材料后，委托所在地外汇局对机构相关软硬件设施进行实地检查，在相关要求和设施符合标准后，于20个工作日内做出结售汇业务资格许可，并核定其结售汇综合头寸。</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adjustRightInd w:val="0"/>
        <w:snapToGrid w:val="0"/>
        <w:spacing w:line="360" w:lineRule="auto"/>
        <w:rPr>
          <w:rFonts w:ascii="Times New Roman" w:hAnsi="Times New Roman" w:cs="Times New Roman"/>
        </w:rPr>
      </w:pPr>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10</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41960"/>
    <w:rsid w:val="00042B58"/>
    <w:rsid w:val="00054B00"/>
    <w:rsid w:val="00055270"/>
    <w:rsid w:val="00057F76"/>
    <w:rsid w:val="0006560A"/>
    <w:rsid w:val="00072F8A"/>
    <w:rsid w:val="000750C8"/>
    <w:rsid w:val="00080630"/>
    <w:rsid w:val="00091661"/>
    <w:rsid w:val="00092D53"/>
    <w:rsid w:val="00096CBB"/>
    <w:rsid w:val="00097F7B"/>
    <w:rsid w:val="000A58EF"/>
    <w:rsid w:val="000B6901"/>
    <w:rsid w:val="000B728B"/>
    <w:rsid w:val="000C15B3"/>
    <w:rsid w:val="000C2B33"/>
    <w:rsid w:val="000C3109"/>
    <w:rsid w:val="000D1995"/>
    <w:rsid w:val="000D7478"/>
    <w:rsid w:val="0012271F"/>
    <w:rsid w:val="00127EC4"/>
    <w:rsid w:val="00130519"/>
    <w:rsid w:val="00135BEE"/>
    <w:rsid w:val="00141265"/>
    <w:rsid w:val="0014667A"/>
    <w:rsid w:val="00154B58"/>
    <w:rsid w:val="00157C64"/>
    <w:rsid w:val="00157E81"/>
    <w:rsid w:val="001641E3"/>
    <w:rsid w:val="00170126"/>
    <w:rsid w:val="00177059"/>
    <w:rsid w:val="00181D3E"/>
    <w:rsid w:val="00186BC2"/>
    <w:rsid w:val="00196FAE"/>
    <w:rsid w:val="001A3E49"/>
    <w:rsid w:val="001A72AA"/>
    <w:rsid w:val="001B1E2C"/>
    <w:rsid w:val="001C44C7"/>
    <w:rsid w:val="001D65A2"/>
    <w:rsid w:val="001D6D50"/>
    <w:rsid w:val="001E1407"/>
    <w:rsid w:val="001F4BD4"/>
    <w:rsid w:val="001F7297"/>
    <w:rsid w:val="00200C04"/>
    <w:rsid w:val="00205D07"/>
    <w:rsid w:val="00212470"/>
    <w:rsid w:val="00212F39"/>
    <w:rsid w:val="00217116"/>
    <w:rsid w:val="00231EED"/>
    <w:rsid w:val="00233841"/>
    <w:rsid w:val="00235F24"/>
    <w:rsid w:val="002417D2"/>
    <w:rsid w:val="00241FE8"/>
    <w:rsid w:val="0024527E"/>
    <w:rsid w:val="00253F7B"/>
    <w:rsid w:val="00263773"/>
    <w:rsid w:val="00263B1F"/>
    <w:rsid w:val="00291C17"/>
    <w:rsid w:val="0029313A"/>
    <w:rsid w:val="002B0B1C"/>
    <w:rsid w:val="002B598D"/>
    <w:rsid w:val="002B61C1"/>
    <w:rsid w:val="002C137C"/>
    <w:rsid w:val="002C6BC7"/>
    <w:rsid w:val="002C7A9F"/>
    <w:rsid w:val="002D4240"/>
    <w:rsid w:val="002E1323"/>
    <w:rsid w:val="002F3868"/>
    <w:rsid w:val="00302119"/>
    <w:rsid w:val="00302E87"/>
    <w:rsid w:val="00310261"/>
    <w:rsid w:val="00343044"/>
    <w:rsid w:val="00344B01"/>
    <w:rsid w:val="00353AC4"/>
    <w:rsid w:val="003616B4"/>
    <w:rsid w:val="003A57B2"/>
    <w:rsid w:val="003C7132"/>
    <w:rsid w:val="003D77A5"/>
    <w:rsid w:val="003E6BF6"/>
    <w:rsid w:val="003F221D"/>
    <w:rsid w:val="003F3097"/>
    <w:rsid w:val="00402AE8"/>
    <w:rsid w:val="00405FE6"/>
    <w:rsid w:val="004104EB"/>
    <w:rsid w:val="004105BC"/>
    <w:rsid w:val="00421C27"/>
    <w:rsid w:val="00421C5E"/>
    <w:rsid w:val="00424535"/>
    <w:rsid w:val="00440A1F"/>
    <w:rsid w:val="00443603"/>
    <w:rsid w:val="00443604"/>
    <w:rsid w:val="004501EA"/>
    <w:rsid w:val="00460458"/>
    <w:rsid w:val="00465A2B"/>
    <w:rsid w:val="0046792D"/>
    <w:rsid w:val="004767DF"/>
    <w:rsid w:val="00493CCC"/>
    <w:rsid w:val="004A0218"/>
    <w:rsid w:val="004A7840"/>
    <w:rsid w:val="004B545A"/>
    <w:rsid w:val="004B7E80"/>
    <w:rsid w:val="004C457E"/>
    <w:rsid w:val="004C48D5"/>
    <w:rsid w:val="004D03B7"/>
    <w:rsid w:val="004D1436"/>
    <w:rsid w:val="004D57AE"/>
    <w:rsid w:val="004E0A65"/>
    <w:rsid w:val="004F07E8"/>
    <w:rsid w:val="005056D4"/>
    <w:rsid w:val="00526B2B"/>
    <w:rsid w:val="005362B0"/>
    <w:rsid w:val="00542447"/>
    <w:rsid w:val="00563796"/>
    <w:rsid w:val="00564312"/>
    <w:rsid w:val="005A2981"/>
    <w:rsid w:val="005B61FE"/>
    <w:rsid w:val="005C135C"/>
    <w:rsid w:val="005C6937"/>
    <w:rsid w:val="005C7F02"/>
    <w:rsid w:val="005F0A86"/>
    <w:rsid w:val="005F144A"/>
    <w:rsid w:val="005F1C00"/>
    <w:rsid w:val="0061621E"/>
    <w:rsid w:val="0062366A"/>
    <w:rsid w:val="00630AA8"/>
    <w:rsid w:val="00630B2E"/>
    <w:rsid w:val="00643D2A"/>
    <w:rsid w:val="00664E11"/>
    <w:rsid w:val="00673B30"/>
    <w:rsid w:val="00696E5D"/>
    <w:rsid w:val="006A2E49"/>
    <w:rsid w:val="006B5B86"/>
    <w:rsid w:val="006C3F52"/>
    <w:rsid w:val="006C5908"/>
    <w:rsid w:val="006C633E"/>
    <w:rsid w:val="006D56AB"/>
    <w:rsid w:val="006D734F"/>
    <w:rsid w:val="006E043F"/>
    <w:rsid w:val="006E4695"/>
    <w:rsid w:val="006E4B8B"/>
    <w:rsid w:val="006E5901"/>
    <w:rsid w:val="006F2455"/>
    <w:rsid w:val="0071091C"/>
    <w:rsid w:val="00714961"/>
    <w:rsid w:val="00743ACD"/>
    <w:rsid w:val="00744BD5"/>
    <w:rsid w:val="00745748"/>
    <w:rsid w:val="00750E36"/>
    <w:rsid w:val="00753CB0"/>
    <w:rsid w:val="00755460"/>
    <w:rsid w:val="00761FB7"/>
    <w:rsid w:val="00762107"/>
    <w:rsid w:val="00764CB9"/>
    <w:rsid w:val="00765B05"/>
    <w:rsid w:val="0077269F"/>
    <w:rsid w:val="00785F45"/>
    <w:rsid w:val="007918E9"/>
    <w:rsid w:val="00795E87"/>
    <w:rsid w:val="007A2780"/>
    <w:rsid w:val="007A68EA"/>
    <w:rsid w:val="007B06FC"/>
    <w:rsid w:val="007B0FEF"/>
    <w:rsid w:val="007B2DB5"/>
    <w:rsid w:val="007B319E"/>
    <w:rsid w:val="007C2C07"/>
    <w:rsid w:val="007D2C11"/>
    <w:rsid w:val="007D6171"/>
    <w:rsid w:val="007D69EA"/>
    <w:rsid w:val="007E2C7B"/>
    <w:rsid w:val="007E411B"/>
    <w:rsid w:val="007F0863"/>
    <w:rsid w:val="007F2F3B"/>
    <w:rsid w:val="00802307"/>
    <w:rsid w:val="00803155"/>
    <w:rsid w:val="0082168E"/>
    <w:rsid w:val="00821968"/>
    <w:rsid w:val="008471B6"/>
    <w:rsid w:val="0084737D"/>
    <w:rsid w:val="00851521"/>
    <w:rsid w:val="0085686A"/>
    <w:rsid w:val="00860878"/>
    <w:rsid w:val="008653AB"/>
    <w:rsid w:val="008731FF"/>
    <w:rsid w:val="008816CB"/>
    <w:rsid w:val="0088294A"/>
    <w:rsid w:val="008909EA"/>
    <w:rsid w:val="0089282A"/>
    <w:rsid w:val="008A4538"/>
    <w:rsid w:val="008A5732"/>
    <w:rsid w:val="008A704B"/>
    <w:rsid w:val="008B08D2"/>
    <w:rsid w:val="008B4EE5"/>
    <w:rsid w:val="008B5807"/>
    <w:rsid w:val="008D5FA0"/>
    <w:rsid w:val="008E04B5"/>
    <w:rsid w:val="008E2D38"/>
    <w:rsid w:val="008F5724"/>
    <w:rsid w:val="008F5900"/>
    <w:rsid w:val="00902633"/>
    <w:rsid w:val="009027D8"/>
    <w:rsid w:val="0090372F"/>
    <w:rsid w:val="00911E27"/>
    <w:rsid w:val="00911E9A"/>
    <w:rsid w:val="0092129A"/>
    <w:rsid w:val="00925BB2"/>
    <w:rsid w:val="00930C8C"/>
    <w:rsid w:val="009360EA"/>
    <w:rsid w:val="00947C57"/>
    <w:rsid w:val="00951149"/>
    <w:rsid w:val="00960EDB"/>
    <w:rsid w:val="009622DB"/>
    <w:rsid w:val="009664BC"/>
    <w:rsid w:val="00980F02"/>
    <w:rsid w:val="00991B77"/>
    <w:rsid w:val="00997523"/>
    <w:rsid w:val="009A0C5D"/>
    <w:rsid w:val="009A1D27"/>
    <w:rsid w:val="009A6FB8"/>
    <w:rsid w:val="009C4672"/>
    <w:rsid w:val="009C491B"/>
    <w:rsid w:val="009D0911"/>
    <w:rsid w:val="009D24F8"/>
    <w:rsid w:val="009D688C"/>
    <w:rsid w:val="009F1CE6"/>
    <w:rsid w:val="009F276E"/>
    <w:rsid w:val="009F3AC7"/>
    <w:rsid w:val="009F7A36"/>
    <w:rsid w:val="00A249C2"/>
    <w:rsid w:val="00A24FAB"/>
    <w:rsid w:val="00A301E7"/>
    <w:rsid w:val="00A31525"/>
    <w:rsid w:val="00A42E69"/>
    <w:rsid w:val="00A45CA7"/>
    <w:rsid w:val="00A51415"/>
    <w:rsid w:val="00A6014E"/>
    <w:rsid w:val="00A60356"/>
    <w:rsid w:val="00A61A9C"/>
    <w:rsid w:val="00A66F2C"/>
    <w:rsid w:val="00A73838"/>
    <w:rsid w:val="00A81DF1"/>
    <w:rsid w:val="00A90EF3"/>
    <w:rsid w:val="00AA2613"/>
    <w:rsid w:val="00AA7717"/>
    <w:rsid w:val="00AB131E"/>
    <w:rsid w:val="00AB47C9"/>
    <w:rsid w:val="00AB644F"/>
    <w:rsid w:val="00AC3F5E"/>
    <w:rsid w:val="00AE7ACF"/>
    <w:rsid w:val="00B06409"/>
    <w:rsid w:val="00B17D66"/>
    <w:rsid w:val="00B31FD9"/>
    <w:rsid w:val="00B35D3A"/>
    <w:rsid w:val="00B36E12"/>
    <w:rsid w:val="00B422F1"/>
    <w:rsid w:val="00B71531"/>
    <w:rsid w:val="00B716CB"/>
    <w:rsid w:val="00B71F89"/>
    <w:rsid w:val="00B725EE"/>
    <w:rsid w:val="00B7456C"/>
    <w:rsid w:val="00B84131"/>
    <w:rsid w:val="00B8630E"/>
    <w:rsid w:val="00B931F4"/>
    <w:rsid w:val="00B95573"/>
    <w:rsid w:val="00B96395"/>
    <w:rsid w:val="00BA2AF8"/>
    <w:rsid w:val="00BB2650"/>
    <w:rsid w:val="00BB5BDC"/>
    <w:rsid w:val="00BB7B76"/>
    <w:rsid w:val="00BD233D"/>
    <w:rsid w:val="00BE1A64"/>
    <w:rsid w:val="00BE24C7"/>
    <w:rsid w:val="00BF4EF0"/>
    <w:rsid w:val="00C02E44"/>
    <w:rsid w:val="00C147D2"/>
    <w:rsid w:val="00C2075F"/>
    <w:rsid w:val="00C22FAB"/>
    <w:rsid w:val="00C23799"/>
    <w:rsid w:val="00C274C9"/>
    <w:rsid w:val="00C31E02"/>
    <w:rsid w:val="00C45BC1"/>
    <w:rsid w:val="00C54291"/>
    <w:rsid w:val="00C672C3"/>
    <w:rsid w:val="00C712B2"/>
    <w:rsid w:val="00C94325"/>
    <w:rsid w:val="00C97FED"/>
    <w:rsid w:val="00CA1DBB"/>
    <w:rsid w:val="00CA2622"/>
    <w:rsid w:val="00CA7F2C"/>
    <w:rsid w:val="00CA7FF8"/>
    <w:rsid w:val="00CB5DE7"/>
    <w:rsid w:val="00CC068D"/>
    <w:rsid w:val="00CC4922"/>
    <w:rsid w:val="00CD1FF6"/>
    <w:rsid w:val="00CE25C7"/>
    <w:rsid w:val="00CE3335"/>
    <w:rsid w:val="00CE3ADC"/>
    <w:rsid w:val="00CE4849"/>
    <w:rsid w:val="00CE5C8E"/>
    <w:rsid w:val="00CE5F49"/>
    <w:rsid w:val="00D01626"/>
    <w:rsid w:val="00D33A4D"/>
    <w:rsid w:val="00D33F76"/>
    <w:rsid w:val="00D41F5E"/>
    <w:rsid w:val="00D43DC0"/>
    <w:rsid w:val="00D54E56"/>
    <w:rsid w:val="00D63C4B"/>
    <w:rsid w:val="00D6407D"/>
    <w:rsid w:val="00D81C79"/>
    <w:rsid w:val="00D93E78"/>
    <w:rsid w:val="00DC6E91"/>
    <w:rsid w:val="00DC7514"/>
    <w:rsid w:val="00DD3845"/>
    <w:rsid w:val="00DD5039"/>
    <w:rsid w:val="00E15009"/>
    <w:rsid w:val="00E1687A"/>
    <w:rsid w:val="00E20A2E"/>
    <w:rsid w:val="00E277DE"/>
    <w:rsid w:val="00E27EE9"/>
    <w:rsid w:val="00E3239D"/>
    <w:rsid w:val="00E3254B"/>
    <w:rsid w:val="00E3439B"/>
    <w:rsid w:val="00E42C5F"/>
    <w:rsid w:val="00E45707"/>
    <w:rsid w:val="00E50D06"/>
    <w:rsid w:val="00E61037"/>
    <w:rsid w:val="00E65A1B"/>
    <w:rsid w:val="00E72F1F"/>
    <w:rsid w:val="00E934AB"/>
    <w:rsid w:val="00EA06AC"/>
    <w:rsid w:val="00EA08BF"/>
    <w:rsid w:val="00EA24FB"/>
    <w:rsid w:val="00EB3204"/>
    <w:rsid w:val="00EB50BA"/>
    <w:rsid w:val="00EC3D33"/>
    <w:rsid w:val="00ED302A"/>
    <w:rsid w:val="00ED3A42"/>
    <w:rsid w:val="00EE02BC"/>
    <w:rsid w:val="00EE6970"/>
    <w:rsid w:val="00EF38D0"/>
    <w:rsid w:val="00EF3DDF"/>
    <w:rsid w:val="00EF4A8C"/>
    <w:rsid w:val="00F2678C"/>
    <w:rsid w:val="00F27B38"/>
    <w:rsid w:val="00F27E3D"/>
    <w:rsid w:val="00F40278"/>
    <w:rsid w:val="00F41832"/>
    <w:rsid w:val="00F51D34"/>
    <w:rsid w:val="00F56988"/>
    <w:rsid w:val="00F60587"/>
    <w:rsid w:val="00F620FB"/>
    <w:rsid w:val="00F6571F"/>
    <w:rsid w:val="00F8687E"/>
    <w:rsid w:val="00F93331"/>
    <w:rsid w:val="00F95549"/>
    <w:rsid w:val="00FA098E"/>
    <w:rsid w:val="00FA1E24"/>
    <w:rsid w:val="00FA24FB"/>
    <w:rsid w:val="00FA632B"/>
    <w:rsid w:val="00FB38EA"/>
    <w:rsid w:val="00FB5E0F"/>
    <w:rsid w:val="00FB6AFF"/>
    <w:rsid w:val="00FC4D8F"/>
    <w:rsid w:val="00FD06D3"/>
    <w:rsid w:val="00FE3157"/>
    <w:rsid w:val="00FE6865"/>
    <w:rsid w:val="00FE6993"/>
    <w:rsid w:val="11976429"/>
    <w:rsid w:val="3FA24758"/>
    <w:rsid w:val="4B291132"/>
    <w:rsid w:val="6BAC0817"/>
    <w:rsid w:val="6F7D559B"/>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3"/>
        <o:r id="V:Rule2" type="connector" idref="#AutoShape 5"/>
        <o:r id="V:Rule3" type="connector" idref="#AutoShape 6"/>
        <o:r id="V:Rule4" type="connector" idref="#AutoShape 12"/>
        <o:r id="V:Rule5" type="connector" idref="#AutoShape 14"/>
        <o:r id="V:Rule6" type="connector" idref="#AutoShape 15"/>
        <o:r id="V:Rule7" type="connector" idref="#AutoShape 17"/>
        <o:r id="V:Rule8" type="connector" idref="#AutoShape 20"/>
        <o:r id="V:Rule9" type="connector" idref="#AutoShape 22"/>
        <o:r id="V:Rule10" type="connector" idref="#AutoShape 24"/>
        <o:r id="V:Rule11" type="connector" idref="#AutoShape 25"/>
        <o:r id="V:Rule12" type="connector" idref="#AutoShape 27"/>
        <o:r id="V:Rule13" type="connector" idref="#AutoShape 30"/>
        <o:r id="V:Rule14" type="connector" idref="#AutoShape 31"/>
        <o:r id="V:Rule15" type="connector" idref="#AutoShape 33"/>
        <o:r id="V:Rule16" type="connector" idref="#AutoShape 34"/>
        <o:r id="V:Rule17" type="connector" idref="#AutoShape 39"/>
        <o:r id="V:Rule18" type="connector" idref="#AutoShape 40"/>
        <o:r id="V:Rule19" type="connector" idref="#AutoShape 44"/>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qFormat/>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488</Words>
  <Characters>2787</Characters>
  <Lines>23</Lines>
  <Paragraphs>6</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2020-02-26T12:00:00Z</dcterms:created>
  <dc:creator>裴建君2</dc:creator>
  <cp:lastModifiedBy>蒙卫丹/资本项目管理处/南宁/PBC</cp:lastModifiedBy>
  <cp:lastPrinted>2017-12-26T09:10:00Z</cp:lastPrinted>
  <dcterms:modified xsi:type="dcterms:W3CDTF">2020-12-24T03:25:23Z</dcterms:modified>
  <dc:title>编号：57014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