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r>
        <w:rPr>
          <w:rFonts w:ascii="Times New Roman" w:hAnsi="Times New Roman" w:eastAsia="黑体" w:cs="Times New Roman"/>
          <w:sz w:val="48"/>
          <w:szCs w:val="48"/>
        </w:rPr>
        <w:t>编号：57011</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“资本项目外汇资金汇出境外的购付汇核准”行政审批服务指南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jc w:val="center"/>
        <w:rPr>
          <w:rFonts w:ascii="Times New Roman" w:hAnsi="Times New Roman" w:eastAsia="仿宋_GB2312" w:cs="Times New Roman"/>
          <w:sz w:val="30"/>
          <w:szCs w:val="30"/>
        </w:rPr>
      </w:pPr>
    </w:p>
    <w:p>
      <w:pPr>
        <w:widowControl/>
        <w:jc w:val="left"/>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项目名称：资本项目外汇资金汇出境外的购付汇核准；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项目编号：57011</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本指南适用于“资本项目外汇资金汇出境外的购付汇核准”的申请和办理。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《国务院对确需保留的行政审批项目设定行政许可的决定》（国务院令第412号）附件第468项“资本项目外汇资金汇出境外的购付汇核准”。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四、金融机构内保外贷履约购付汇备案</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2.《国家外汇管理局关于发布&lt;跨境担保外汇管理规定&gt;的通知》（汇发〔2014〕29号）；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3.《国家外汇管理局关于进一步推进外汇管理改革完善真实合规性审核的通知》（汇发〔2017〕3号）。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w:t>
      </w:r>
      <w:r>
        <w:rPr>
          <w:rFonts w:hint="eastAsia" w:ascii="Times New Roman" w:hAnsi="Times New Roman" w:eastAsia="仿宋_GB2312" w:cs="Times New Roman"/>
          <w:sz w:val="30"/>
          <w:szCs w:val="30"/>
        </w:rPr>
        <w:t>《国家外汇管理局综合司关于完善银行内保外贷外汇管理的通知》（汇综发〔2017〕108号）。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5.</w:t>
      </w:r>
      <w:r>
        <w:rPr>
          <w:rFonts w:ascii="Times New Roman" w:hAnsi="Times New Roman" w:eastAsia="仿宋_GB2312" w:cs="Times New Roman"/>
          <w:sz w:val="30"/>
          <w:szCs w:val="30"/>
        </w:rPr>
        <w:t>其他相关法规。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申请人所在地外汇</w:t>
      </w:r>
      <w:r>
        <w:rPr>
          <w:rFonts w:hint="eastAsia" w:ascii="Times New Roman" w:hAnsi="Times New Roman" w:eastAsia="仿宋_GB2312" w:cs="Times New Roman"/>
          <w:sz w:val="30"/>
          <w:szCs w:val="30"/>
        </w:rPr>
        <w:t>分</w:t>
      </w:r>
      <w:r>
        <w:rPr>
          <w:rFonts w:ascii="Times New Roman" w:hAnsi="Times New Roman" w:eastAsia="仿宋_GB2312" w:cs="Times New Roman"/>
          <w:sz w:val="30"/>
          <w:szCs w:val="30"/>
        </w:rPr>
        <w:t>局。</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（三）决定机构</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申请人所在地外汇</w:t>
      </w:r>
      <w:r>
        <w:rPr>
          <w:rFonts w:hint="eastAsia" w:ascii="Times New Roman" w:hAnsi="Times New Roman" w:eastAsia="仿宋_GB2312" w:cs="Times New Roman"/>
          <w:sz w:val="30"/>
          <w:szCs w:val="30"/>
        </w:rPr>
        <w:t>分</w:t>
      </w:r>
      <w:r>
        <w:rPr>
          <w:rFonts w:ascii="Times New Roman" w:hAnsi="Times New Roman" w:eastAsia="仿宋_GB2312" w:cs="Times New Roman"/>
          <w:sz w:val="30"/>
          <w:szCs w:val="30"/>
        </w:rPr>
        <w:t>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汇发〔2017〕3号文件实施后银行新提供的内保外贷，如果发生担保项下主债务违约，银行应先使用自有资金履约，不得以反担保资金直接购汇履约；银行履约后造成本外币资金不匹配的，需经所在地外汇分局资本项目管理部门备案后办理结售汇相关手续。</w:t>
      </w:r>
    </w:p>
    <w:p>
      <w:pPr>
        <w:widowControl/>
        <w:ind w:right="-58"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2.禁止性要求：如符合上述条件，不存在不予许可的情况。</w:t>
      </w:r>
    </w:p>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（六）</w:t>
      </w:r>
      <w:r>
        <w:rPr>
          <w:rFonts w:hint="eastAsia" w:ascii="Times New Roman" w:hAnsi="Times New Roman" w:eastAsia="黑体" w:cs="Times New Roman"/>
          <w:sz w:val="30"/>
          <w:szCs w:val="30"/>
        </w:rPr>
        <w:t>申请材料</w:t>
      </w:r>
    </w:p>
    <w:tbl>
      <w:tblPr>
        <w:tblStyle w:val="17"/>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2977"/>
        <w:gridCol w:w="1985"/>
        <w:gridCol w:w="567"/>
        <w:gridCol w:w="850"/>
        <w:gridCol w:w="567"/>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2977" w:type="dxa"/>
            <w:vAlign w:val="center"/>
          </w:tcPr>
          <w:p>
            <w:pPr>
              <w:jc w:val="left"/>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98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4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977" w:type="dxa"/>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书面申请</w:t>
            </w:r>
          </w:p>
        </w:tc>
        <w:tc>
          <w:tcPr>
            <w:tcW w:w="198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43" w:type="dxa"/>
            <w:vAlign w:val="center"/>
          </w:tcPr>
          <w:p>
            <w:pPr>
              <w:keepNext/>
              <w:keepLines/>
              <w:spacing w:before="340" w:after="330" w:line="578" w:lineRule="auto"/>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2"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297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内保外贷业务合同（或合同简明条款）</w:t>
            </w:r>
          </w:p>
        </w:tc>
        <w:tc>
          <w:tcPr>
            <w:tcW w:w="198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center"/>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297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证明</w:t>
            </w:r>
            <w:r>
              <w:rPr>
                <w:rFonts w:ascii="Times New Roman" w:hAnsi="Times New Roman" w:eastAsia="仿宋_GB2312" w:cs="Times New Roman"/>
                <w:color w:val="000000"/>
                <w:sz w:val="24"/>
                <w:szCs w:val="24"/>
              </w:rPr>
              <w:t>确需</w:t>
            </w:r>
            <w:r>
              <w:rPr>
                <w:rFonts w:ascii="Times New Roman" w:hAnsi="Times New Roman" w:eastAsia="仿宋_GB2312" w:cs="Times New Roman"/>
                <w:color w:val="000000"/>
                <w:kern w:val="0"/>
                <w:sz w:val="24"/>
                <w:szCs w:val="24"/>
              </w:rPr>
              <w:t>购付汇履约</w:t>
            </w:r>
            <w:r>
              <w:rPr>
                <w:rFonts w:hint="eastAsia" w:ascii="Times New Roman" w:hAnsi="Times New Roman" w:eastAsia="仿宋_GB2312" w:cs="Times New Roman"/>
                <w:color w:val="000000"/>
                <w:kern w:val="0"/>
                <w:sz w:val="24"/>
                <w:szCs w:val="24"/>
              </w:rPr>
              <w:t>及购汇资金来源的证明</w:t>
            </w:r>
            <w:r>
              <w:rPr>
                <w:rFonts w:ascii="Times New Roman" w:hAnsi="Times New Roman" w:eastAsia="仿宋_GB2312" w:cs="Times New Roman"/>
                <w:kern w:val="0"/>
                <w:sz w:val="24"/>
                <w:szCs w:val="24"/>
              </w:rPr>
              <w:t>材料</w:t>
            </w:r>
          </w:p>
        </w:tc>
        <w:tc>
          <w:tcPr>
            <w:tcW w:w="198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center"/>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8"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2977"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内保外贷履约证明材料</w:t>
            </w:r>
          </w:p>
        </w:tc>
        <w:tc>
          <w:tcPr>
            <w:tcW w:w="1985"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原件及加盖公章的复印件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center"/>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szCs w:val="30"/>
        </w:rPr>
      </w:pPr>
      <w:r>
        <w:rPr>
          <w:rFonts w:ascii="Times New Roman" w:hAnsi="黑体" w:eastAsia="黑体" w:cs="Times New Roman"/>
          <w:sz w:val="30"/>
          <w:szCs w:val="30"/>
        </w:rPr>
        <w:t>（十五）咨询途径、监督和投诉、办公地址和时间、公开查询方式等</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w:t>
      </w:r>
      <w:r>
        <w:rPr>
          <w:rFonts w:hint="eastAsia" w:ascii="仿宋_GB2312" w:hAnsi="仿宋_GB2312" w:eastAsia="仿宋_GB2312" w:cs="仿宋_GB2312"/>
          <w:color w:val="auto"/>
          <w:sz w:val="30"/>
          <w:szCs w:val="30"/>
          <w:lang w:val="en-US" w:eastAsia="zh-CN"/>
        </w:rPr>
        <w:t>804</w:t>
      </w:r>
      <w:r>
        <w:rPr>
          <w:rFonts w:hint="eastAsia" w:ascii="Times New Roman" w:hAnsi="Times New Roman" w:eastAsia="仿宋_GB2312" w:cs="Times New Roman"/>
          <w:color w:val="auto"/>
          <w:sz w:val="30"/>
          <w:szCs w:val="30"/>
          <w:lang w:val="en-US" w:eastAsia="zh-CN"/>
        </w:rPr>
        <w:t>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4</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现场查询：广西南宁市青秀区滨湖路58号中国人民银行南宁中心支行八楼804室</w:t>
      </w:r>
      <w:r>
        <w:rPr>
          <w:rFonts w:hint="eastAsia" w:ascii="仿宋_GB2312" w:hAnsi="Times New Roman" w:eastAsia="仿宋_GB2312"/>
          <w:color w:val="auto"/>
          <w:sz w:val="30"/>
          <w:szCs w:val="30"/>
        </w:rPr>
        <w:t>。</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电话查询：0771-6111211。</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0" w:name="_GoBack"/>
      <w:bookmarkEnd w:id="0"/>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p>
    <w:p>
      <w:pPr>
        <w:adjustRightInd w:val="0"/>
        <w:snapToGrid w:val="0"/>
        <w:spacing w:line="360" w:lineRule="auto"/>
        <w:ind w:firstLine="600"/>
        <w:rPr>
          <w:rFonts w:ascii="Times New Roman" w:hAnsi="Times New Roman" w:eastAsia="仿宋_GB2312" w:cs="Times New Roman"/>
          <w:sz w:val="30"/>
          <w:szCs w:val="30"/>
        </w:rPr>
        <w:sectPr>
          <w:footerReference r:id="rId5" w:type="default"/>
          <w:pgSz w:w="11906" w:h="16838"/>
          <w:pgMar w:top="1440" w:right="1800" w:bottom="1440" w:left="1800" w:header="851" w:footer="992" w:gutter="0"/>
          <w:cols w:space="720" w:num="1"/>
          <w:docGrid w:type="lines" w:linePitch="312" w:charSpace="0"/>
        </w:sect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rPr>
          <w:rFonts w:ascii="Times New Roman" w:hAnsi="Times New Roman" w:eastAsia="仿宋_GB2312" w:cs="Times New Roman"/>
          <w:sz w:val="30"/>
          <w:szCs w:val="30"/>
        </w:rPr>
      </w:pPr>
      <w:r>
        <w:rPr>
          <w:rFonts w:ascii="Times New Roman" w:hAnsi="Times New Roman" w:eastAsia="仿宋_GB2312" w:cs="Times New Roman"/>
          <w:kern w:val="2"/>
          <w:sz w:val="30"/>
          <w:szCs w:val="30"/>
          <w:lang w:val="en-US" w:eastAsia="zh-CN" w:bidi="ar-SA"/>
        </w:rPr>
        <w:pict>
          <v:group id="Group 1183" o:spid="_x0000_s1027" style="position:absolute;left:0;margin-left:-12.65pt;margin-top:4.6pt;height:586.05pt;width:446.05pt;rotation:0f;z-index:251658240;" coordorigin="0,0" coordsize="8921,11721">
            <o:lock v:ext="edit" position="f" selection="f" grouping="f" rotation="f" cropping="f" text="f" aspectratio="f"/>
            <v:rect id="Rectangle 1184"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1185"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1186"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1187"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88"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89"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90"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191"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192" o:spid="_x0000_s1036" style="position:absolute;left:0;top:0;height:7693;width:8921;rotation:0f;" coordorigin="0,0" coordsize="8921,7693">
              <o:lock v:ext="edit" position="f" selection="f" grouping="f" rotation="f" cropping="f" text="f" aspectratio="f"/>
              <v:shape id="AutoShape 1193"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194" o:spid="_x0000_s1038" style="position:absolute;left:0;top:0;height:7693;width:8921;rotation:0f;" coordorigin="0,0" coordsize="8921,7693">
                <o:lock v:ext="edit" position="f" selection="f" grouping="f" rotation="f" cropping="f" text="f" aspectratio="f"/>
                <v:shape id="AutoShape 1195"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196"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1197"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198"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1199"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p>
                      <w:p>
                        <w:pPr>
                          <w:jc w:val="center"/>
                        </w:pPr>
                        <w:r>
                          <w:rPr>
                            <w:rFonts w:hint="eastAsia"/>
                          </w:rPr>
                          <w:t>申请人补充材料</w:t>
                        </w:r>
                      </w:p>
                    </w:txbxContent>
                  </v:textbox>
                </v:shape>
                <v:rect id="Rectangle 1200"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1201"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w:t>
                        </w:r>
                      </w:p>
                      <w:p>
                        <w:pPr>
                          <w:jc w:val="center"/>
                        </w:pPr>
                        <w:r>
                          <w:rPr>
                            <w:rFonts w:hint="eastAsia"/>
                          </w:rPr>
                          <w:t>一次性告知补正材料，</w:t>
                        </w:r>
                      </w:p>
                      <w:p>
                        <w:pPr>
                          <w:jc w:val="center"/>
                        </w:pPr>
                        <w:r>
                          <w:rPr>
                            <w:rFonts w:hint="eastAsia"/>
                          </w:rPr>
                          <w:t>出具行政审批补正材料通知书</w:t>
                        </w:r>
                      </w:p>
                      <w:p/>
                    </w:txbxContent>
                  </v:textbox>
                </v:rect>
                <v:shape id="AutoShape 1202" o:spid="_x0000_s1046" type="#_x0000_t116" style="position:absolute;left:4566;top:1337;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1203" o:spid="_x0000_s1047" style="position:absolute;left:0;top:0;height:7424;width:4594;rotation:0f;" coordorigin="0,0" coordsize="4594,7424">
                  <o:lock v:ext="edit" position="f" selection="f" grouping="f" rotation="f" cropping="f" text="f" aspectratio="f"/>
                  <v:shape id="AutoShape 1204"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05"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206" o:spid="_x0000_s1050" style="position:absolute;left:0;top:0;height:3986;width:3629;rotation:0f;" coordorigin="0,0" coordsize="3629,3986">
                    <o:lock v:ext="edit" position="f" selection="f" grouping="f" rotation="f" cropping="f" text="f" aspectratio="f"/>
                    <v:shape id="AutoShape 1207"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08" o:spid="_x0000_s1052" type="#_x0000_t32" style="position:absolute;left:2400;top:2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209" o:spid="_x0000_s1053" type="#_x0000_t4" style="position:absolute;left:0;top:1936;height:2050;width:277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1210"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1211"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12"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213"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214"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1215"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1216" o:spid="_x0000_s1060" type="#_x0000_t32" style="position:absolute;left:7384;top:1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附录二</w:t>
      </w:r>
    </w:p>
    <w:p>
      <w:pPr>
        <w:ind w:right="-58"/>
        <w:jc w:val="center"/>
        <w:rPr>
          <w:rFonts w:ascii="Times New Roman" w:hAnsi="Times New Roman" w:eastAsia="仿宋_GB2312" w:cs="Times New Roman"/>
          <w:sz w:val="30"/>
          <w:szCs w:val="30"/>
        </w:rPr>
      </w:pPr>
    </w:p>
    <w:p>
      <w:pPr>
        <w:ind w:right="-58"/>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ind w:right="-58"/>
        <w:jc w:val="center"/>
        <w:rPr>
          <w:rFonts w:ascii="Times New Roman" w:hAnsi="Times New Roman" w:eastAsia="黑体" w:cs="Times New Roman"/>
          <w:sz w:val="30"/>
          <w:szCs w:val="30"/>
        </w:rPr>
      </w:pPr>
    </w:p>
    <w:p>
      <w:pPr>
        <w:ind w:right="-58"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问：金融机构办理内保外贷履约，如担保履约资金与担保项下债务提款币种不一致而需要办理购汇的，应如何办理？</w:t>
      </w:r>
    </w:p>
    <w:p>
      <w:pPr>
        <w:ind w:right="-58"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答：由其分行或总行/总部汇总自身及下属分支机构的担保履约款结汇（或购汇）申请后，向其所在地外汇局集中提出申请。</w:t>
      </w:r>
    </w:p>
    <w:p>
      <w:pPr>
        <w:widowControl/>
        <w:jc w:val="left"/>
        <w:rPr>
          <w:rFonts w:ascii="Times New Roman" w:hAnsi="Times New Roman" w:eastAsia="仿宋_GB2312" w:cs="Times New Roman"/>
          <w:sz w:val="30"/>
          <w:szCs w:val="30"/>
        </w:rPr>
      </w:pPr>
    </w:p>
    <w:sectPr>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5</w:t>
    </w:r>
    <w:r>
      <w:rPr>
        <w:lang w:val="zh-CN"/>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7</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22191"/>
    <w:rsid w:val="00023783"/>
    <w:rsid w:val="000258D3"/>
    <w:rsid w:val="00041960"/>
    <w:rsid w:val="00042B58"/>
    <w:rsid w:val="00054B00"/>
    <w:rsid w:val="00055270"/>
    <w:rsid w:val="0006560A"/>
    <w:rsid w:val="00072F8A"/>
    <w:rsid w:val="000750C8"/>
    <w:rsid w:val="00080630"/>
    <w:rsid w:val="00091661"/>
    <w:rsid w:val="00092D53"/>
    <w:rsid w:val="00096CBB"/>
    <w:rsid w:val="00097F7B"/>
    <w:rsid w:val="000B1CBB"/>
    <w:rsid w:val="000B6901"/>
    <w:rsid w:val="000B728B"/>
    <w:rsid w:val="000C15B3"/>
    <w:rsid w:val="000C2B33"/>
    <w:rsid w:val="000D1995"/>
    <w:rsid w:val="000D7478"/>
    <w:rsid w:val="001069E9"/>
    <w:rsid w:val="0012271F"/>
    <w:rsid w:val="00130519"/>
    <w:rsid w:val="00135BEE"/>
    <w:rsid w:val="0014667A"/>
    <w:rsid w:val="00154B58"/>
    <w:rsid w:val="00157C64"/>
    <w:rsid w:val="00157E81"/>
    <w:rsid w:val="00170126"/>
    <w:rsid w:val="00177059"/>
    <w:rsid w:val="00181D3E"/>
    <w:rsid w:val="00196FAE"/>
    <w:rsid w:val="001A3E49"/>
    <w:rsid w:val="001A472F"/>
    <w:rsid w:val="001A72AA"/>
    <w:rsid w:val="001B1E2C"/>
    <w:rsid w:val="001C44C7"/>
    <w:rsid w:val="001D65A2"/>
    <w:rsid w:val="001E1407"/>
    <w:rsid w:val="001F4BD4"/>
    <w:rsid w:val="001F7297"/>
    <w:rsid w:val="00205D07"/>
    <w:rsid w:val="00212F39"/>
    <w:rsid w:val="00217116"/>
    <w:rsid w:val="00231EED"/>
    <w:rsid w:val="00233841"/>
    <w:rsid w:val="00235F24"/>
    <w:rsid w:val="002417D2"/>
    <w:rsid w:val="00241FE8"/>
    <w:rsid w:val="00243264"/>
    <w:rsid w:val="0024527E"/>
    <w:rsid w:val="00253F7B"/>
    <w:rsid w:val="00263B1F"/>
    <w:rsid w:val="00276585"/>
    <w:rsid w:val="0027779E"/>
    <w:rsid w:val="00291C17"/>
    <w:rsid w:val="0029313A"/>
    <w:rsid w:val="002A2CCE"/>
    <w:rsid w:val="002B0B1C"/>
    <w:rsid w:val="002B598D"/>
    <w:rsid w:val="002B61C1"/>
    <w:rsid w:val="002C12E4"/>
    <w:rsid w:val="002E1323"/>
    <w:rsid w:val="002F3868"/>
    <w:rsid w:val="00302119"/>
    <w:rsid w:val="00302E87"/>
    <w:rsid w:val="00310261"/>
    <w:rsid w:val="00343044"/>
    <w:rsid w:val="00344B01"/>
    <w:rsid w:val="00353AC4"/>
    <w:rsid w:val="003616B4"/>
    <w:rsid w:val="00391501"/>
    <w:rsid w:val="003A57B2"/>
    <w:rsid w:val="003A6B36"/>
    <w:rsid w:val="003C7132"/>
    <w:rsid w:val="003D0286"/>
    <w:rsid w:val="003D77A5"/>
    <w:rsid w:val="003E6BF6"/>
    <w:rsid w:val="003F221D"/>
    <w:rsid w:val="003F3097"/>
    <w:rsid w:val="00402AE8"/>
    <w:rsid w:val="00405FE6"/>
    <w:rsid w:val="004105BC"/>
    <w:rsid w:val="00421C27"/>
    <w:rsid w:val="00440A1F"/>
    <w:rsid w:val="00443603"/>
    <w:rsid w:val="00443604"/>
    <w:rsid w:val="004501EA"/>
    <w:rsid w:val="00460458"/>
    <w:rsid w:val="0046792D"/>
    <w:rsid w:val="00470B73"/>
    <w:rsid w:val="004767DF"/>
    <w:rsid w:val="00493CCC"/>
    <w:rsid w:val="004A0218"/>
    <w:rsid w:val="004A7840"/>
    <w:rsid w:val="004A7AAD"/>
    <w:rsid w:val="004B545A"/>
    <w:rsid w:val="004B7E80"/>
    <w:rsid w:val="004C457E"/>
    <w:rsid w:val="004C48D5"/>
    <w:rsid w:val="004D03B7"/>
    <w:rsid w:val="004D1436"/>
    <w:rsid w:val="004D57AE"/>
    <w:rsid w:val="005056D4"/>
    <w:rsid w:val="00526B2B"/>
    <w:rsid w:val="00535DCD"/>
    <w:rsid w:val="005362B0"/>
    <w:rsid w:val="00542447"/>
    <w:rsid w:val="00564312"/>
    <w:rsid w:val="0058158C"/>
    <w:rsid w:val="005A2981"/>
    <w:rsid w:val="005C6937"/>
    <w:rsid w:val="005C7F02"/>
    <w:rsid w:val="005F0A86"/>
    <w:rsid w:val="005F144A"/>
    <w:rsid w:val="005F1C00"/>
    <w:rsid w:val="005F38F6"/>
    <w:rsid w:val="0061621E"/>
    <w:rsid w:val="00630AA8"/>
    <w:rsid w:val="00630B2E"/>
    <w:rsid w:val="00635C10"/>
    <w:rsid w:val="00643D2A"/>
    <w:rsid w:val="00645BCF"/>
    <w:rsid w:val="0064681B"/>
    <w:rsid w:val="00654C93"/>
    <w:rsid w:val="006559A2"/>
    <w:rsid w:val="00655C33"/>
    <w:rsid w:val="00664E11"/>
    <w:rsid w:val="00673B30"/>
    <w:rsid w:val="00696E5D"/>
    <w:rsid w:val="006B5B86"/>
    <w:rsid w:val="006C5908"/>
    <w:rsid w:val="006C633E"/>
    <w:rsid w:val="006D734F"/>
    <w:rsid w:val="006E043F"/>
    <w:rsid w:val="006E4695"/>
    <w:rsid w:val="006E4B8B"/>
    <w:rsid w:val="006E5901"/>
    <w:rsid w:val="007054F3"/>
    <w:rsid w:val="0071091C"/>
    <w:rsid w:val="00714961"/>
    <w:rsid w:val="00744BD5"/>
    <w:rsid w:val="00745748"/>
    <w:rsid w:val="0075099B"/>
    <w:rsid w:val="00750E36"/>
    <w:rsid w:val="00753CB0"/>
    <w:rsid w:val="00755460"/>
    <w:rsid w:val="00761FB7"/>
    <w:rsid w:val="00762107"/>
    <w:rsid w:val="00764CB9"/>
    <w:rsid w:val="00765B05"/>
    <w:rsid w:val="007674B9"/>
    <w:rsid w:val="00785F45"/>
    <w:rsid w:val="007A2780"/>
    <w:rsid w:val="007A68EA"/>
    <w:rsid w:val="007B06FC"/>
    <w:rsid w:val="007B0FEF"/>
    <w:rsid w:val="007B2DB5"/>
    <w:rsid w:val="007D2C11"/>
    <w:rsid w:val="007D6171"/>
    <w:rsid w:val="007D69EA"/>
    <w:rsid w:val="007E2C7B"/>
    <w:rsid w:val="007E411B"/>
    <w:rsid w:val="007F0863"/>
    <w:rsid w:val="007F2F3B"/>
    <w:rsid w:val="00802307"/>
    <w:rsid w:val="0082168E"/>
    <w:rsid w:val="00821968"/>
    <w:rsid w:val="008471B6"/>
    <w:rsid w:val="00851521"/>
    <w:rsid w:val="0085686A"/>
    <w:rsid w:val="00860878"/>
    <w:rsid w:val="008731FF"/>
    <w:rsid w:val="0088294A"/>
    <w:rsid w:val="0089282A"/>
    <w:rsid w:val="008A4409"/>
    <w:rsid w:val="008A4538"/>
    <w:rsid w:val="008A704B"/>
    <w:rsid w:val="008B08D2"/>
    <w:rsid w:val="008B4EE5"/>
    <w:rsid w:val="008B5807"/>
    <w:rsid w:val="008D5FA0"/>
    <w:rsid w:val="008E2D38"/>
    <w:rsid w:val="008E6149"/>
    <w:rsid w:val="008F5724"/>
    <w:rsid w:val="00902633"/>
    <w:rsid w:val="009027D8"/>
    <w:rsid w:val="0090372F"/>
    <w:rsid w:val="00911E27"/>
    <w:rsid w:val="0092129A"/>
    <w:rsid w:val="00925BB2"/>
    <w:rsid w:val="00930C8C"/>
    <w:rsid w:val="009360EA"/>
    <w:rsid w:val="009424F9"/>
    <w:rsid w:val="00947C57"/>
    <w:rsid w:val="00951149"/>
    <w:rsid w:val="009546CA"/>
    <w:rsid w:val="00960EDB"/>
    <w:rsid w:val="009622DB"/>
    <w:rsid w:val="009664BC"/>
    <w:rsid w:val="00977EB0"/>
    <w:rsid w:val="00980F02"/>
    <w:rsid w:val="00991B77"/>
    <w:rsid w:val="00997523"/>
    <w:rsid w:val="009A0C5D"/>
    <w:rsid w:val="009C4672"/>
    <w:rsid w:val="009C491B"/>
    <w:rsid w:val="009D0911"/>
    <w:rsid w:val="009D24F8"/>
    <w:rsid w:val="009D5457"/>
    <w:rsid w:val="009D688C"/>
    <w:rsid w:val="009F7A36"/>
    <w:rsid w:val="00A249C2"/>
    <w:rsid w:val="00A24FAB"/>
    <w:rsid w:val="00A301E7"/>
    <w:rsid w:val="00A42E69"/>
    <w:rsid w:val="00A4439A"/>
    <w:rsid w:val="00A45CA7"/>
    <w:rsid w:val="00A51415"/>
    <w:rsid w:val="00A6014E"/>
    <w:rsid w:val="00A60356"/>
    <w:rsid w:val="00A81DF1"/>
    <w:rsid w:val="00A90EF3"/>
    <w:rsid w:val="00A96347"/>
    <w:rsid w:val="00AA1244"/>
    <w:rsid w:val="00AA7717"/>
    <w:rsid w:val="00AB131E"/>
    <w:rsid w:val="00AB644F"/>
    <w:rsid w:val="00AC3F5E"/>
    <w:rsid w:val="00AD5110"/>
    <w:rsid w:val="00AE7ACF"/>
    <w:rsid w:val="00B06409"/>
    <w:rsid w:val="00B07BEC"/>
    <w:rsid w:val="00B17D66"/>
    <w:rsid w:val="00B35D3A"/>
    <w:rsid w:val="00B422F1"/>
    <w:rsid w:val="00B71531"/>
    <w:rsid w:val="00B7215B"/>
    <w:rsid w:val="00B737AB"/>
    <w:rsid w:val="00B7456C"/>
    <w:rsid w:val="00B76786"/>
    <w:rsid w:val="00B84131"/>
    <w:rsid w:val="00B8630E"/>
    <w:rsid w:val="00B931F4"/>
    <w:rsid w:val="00B95573"/>
    <w:rsid w:val="00B96395"/>
    <w:rsid w:val="00BA2AF8"/>
    <w:rsid w:val="00BB2650"/>
    <w:rsid w:val="00BB5BDC"/>
    <w:rsid w:val="00BB7B76"/>
    <w:rsid w:val="00BD233D"/>
    <w:rsid w:val="00BE530F"/>
    <w:rsid w:val="00BF4EF0"/>
    <w:rsid w:val="00C02E44"/>
    <w:rsid w:val="00C147D2"/>
    <w:rsid w:val="00C2075F"/>
    <w:rsid w:val="00C23328"/>
    <w:rsid w:val="00C23799"/>
    <w:rsid w:val="00C274C9"/>
    <w:rsid w:val="00C275D5"/>
    <w:rsid w:val="00C31E02"/>
    <w:rsid w:val="00C4465B"/>
    <w:rsid w:val="00C54291"/>
    <w:rsid w:val="00C672C3"/>
    <w:rsid w:val="00C712B2"/>
    <w:rsid w:val="00C91CEC"/>
    <w:rsid w:val="00C97FED"/>
    <w:rsid w:val="00CA17FE"/>
    <w:rsid w:val="00CA1DBB"/>
    <w:rsid w:val="00CA2622"/>
    <w:rsid w:val="00CA7F2C"/>
    <w:rsid w:val="00CA7FF8"/>
    <w:rsid w:val="00CB285A"/>
    <w:rsid w:val="00CB5DE7"/>
    <w:rsid w:val="00CC068D"/>
    <w:rsid w:val="00CC4922"/>
    <w:rsid w:val="00CD1FF6"/>
    <w:rsid w:val="00CD2139"/>
    <w:rsid w:val="00CE25C7"/>
    <w:rsid w:val="00CE3335"/>
    <w:rsid w:val="00CE4849"/>
    <w:rsid w:val="00CE5C8E"/>
    <w:rsid w:val="00CE5F49"/>
    <w:rsid w:val="00D01626"/>
    <w:rsid w:val="00D23C23"/>
    <w:rsid w:val="00D33A4D"/>
    <w:rsid w:val="00D33F76"/>
    <w:rsid w:val="00D41F5E"/>
    <w:rsid w:val="00D43DC0"/>
    <w:rsid w:val="00D54E56"/>
    <w:rsid w:val="00D6407D"/>
    <w:rsid w:val="00D67059"/>
    <w:rsid w:val="00D93E78"/>
    <w:rsid w:val="00DC0382"/>
    <w:rsid w:val="00DC6E91"/>
    <w:rsid w:val="00DC7514"/>
    <w:rsid w:val="00DD3845"/>
    <w:rsid w:val="00DF3230"/>
    <w:rsid w:val="00E1687A"/>
    <w:rsid w:val="00E20A2E"/>
    <w:rsid w:val="00E277DE"/>
    <w:rsid w:val="00E27EE9"/>
    <w:rsid w:val="00E3239D"/>
    <w:rsid w:val="00E3439B"/>
    <w:rsid w:val="00E40E64"/>
    <w:rsid w:val="00E42C5F"/>
    <w:rsid w:val="00E50030"/>
    <w:rsid w:val="00E56C56"/>
    <w:rsid w:val="00E57EB2"/>
    <w:rsid w:val="00E65A1B"/>
    <w:rsid w:val="00E72F1F"/>
    <w:rsid w:val="00E934AB"/>
    <w:rsid w:val="00EA06AC"/>
    <w:rsid w:val="00EA08BF"/>
    <w:rsid w:val="00EA24FB"/>
    <w:rsid w:val="00EB3204"/>
    <w:rsid w:val="00EB50BA"/>
    <w:rsid w:val="00EC3D33"/>
    <w:rsid w:val="00ED302A"/>
    <w:rsid w:val="00ED3A42"/>
    <w:rsid w:val="00EE02BC"/>
    <w:rsid w:val="00EE6970"/>
    <w:rsid w:val="00EF38D0"/>
    <w:rsid w:val="00EF3DDF"/>
    <w:rsid w:val="00EF4A8C"/>
    <w:rsid w:val="00F030C7"/>
    <w:rsid w:val="00F12A6C"/>
    <w:rsid w:val="00F2678C"/>
    <w:rsid w:val="00F27B38"/>
    <w:rsid w:val="00F40278"/>
    <w:rsid w:val="00F41832"/>
    <w:rsid w:val="00F56988"/>
    <w:rsid w:val="00F60150"/>
    <w:rsid w:val="00F620FB"/>
    <w:rsid w:val="00F6571F"/>
    <w:rsid w:val="00F8687E"/>
    <w:rsid w:val="00F93331"/>
    <w:rsid w:val="00F95549"/>
    <w:rsid w:val="00F95751"/>
    <w:rsid w:val="00FA1E24"/>
    <w:rsid w:val="00FA24FB"/>
    <w:rsid w:val="00FA632B"/>
    <w:rsid w:val="00FB38EA"/>
    <w:rsid w:val="00FB5E0F"/>
    <w:rsid w:val="00FB6AFF"/>
    <w:rsid w:val="00FC4D8F"/>
    <w:rsid w:val="00FD06D3"/>
    <w:rsid w:val="00FE3157"/>
    <w:rsid w:val="00FE6865"/>
    <w:rsid w:val="00FE6993"/>
    <w:rsid w:val="06621016"/>
    <w:rsid w:val="14B419AC"/>
    <w:rsid w:val="1C535F69"/>
    <w:rsid w:val="30C27F23"/>
    <w:rsid w:val="41524302"/>
    <w:rsid w:val="46C81F91"/>
    <w:rsid w:val="4ACD43AB"/>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1187"/>
        <o:r id="V:Rule2" type="connector" idref="#AutoShape 1188"/>
        <o:r id="V:Rule3" type="connector" idref="#AutoShape 1189"/>
        <o:r id="V:Rule4" type="connector" idref="#AutoShape 1190"/>
        <o:r id="V:Rule5" type="connector" idref="#AutoShape 1191"/>
        <o:r id="V:Rule6" type="connector" idref="#AutoShape 1193"/>
        <o:r id="V:Rule7" type="connector" idref="#AutoShape 1195"/>
        <o:r id="V:Rule8" type="connector" idref="#AutoShape 1197"/>
        <o:r id="V:Rule9" type="connector" idref="#AutoShape 1204"/>
        <o:r id="V:Rule10" type="connector" idref="#AutoShape 1205"/>
        <o:r id="V:Rule11" type="connector" idref="#AutoShape 1207"/>
        <o:r id="V:Rule12" type="connector" idref="#AutoShape 1208"/>
        <o:r id="V:Rule13" type="connector" idref="#AutoShape 1211"/>
        <o:r id="V:Rule14" type="connector" idref="#AutoShape 1212"/>
        <o:r id="V:Rule15" type="connector" idref="#AutoShape 1213"/>
        <o:r id="V:Rule16" type="connector" idref="#AutoShape 1216"/>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qFormat/>
    <w:uiPriority w:val="0"/>
    <w:rPr>
      <w:rFonts w:ascii="宋体"/>
      <w:sz w:val="18"/>
      <w:szCs w:val="18"/>
    </w:rPr>
  </w:style>
  <w:style w:type="paragraph" w:styleId="6">
    <w:name w:val="annotation text"/>
    <w:basedOn w:val="1"/>
    <w:link w:val="32"/>
    <w:unhideWhenUsed/>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qFormat/>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uiPriority w:val="0"/>
    <w:rPr>
      <w:rFonts w:ascii="Calibri" w:hAnsi="Calibri" w:eastAsia="宋体" w:cs="Times New Roman"/>
    </w:rPr>
  </w:style>
  <w:style w:type="character" w:customStyle="1" w:styleId="33">
    <w:name w:val="标题 1 Char"/>
    <w:basedOn w:val="13"/>
    <w:link w:val="2"/>
    <w:qFormat/>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uiPriority w:val="99"/>
    <w:rPr>
      <w:kern w:val="2"/>
      <w:sz w:val="18"/>
      <w:szCs w:val="18"/>
    </w:rPr>
  </w:style>
  <w:style w:type="character" w:customStyle="1" w:styleId="37">
    <w:name w:val="脚注文本 Char1"/>
    <w:basedOn w:val="13"/>
    <w:link w:val="10"/>
    <w:semiHidden/>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uiPriority w:val="0"/>
    <w:rPr>
      <w:rFonts w:ascii="宋体"/>
      <w:sz w:val="18"/>
      <w:szCs w:val="18"/>
    </w:rPr>
  </w:style>
  <w:style w:type="character" w:customStyle="1" w:styleId="40">
    <w:name w:val="批注文字 Char1"/>
    <w:basedOn w:val="13"/>
    <w:semiHidden/>
    <w:qFormat/>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qFormat/>
    <w:uiPriority w:val="99"/>
    <w:rPr>
      <w:rFonts w:ascii="宋体" w:eastAsia="宋体"/>
      <w:sz w:val="18"/>
      <w:szCs w:val="18"/>
    </w:rPr>
  </w:style>
  <w:style w:type="character" w:customStyle="1" w:styleId="43">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265</Words>
  <Characters>1511</Characters>
  <Lines>12</Lines>
  <Paragraphs>3</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2020-03-18T05:35:00Z</dcterms:created>
  <dc:creator>裴建君2</dc:creator>
  <cp:lastModifiedBy>蒙卫丹/资本项目管理处/南宁/PBC</cp:lastModifiedBy>
  <cp:lastPrinted>2020-01-15T09:21:00Z</cp:lastPrinted>
  <dcterms:modified xsi:type="dcterms:W3CDTF">2020-12-24T03:23:33Z</dcterms:modified>
  <dc:title>编号：57011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