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编号：57007</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hint="eastAsia" w:ascii="Times New Roman" w:hAnsi="Times New Roman" w:eastAsia="黑体" w:cs="Times New Roman"/>
          <w:sz w:val="52"/>
          <w:szCs w:val="52"/>
        </w:rPr>
      </w:pPr>
      <w:r>
        <w:rPr>
          <w:rFonts w:ascii="Times New Roman" w:hAnsi="Times New Roman" w:eastAsia="黑体" w:cs="Times New Roman"/>
          <w:sz w:val="52"/>
          <w:szCs w:val="52"/>
        </w:rPr>
        <w:t>“境内机构（不含商业银行）向境外提供商业贷款审批与登记”</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jc w:val="center"/>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titlePg/>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项目名称：境内机构（不含商业银行）向境外提供商业贷款审批与登记；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项目编号：57007；</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本指南适用于“境内机构（不含商业银行）向境外提供商业贷款审批与登记”的申请和办理。</w:t>
      </w:r>
    </w:p>
    <w:p>
      <w:pPr>
        <w:adjustRightInd w:val="0"/>
        <w:snapToGrid w:val="0"/>
        <w:spacing w:line="360" w:lineRule="auto"/>
        <w:ind w:firstLine="585" w:firstLineChars="19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条：“银行业金融机构在经批准的经营范围内可以直接向境外提供商业贷款。其他境内机构向境外提供商业贷款，应当向外汇管理机关提出申请，外汇管理机关根据申请人的资产负债等情况作出批准或者不批准的决定；国家规定其经营范围需经有关主管部门批准的，应当在向外汇管理机关提出申请前办理批准手续。向境外提供商业贷款，应当按照国务院外汇管理部门的规定办理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四、融资租赁对外债权登记</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（一）办理依据</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2.《国家外汇管理局关于进一步改进和调整资本项目外汇管理政策的通知》（汇发[2014]2号）。</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w:t>
      </w:r>
      <w:r>
        <w:rPr>
          <w:rFonts w:hint="eastAsia" w:ascii="Times New Roman" w:hAnsi="Times New Roman" w:eastAsia="黑体" w:cs="Times New Roman"/>
          <w:sz w:val="30"/>
          <w:szCs w:val="30"/>
        </w:rPr>
        <w:t xml:space="preserve"> </w:t>
      </w:r>
      <w:r>
        <w:rPr>
          <w:rFonts w:ascii="Times New Roman" w:hAnsi="Times New Roman" w:eastAsia="黑体" w:cs="Times New Roman"/>
          <w:sz w:val="30"/>
          <w:szCs w:val="30"/>
        </w:rPr>
        <w:t>（二）受理机构</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（四）审批数量</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无数量限制。</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（五）办事条件</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1.融资租赁类公司包括银行业监管部门批准设立的金融租赁公司、商务主管部门审批设立的外商投资租赁公司，以及商务部和国家税务总局联合确认的内资融资租赁公司等三类主体。</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2.融资租赁类公司或其项目公司开展对外融资租赁业务时，应在融资租赁对外债权发生后15个工作日内，到所在地外汇局办理融资租赁对外债权登记。</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3.禁止性要求：如符合上述条件，不存在不予许可的情况。</w:t>
      </w:r>
    </w:p>
    <w:p>
      <w:pPr>
        <w:ind w:firstLine="600"/>
        <w:rPr>
          <w:rFonts w:ascii="Times New Roman" w:hAnsi="Times New Roman" w:eastAsia="仿宋_GB2312" w:cs="Times New Roman"/>
          <w:sz w:val="30"/>
          <w:szCs w:val="30"/>
        </w:rPr>
      </w:pPr>
      <w:r>
        <w:rPr>
          <w:rFonts w:ascii="Times New Roman" w:hAnsi="Times New Roman" w:eastAsia="黑体" w:cs="Times New Roman"/>
          <w:sz w:val="30"/>
          <w:szCs w:val="30"/>
        </w:rPr>
        <w:t>（六）申请材料</w:t>
      </w:r>
    </w:p>
    <w:tbl>
      <w:tblPr>
        <w:tblStyle w:val="17"/>
        <w:tblW w:w="84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3544"/>
        <w:gridCol w:w="1417"/>
        <w:gridCol w:w="425"/>
        <w:gridCol w:w="993"/>
        <w:gridCol w:w="42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center"/>
          </w:tcPr>
          <w:p>
            <w:pPr>
              <w:ind w:right="300"/>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544" w:type="dxa"/>
            <w:vAlign w:val="center"/>
          </w:tcPr>
          <w:p>
            <w:pPr>
              <w:ind w:right="-116"/>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417" w:type="dxa"/>
            <w:vAlign w:val="center"/>
          </w:tcPr>
          <w:p>
            <w:pPr>
              <w:ind w:left="-113" w:leftChars="-54" w:right="-115"/>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w:t>
            </w:r>
          </w:p>
          <w:p>
            <w:pPr>
              <w:ind w:left="-113" w:leftChars="-54" w:right="-115"/>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复印件</w:t>
            </w:r>
          </w:p>
        </w:tc>
        <w:tc>
          <w:tcPr>
            <w:tcW w:w="425" w:type="dxa"/>
            <w:vAlign w:val="center"/>
          </w:tcPr>
          <w:p>
            <w:pPr>
              <w:ind w:left="-103" w:leftChars="-49" w:right="-104"/>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93" w:type="dxa"/>
            <w:vAlign w:val="center"/>
          </w:tcPr>
          <w:p>
            <w:pPr>
              <w:tabs>
                <w:tab w:val="left" w:pos="776"/>
              </w:tabs>
              <w:ind w:left="-97" w:leftChars="-46" w:right="-119"/>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w:t>
            </w:r>
          </w:p>
          <w:p>
            <w:pPr>
              <w:tabs>
                <w:tab w:val="left" w:pos="776"/>
              </w:tabs>
              <w:ind w:left="-97" w:leftChars="-46" w:right="-119"/>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电子</w:t>
            </w:r>
          </w:p>
        </w:tc>
        <w:tc>
          <w:tcPr>
            <w:tcW w:w="425" w:type="dxa"/>
            <w:vAlign w:val="center"/>
          </w:tcPr>
          <w:p>
            <w:pPr>
              <w:ind w:left="-101" w:leftChars="-48" w:right="-105"/>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77" w:type="dxa"/>
            <w:vAlign w:val="center"/>
          </w:tcPr>
          <w:p>
            <w:pPr>
              <w:ind w:left="-107" w:leftChars="-51" w:right="-115"/>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center"/>
          </w:tcPr>
          <w:p>
            <w:pPr>
              <w:ind w:right="30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544" w:type="dxa"/>
            <w:vAlign w:val="center"/>
          </w:tcPr>
          <w:p>
            <w:pPr>
              <w:ind w:left="31" w:leftChars="15"/>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包括公司及租赁项目基本情况</w:t>
            </w:r>
            <w:r>
              <w:rPr>
                <w:rFonts w:hint="eastAsia" w:ascii="Times New Roman" w:hAnsi="Times New Roman" w:eastAsia="仿宋_GB2312" w:cs="Times New Roman"/>
                <w:sz w:val="24"/>
                <w:szCs w:val="24"/>
              </w:rPr>
              <w:t>）</w:t>
            </w:r>
          </w:p>
        </w:tc>
        <w:tc>
          <w:tcPr>
            <w:tcW w:w="1417" w:type="dxa"/>
            <w:vAlign w:val="center"/>
          </w:tcPr>
          <w:p>
            <w:pPr>
              <w:ind w:left="34" w:leftChars="16"/>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425" w:type="dxa"/>
            <w:vAlign w:val="center"/>
          </w:tcPr>
          <w:p>
            <w:pPr>
              <w:ind w:left="-101" w:leftChars="-48" w:right="-104" w:firstLine="100" w:firstLineChars="42"/>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ind w:left="-97" w:leftChars="-46" w:right="-10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25" w:type="dxa"/>
            <w:vAlign w:val="center"/>
          </w:tcPr>
          <w:p>
            <w:pPr>
              <w:ind w:right="300"/>
              <w:jc w:val="left"/>
              <w:rPr>
                <w:rFonts w:ascii="Times New Roman" w:hAnsi="Times New Roman" w:eastAsia="仿宋_GB2312" w:cs="Times New Roman"/>
                <w:sz w:val="24"/>
                <w:szCs w:val="24"/>
              </w:rPr>
            </w:pPr>
          </w:p>
        </w:tc>
        <w:tc>
          <w:tcPr>
            <w:tcW w:w="1277" w:type="dxa"/>
            <w:vAlign w:val="center"/>
          </w:tcPr>
          <w:p>
            <w:pPr>
              <w:ind w:left="-107" w:leftChars="-51" w:right="-115"/>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2" w:type="dxa"/>
            <w:vAlign w:val="center"/>
          </w:tcPr>
          <w:p>
            <w:pPr>
              <w:ind w:right="30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544" w:type="dxa"/>
            <w:vAlign w:val="center"/>
          </w:tcPr>
          <w:p>
            <w:pPr>
              <w:ind w:left="31" w:leftChars="15"/>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最近一期财务报表</w:t>
            </w:r>
          </w:p>
        </w:tc>
        <w:tc>
          <w:tcPr>
            <w:tcW w:w="1417" w:type="dxa"/>
            <w:vAlign w:val="center"/>
          </w:tcPr>
          <w:p>
            <w:pPr>
              <w:ind w:left="34" w:leftChars="16"/>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25" w:type="dxa"/>
            <w:vAlign w:val="center"/>
          </w:tcPr>
          <w:p>
            <w:pPr>
              <w:ind w:left="-101" w:leftChars="-48" w:right="-104" w:firstLine="100" w:firstLineChars="42"/>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ind w:left="-97" w:leftChars="-46" w:right="-10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25" w:type="dxa"/>
            <w:vAlign w:val="center"/>
          </w:tcPr>
          <w:p>
            <w:pPr>
              <w:ind w:right="300"/>
              <w:jc w:val="left"/>
              <w:rPr>
                <w:rFonts w:ascii="Times New Roman" w:hAnsi="Times New Roman" w:eastAsia="仿宋_GB2312" w:cs="Times New Roman"/>
                <w:sz w:val="24"/>
                <w:szCs w:val="24"/>
              </w:rPr>
            </w:pPr>
          </w:p>
        </w:tc>
        <w:tc>
          <w:tcPr>
            <w:tcW w:w="1277" w:type="dxa"/>
            <w:vAlign w:val="center"/>
          </w:tcPr>
          <w:p>
            <w:pPr>
              <w:ind w:left="1"/>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392" w:type="dxa"/>
            <w:vAlign w:val="center"/>
          </w:tcPr>
          <w:p>
            <w:pPr>
              <w:ind w:right="30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544" w:type="dxa"/>
            <w:vAlign w:val="center"/>
          </w:tcPr>
          <w:p>
            <w:pPr>
              <w:ind w:left="31" w:leftChars="15"/>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租赁合同及租赁物转移的证明材料（如报关单、备案清单、发票等）</w:t>
            </w:r>
          </w:p>
        </w:tc>
        <w:tc>
          <w:tcPr>
            <w:tcW w:w="1417" w:type="dxa"/>
            <w:vAlign w:val="center"/>
          </w:tcPr>
          <w:p>
            <w:pPr>
              <w:ind w:left="34" w:leftChars="16"/>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25" w:type="dxa"/>
            <w:vAlign w:val="center"/>
          </w:tcPr>
          <w:p>
            <w:pPr>
              <w:ind w:left="-101" w:leftChars="-48" w:right="-104" w:firstLine="100" w:firstLineChars="42"/>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ind w:left="-97" w:leftChars="-46" w:right="-10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25" w:type="dxa"/>
            <w:vAlign w:val="center"/>
          </w:tcPr>
          <w:p>
            <w:pPr>
              <w:ind w:right="300"/>
              <w:jc w:val="left"/>
              <w:rPr>
                <w:rFonts w:ascii="Times New Roman" w:hAnsi="Times New Roman" w:eastAsia="仿宋_GB2312" w:cs="Times New Roman"/>
                <w:sz w:val="24"/>
                <w:szCs w:val="24"/>
              </w:rPr>
            </w:pPr>
          </w:p>
        </w:tc>
        <w:tc>
          <w:tcPr>
            <w:tcW w:w="1277" w:type="dxa"/>
            <w:vAlign w:val="center"/>
          </w:tcPr>
          <w:p>
            <w:pPr>
              <w:ind w:left="1"/>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pacing w:line="360" w:lineRule="auto"/>
        <w:ind w:firstLine="600" w:firstLineChars="200"/>
        <w:rPr>
          <w:rFonts w:hint="eastAsia" w:ascii="Times New Roman" w:hAnsi="Times New Roman" w:eastAsia="仿宋_GB2312" w:cs="Times New Roman"/>
          <w:sz w:val="30"/>
          <w:szCs w:val="30"/>
        </w:rPr>
      </w:pPr>
      <w:r>
        <w:rPr>
          <w:rFonts w:ascii="Times New Roman" w:hAnsi="黑体" w:eastAsia="黑体" w:cs="Times New Roman"/>
          <w:sz w:val="30"/>
          <w:szCs w:val="30"/>
        </w:rPr>
        <w:t>（七）申请接受</w:t>
      </w:r>
    </w:p>
    <w:p>
      <w:pPr>
        <w:adjustRightInd w:val="0"/>
        <w:spacing w:line="360" w:lineRule="auto"/>
        <w:ind w:firstLine="600" w:firstLineChars="200"/>
        <w:rPr>
          <w:rFonts w:hint="eastAsia"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ind w:firstLine="600" w:firstLineChars="200"/>
        <w:rPr>
          <w:rFonts w:hint="eastAsia" w:ascii="Times New Roman" w:hAnsi="Times New Roman" w:eastAsia="仿宋_GB2312" w:cs="Times New Roman"/>
          <w:sz w:val="30"/>
          <w:szCs w:val="30"/>
        </w:rPr>
      </w:pPr>
      <w:r>
        <w:rPr>
          <w:rFonts w:ascii="Times New Roman" w:hAnsi="黑体" w:eastAsia="黑体" w:cs="Times New Roman"/>
          <w:sz w:val="30"/>
          <w:szCs w:val="30"/>
        </w:rPr>
        <w:t>（八）基本办理流程</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pacing w:line="360" w:lineRule="auto"/>
        <w:ind w:firstLine="600" w:firstLineChars="200"/>
        <w:rPr>
          <w:rFonts w:ascii="Times New Roman" w:hAnsi="Times New Roman" w:eastAsia="黑体" w:cs="Times New Roman"/>
          <w:sz w:val="30"/>
          <w:szCs w:val="30"/>
        </w:rPr>
      </w:pPr>
      <w:r>
        <w:rPr>
          <w:rFonts w:ascii="Times New Roman" w:hAnsi="黑体" w:eastAsia="黑体" w:cs="Times New Roman"/>
          <w:sz w:val="30"/>
          <w:szCs w:val="30"/>
        </w:rPr>
        <w:t>（九）办理方式</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一般程序：申请、告知补正、受理、审核、办理登记或不予许可、出具相关业务办理凭证。</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（十一）审批收费依据及标准</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不收费。</w:t>
      </w:r>
    </w:p>
    <w:p>
      <w:pPr>
        <w:adjustRightInd w:val="0"/>
        <w:snapToGrid w:val="0"/>
        <w:spacing w:line="360" w:lineRule="auto"/>
        <w:ind w:firstLine="590"/>
        <w:rPr>
          <w:rFonts w:ascii="Times New Roman" w:hAnsi="Times New Roman" w:eastAsia="黑体" w:cs="Times New Roman"/>
          <w:sz w:val="30"/>
          <w:szCs w:val="30"/>
        </w:rPr>
      </w:pPr>
      <w:r>
        <w:rPr>
          <w:rFonts w:ascii="Times New Roman" w:hAnsi="黑体"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黑体"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仿宋_GB2312" w:hAnsi="仿宋_GB2312" w:eastAsia="仿宋_GB2312" w:cs="仿宋_GB2312"/>
          <w:color w:val="auto"/>
          <w:sz w:val="30"/>
          <w:szCs w:val="30"/>
          <w:lang w:val="en-US" w:eastAsia="zh-CN"/>
        </w:rPr>
        <w:t>现场咨询：广西南宁市青秀区滨湖路58号中国人民银行南宁中心支行八楼803室</w:t>
      </w:r>
      <w:r>
        <w:rPr>
          <w:rFonts w:hint="eastAsia" w:ascii="Times New Roman" w:hAnsi="Times New Roman" w:eastAsia="仿宋_GB2312" w:cs="Times New Roman"/>
          <w:color w:val="auto"/>
          <w:sz w:val="30"/>
          <w:szCs w:val="30"/>
          <w:lang w:val="en-US" w:eastAsia="zh-CN"/>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电话咨询：0771-6111332。</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lang w:val="en-US" w:eastAsia="zh-CN"/>
        </w:rPr>
      </w:pPr>
      <w:r>
        <w:rPr>
          <w:rFonts w:hint="eastAsia" w:ascii="仿宋_GB2312" w:hAnsi="Times New Roman" w:eastAsia="仿宋_GB2312"/>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电话查询：0771-6111332。</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Group 1115" o:spid="_x0000_s1027" style="position:absolute;left:0;margin-left:-11.65pt;margin-top:15.1pt;height:586.05pt;width:446.05pt;rotation:0f;z-index:251658240;" coordorigin="0,0" coordsize="8921,11721">
            <o:lock v:ext="edit" position="f" selection="f" grouping="f" rotation="f" cropping="f" text="f" aspectratio="f"/>
            <v:rect id="Rectangle 1116"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117"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118"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119"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20"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21"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22"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23"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24" o:spid="_x0000_s1036" style="position:absolute;left:0;top:0;height:7693;width:8921;rotation:0f;" coordorigin="0,0" coordsize="8921,7693">
              <o:lock v:ext="edit" position="f" selection="f" grouping="f" rotation="f" cropping="f" text="f" aspectratio="f"/>
              <v:shape id="AutoShape 1125"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126" o:spid="_x0000_s1038" style="position:absolute;left:0;top:0;height:7693;width:8921;rotation:0f;" coordorigin="0,0" coordsize="8921,7693">
                <o:lock v:ext="edit" position="f" selection="f" grouping="f" rotation="f" cropping="f" text="f" aspectratio="f"/>
                <v:shape id="AutoShape 1127"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128"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129"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130"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131"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132"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133"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134"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135" o:spid="_x0000_s1047" style="position:absolute;left:0;top:0;height:7424;width:4594;rotation:0f;" coordorigin="0,0" coordsize="4594,7424">
                  <o:lock v:ext="edit" position="f" selection="f" grouping="f" rotation="f" cropping="f" text="f" aspectratio="f"/>
                  <v:shape id="AutoShape 1136"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37"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38" o:spid="_x0000_s1050" style="position:absolute;left:0;top:0;height:3986;width:3629;rotation:0f;" coordorigin="0,0" coordsize="3629,3986">
                    <o:lock v:ext="edit" position="f" selection="f" grouping="f" rotation="f" cropping="f" text="f" aspectratio="f"/>
                    <v:shape id="AutoShape 1139"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40"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41"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142"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143"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44"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45"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146"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147"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148"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附录二</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问：融资租赁类公司开展对外融资租赁业务时，是否有额度限制？</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答：融资租赁类公司开展对外融资租赁业务时，不受现行境内企业境外放款额度限制。</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13</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7</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23DF"/>
    <w:rsid w:val="00023783"/>
    <w:rsid w:val="00041960"/>
    <w:rsid w:val="00042B58"/>
    <w:rsid w:val="00054B00"/>
    <w:rsid w:val="00055270"/>
    <w:rsid w:val="0006560A"/>
    <w:rsid w:val="00072F8A"/>
    <w:rsid w:val="000750C8"/>
    <w:rsid w:val="00080630"/>
    <w:rsid w:val="00091661"/>
    <w:rsid w:val="00092D53"/>
    <w:rsid w:val="00096CBB"/>
    <w:rsid w:val="00097F7B"/>
    <w:rsid w:val="000A161C"/>
    <w:rsid w:val="000B6901"/>
    <w:rsid w:val="000B728B"/>
    <w:rsid w:val="000C15B3"/>
    <w:rsid w:val="000C2B33"/>
    <w:rsid w:val="000D1995"/>
    <w:rsid w:val="000D7478"/>
    <w:rsid w:val="0012271F"/>
    <w:rsid w:val="00130519"/>
    <w:rsid w:val="00132A7E"/>
    <w:rsid w:val="00135BEE"/>
    <w:rsid w:val="0014667A"/>
    <w:rsid w:val="00154B58"/>
    <w:rsid w:val="00157C64"/>
    <w:rsid w:val="00157E81"/>
    <w:rsid w:val="001625DF"/>
    <w:rsid w:val="00170126"/>
    <w:rsid w:val="00177059"/>
    <w:rsid w:val="00180135"/>
    <w:rsid w:val="00181D3E"/>
    <w:rsid w:val="00196FAE"/>
    <w:rsid w:val="001A3E49"/>
    <w:rsid w:val="001A72AA"/>
    <w:rsid w:val="001B1E2C"/>
    <w:rsid w:val="001C44C7"/>
    <w:rsid w:val="001C6CBD"/>
    <w:rsid w:val="001C7306"/>
    <w:rsid w:val="001D65A2"/>
    <w:rsid w:val="001E1407"/>
    <w:rsid w:val="001E2203"/>
    <w:rsid w:val="001E3099"/>
    <w:rsid w:val="001F4BD4"/>
    <w:rsid w:val="001F7297"/>
    <w:rsid w:val="00205D07"/>
    <w:rsid w:val="00212F39"/>
    <w:rsid w:val="00217116"/>
    <w:rsid w:val="00231EED"/>
    <w:rsid w:val="00233841"/>
    <w:rsid w:val="00235F24"/>
    <w:rsid w:val="002417D2"/>
    <w:rsid w:val="00241FE8"/>
    <w:rsid w:val="0024527E"/>
    <w:rsid w:val="00253F7B"/>
    <w:rsid w:val="00263B1F"/>
    <w:rsid w:val="00291C17"/>
    <w:rsid w:val="0029313A"/>
    <w:rsid w:val="002B0B1C"/>
    <w:rsid w:val="002B598D"/>
    <w:rsid w:val="002B61C1"/>
    <w:rsid w:val="002C0FF3"/>
    <w:rsid w:val="002E1323"/>
    <w:rsid w:val="002F3868"/>
    <w:rsid w:val="00302119"/>
    <w:rsid w:val="00302E87"/>
    <w:rsid w:val="00310261"/>
    <w:rsid w:val="00312CA6"/>
    <w:rsid w:val="00343044"/>
    <w:rsid w:val="00344B01"/>
    <w:rsid w:val="00353AC4"/>
    <w:rsid w:val="003570D7"/>
    <w:rsid w:val="003616B4"/>
    <w:rsid w:val="00380E36"/>
    <w:rsid w:val="00383001"/>
    <w:rsid w:val="00387F6E"/>
    <w:rsid w:val="003A57B2"/>
    <w:rsid w:val="003A626F"/>
    <w:rsid w:val="003B05BF"/>
    <w:rsid w:val="003C7132"/>
    <w:rsid w:val="003D77A5"/>
    <w:rsid w:val="003E6BF6"/>
    <w:rsid w:val="003F0EBE"/>
    <w:rsid w:val="003F221D"/>
    <w:rsid w:val="003F3097"/>
    <w:rsid w:val="00402AE8"/>
    <w:rsid w:val="00405FE6"/>
    <w:rsid w:val="004105BC"/>
    <w:rsid w:val="00421C27"/>
    <w:rsid w:val="00423D7C"/>
    <w:rsid w:val="00440A1F"/>
    <w:rsid w:val="00443603"/>
    <w:rsid w:val="00443604"/>
    <w:rsid w:val="004472DB"/>
    <w:rsid w:val="004501EA"/>
    <w:rsid w:val="004504C7"/>
    <w:rsid w:val="00460458"/>
    <w:rsid w:val="0046792D"/>
    <w:rsid w:val="00476692"/>
    <w:rsid w:val="004767DF"/>
    <w:rsid w:val="00487F57"/>
    <w:rsid w:val="0049008B"/>
    <w:rsid w:val="00493CCC"/>
    <w:rsid w:val="004A0218"/>
    <w:rsid w:val="004A7840"/>
    <w:rsid w:val="004B38F2"/>
    <w:rsid w:val="004B545A"/>
    <w:rsid w:val="004B7E80"/>
    <w:rsid w:val="004C457E"/>
    <w:rsid w:val="004C48D5"/>
    <w:rsid w:val="004D03B7"/>
    <w:rsid w:val="004D1436"/>
    <w:rsid w:val="004D1CAF"/>
    <w:rsid w:val="004D57AE"/>
    <w:rsid w:val="00503B59"/>
    <w:rsid w:val="005056D4"/>
    <w:rsid w:val="00523A02"/>
    <w:rsid w:val="00526B2B"/>
    <w:rsid w:val="005279E3"/>
    <w:rsid w:val="005362B0"/>
    <w:rsid w:val="00537E39"/>
    <w:rsid w:val="00542447"/>
    <w:rsid w:val="00564312"/>
    <w:rsid w:val="005801FA"/>
    <w:rsid w:val="005A2981"/>
    <w:rsid w:val="005C6937"/>
    <w:rsid w:val="005C7F02"/>
    <w:rsid w:val="005E35C5"/>
    <w:rsid w:val="005F0A86"/>
    <w:rsid w:val="005F144A"/>
    <w:rsid w:val="005F1C00"/>
    <w:rsid w:val="00605BF9"/>
    <w:rsid w:val="00607F26"/>
    <w:rsid w:val="0061621E"/>
    <w:rsid w:val="00621A3B"/>
    <w:rsid w:val="00630AA8"/>
    <w:rsid w:val="00630B2E"/>
    <w:rsid w:val="00643D2A"/>
    <w:rsid w:val="00651530"/>
    <w:rsid w:val="00654B92"/>
    <w:rsid w:val="00664E11"/>
    <w:rsid w:val="006707B0"/>
    <w:rsid w:val="00673B30"/>
    <w:rsid w:val="00674A78"/>
    <w:rsid w:val="00693524"/>
    <w:rsid w:val="00696E5D"/>
    <w:rsid w:val="006A252F"/>
    <w:rsid w:val="006B5B86"/>
    <w:rsid w:val="006C5908"/>
    <w:rsid w:val="006C633E"/>
    <w:rsid w:val="006D734F"/>
    <w:rsid w:val="006E043F"/>
    <w:rsid w:val="006E4695"/>
    <w:rsid w:val="006E4B8B"/>
    <w:rsid w:val="006E5901"/>
    <w:rsid w:val="0071091C"/>
    <w:rsid w:val="00714961"/>
    <w:rsid w:val="00744BD5"/>
    <w:rsid w:val="00745748"/>
    <w:rsid w:val="00750E36"/>
    <w:rsid w:val="00753CB0"/>
    <w:rsid w:val="00755460"/>
    <w:rsid w:val="00761FB7"/>
    <w:rsid w:val="00762107"/>
    <w:rsid w:val="00764CB9"/>
    <w:rsid w:val="00765B05"/>
    <w:rsid w:val="0077768E"/>
    <w:rsid w:val="0078225F"/>
    <w:rsid w:val="00785F45"/>
    <w:rsid w:val="007A2780"/>
    <w:rsid w:val="007A68EA"/>
    <w:rsid w:val="007B06FC"/>
    <w:rsid w:val="007B0FEF"/>
    <w:rsid w:val="007B2DB5"/>
    <w:rsid w:val="007C4AD9"/>
    <w:rsid w:val="007D2C11"/>
    <w:rsid w:val="007D6171"/>
    <w:rsid w:val="007D69EA"/>
    <w:rsid w:val="007E2C7B"/>
    <w:rsid w:val="007E411B"/>
    <w:rsid w:val="007F0863"/>
    <w:rsid w:val="007F2F3B"/>
    <w:rsid w:val="007F354C"/>
    <w:rsid w:val="00802307"/>
    <w:rsid w:val="00805630"/>
    <w:rsid w:val="0082168E"/>
    <w:rsid w:val="00821968"/>
    <w:rsid w:val="00834A14"/>
    <w:rsid w:val="008358C5"/>
    <w:rsid w:val="008471B6"/>
    <w:rsid w:val="00851521"/>
    <w:rsid w:val="0085686A"/>
    <w:rsid w:val="0086077B"/>
    <w:rsid w:val="00860878"/>
    <w:rsid w:val="008731FF"/>
    <w:rsid w:val="0088294A"/>
    <w:rsid w:val="0089282A"/>
    <w:rsid w:val="008A4538"/>
    <w:rsid w:val="008A704B"/>
    <w:rsid w:val="008B08D2"/>
    <w:rsid w:val="008B4EE5"/>
    <w:rsid w:val="008B5807"/>
    <w:rsid w:val="008D5FA0"/>
    <w:rsid w:val="008D6FF0"/>
    <w:rsid w:val="008E2D38"/>
    <w:rsid w:val="008F5724"/>
    <w:rsid w:val="00902633"/>
    <w:rsid w:val="009027D8"/>
    <w:rsid w:val="0090372F"/>
    <w:rsid w:val="00911E27"/>
    <w:rsid w:val="0092129A"/>
    <w:rsid w:val="00925BB2"/>
    <w:rsid w:val="00930C8C"/>
    <w:rsid w:val="009360EA"/>
    <w:rsid w:val="00944262"/>
    <w:rsid w:val="00947C57"/>
    <w:rsid w:val="00951149"/>
    <w:rsid w:val="00960EDB"/>
    <w:rsid w:val="009622DB"/>
    <w:rsid w:val="0096394B"/>
    <w:rsid w:val="009664BC"/>
    <w:rsid w:val="00980F02"/>
    <w:rsid w:val="00991B77"/>
    <w:rsid w:val="00997523"/>
    <w:rsid w:val="009A0C5D"/>
    <w:rsid w:val="009C4672"/>
    <w:rsid w:val="009C491B"/>
    <w:rsid w:val="009D0911"/>
    <w:rsid w:val="009D24F8"/>
    <w:rsid w:val="009D688C"/>
    <w:rsid w:val="009E6765"/>
    <w:rsid w:val="009F7A36"/>
    <w:rsid w:val="00A249C2"/>
    <w:rsid w:val="00A24FAB"/>
    <w:rsid w:val="00A301E7"/>
    <w:rsid w:val="00A42E69"/>
    <w:rsid w:val="00A45CA7"/>
    <w:rsid w:val="00A51415"/>
    <w:rsid w:val="00A6014E"/>
    <w:rsid w:val="00A60356"/>
    <w:rsid w:val="00A76CFB"/>
    <w:rsid w:val="00A81DF1"/>
    <w:rsid w:val="00A90EF3"/>
    <w:rsid w:val="00AA7717"/>
    <w:rsid w:val="00AB131E"/>
    <w:rsid w:val="00AB478B"/>
    <w:rsid w:val="00AB644F"/>
    <w:rsid w:val="00AC3F5E"/>
    <w:rsid w:val="00AE0729"/>
    <w:rsid w:val="00AE7ACF"/>
    <w:rsid w:val="00AF4988"/>
    <w:rsid w:val="00AF5675"/>
    <w:rsid w:val="00AF5DE3"/>
    <w:rsid w:val="00B06409"/>
    <w:rsid w:val="00B17D66"/>
    <w:rsid w:val="00B35D3A"/>
    <w:rsid w:val="00B422F1"/>
    <w:rsid w:val="00B640E8"/>
    <w:rsid w:val="00B71531"/>
    <w:rsid w:val="00B7456C"/>
    <w:rsid w:val="00B84131"/>
    <w:rsid w:val="00B8630E"/>
    <w:rsid w:val="00B931F4"/>
    <w:rsid w:val="00B95573"/>
    <w:rsid w:val="00B96395"/>
    <w:rsid w:val="00BA2AF8"/>
    <w:rsid w:val="00BB2650"/>
    <w:rsid w:val="00BB5BDC"/>
    <w:rsid w:val="00BB7B76"/>
    <w:rsid w:val="00BD233D"/>
    <w:rsid w:val="00BD41DF"/>
    <w:rsid w:val="00BF4EF0"/>
    <w:rsid w:val="00C00144"/>
    <w:rsid w:val="00C02E44"/>
    <w:rsid w:val="00C062E2"/>
    <w:rsid w:val="00C147D2"/>
    <w:rsid w:val="00C2075F"/>
    <w:rsid w:val="00C23799"/>
    <w:rsid w:val="00C274C9"/>
    <w:rsid w:val="00C31E02"/>
    <w:rsid w:val="00C52336"/>
    <w:rsid w:val="00C54291"/>
    <w:rsid w:val="00C672C3"/>
    <w:rsid w:val="00C712B2"/>
    <w:rsid w:val="00C96BEE"/>
    <w:rsid w:val="00C97FED"/>
    <w:rsid w:val="00CA1DBB"/>
    <w:rsid w:val="00CA2622"/>
    <w:rsid w:val="00CA7F2C"/>
    <w:rsid w:val="00CA7FF8"/>
    <w:rsid w:val="00CB5DE7"/>
    <w:rsid w:val="00CC068D"/>
    <w:rsid w:val="00CC4922"/>
    <w:rsid w:val="00CD1FF6"/>
    <w:rsid w:val="00CD779C"/>
    <w:rsid w:val="00CE25C7"/>
    <w:rsid w:val="00CE3335"/>
    <w:rsid w:val="00CE4849"/>
    <w:rsid w:val="00CE5C8E"/>
    <w:rsid w:val="00CE5F49"/>
    <w:rsid w:val="00D01626"/>
    <w:rsid w:val="00D06E69"/>
    <w:rsid w:val="00D3357D"/>
    <w:rsid w:val="00D33A4D"/>
    <w:rsid w:val="00D33F76"/>
    <w:rsid w:val="00D41F5E"/>
    <w:rsid w:val="00D43DC0"/>
    <w:rsid w:val="00D54E56"/>
    <w:rsid w:val="00D56F11"/>
    <w:rsid w:val="00D56F1C"/>
    <w:rsid w:val="00D6407D"/>
    <w:rsid w:val="00D93E78"/>
    <w:rsid w:val="00DC6E91"/>
    <w:rsid w:val="00DC7514"/>
    <w:rsid w:val="00DD3845"/>
    <w:rsid w:val="00DE2AE2"/>
    <w:rsid w:val="00E06E9C"/>
    <w:rsid w:val="00E1687A"/>
    <w:rsid w:val="00E20A2E"/>
    <w:rsid w:val="00E277DE"/>
    <w:rsid w:val="00E27EE9"/>
    <w:rsid w:val="00E3239D"/>
    <w:rsid w:val="00E32C95"/>
    <w:rsid w:val="00E3439B"/>
    <w:rsid w:val="00E42C5F"/>
    <w:rsid w:val="00E65A1B"/>
    <w:rsid w:val="00E72F1F"/>
    <w:rsid w:val="00E934AB"/>
    <w:rsid w:val="00EA06AC"/>
    <w:rsid w:val="00EA08BF"/>
    <w:rsid w:val="00EA24FB"/>
    <w:rsid w:val="00EA745F"/>
    <w:rsid w:val="00EB0760"/>
    <w:rsid w:val="00EB3204"/>
    <w:rsid w:val="00EB50BA"/>
    <w:rsid w:val="00EC3D33"/>
    <w:rsid w:val="00ED302A"/>
    <w:rsid w:val="00ED3A42"/>
    <w:rsid w:val="00EE02BC"/>
    <w:rsid w:val="00EE6970"/>
    <w:rsid w:val="00EE6A18"/>
    <w:rsid w:val="00EF38D0"/>
    <w:rsid w:val="00EF3DDF"/>
    <w:rsid w:val="00EF4A8C"/>
    <w:rsid w:val="00F23F3C"/>
    <w:rsid w:val="00F2678C"/>
    <w:rsid w:val="00F27B38"/>
    <w:rsid w:val="00F40278"/>
    <w:rsid w:val="00F41832"/>
    <w:rsid w:val="00F56988"/>
    <w:rsid w:val="00F620FB"/>
    <w:rsid w:val="00F624BD"/>
    <w:rsid w:val="00F6571F"/>
    <w:rsid w:val="00F8687E"/>
    <w:rsid w:val="00F87EB8"/>
    <w:rsid w:val="00F93331"/>
    <w:rsid w:val="00F95549"/>
    <w:rsid w:val="00FA1E24"/>
    <w:rsid w:val="00FA24FB"/>
    <w:rsid w:val="00FA632B"/>
    <w:rsid w:val="00FB38EA"/>
    <w:rsid w:val="00FB41F2"/>
    <w:rsid w:val="00FB5E0F"/>
    <w:rsid w:val="00FB6AFF"/>
    <w:rsid w:val="00FC4D8F"/>
    <w:rsid w:val="00FD06D3"/>
    <w:rsid w:val="00FD0B80"/>
    <w:rsid w:val="00FE3157"/>
    <w:rsid w:val="00FE6865"/>
    <w:rsid w:val="00FE6993"/>
    <w:rsid w:val="06CB0015"/>
    <w:rsid w:val="3F9A734B"/>
    <w:rsid w:val="4AEB0F9A"/>
    <w:rsid w:val="54E66FB1"/>
    <w:rsid w:val="5EB65015"/>
    <w:rsid w:val="7248196F"/>
    <w:rsid w:val="760F39BF"/>
    <w:rsid w:val="7AA52729"/>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119"/>
        <o:r id="V:Rule2" type="connector" idref="#AutoShape 1120"/>
        <o:r id="V:Rule3" type="connector" idref="#AutoShape 1121"/>
        <o:r id="V:Rule4" type="connector" idref="#AutoShape 1122"/>
        <o:r id="V:Rule5" type="connector" idref="#AutoShape 1123"/>
        <o:r id="V:Rule6" type="connector" idref="#AutoShape 1125"/>
        <o:r id="V:Rule7" type="connector" idref="#AutoShape 1127"/>
        <o:r id="V:Rule8" type="connector" idref="#AutoShape 1129"/>
        <o:r id="V:Rule9" type="connector" idref="#AutoShape 1136"/>
        <o:r id="V:Rule10" type="connector" idref="#AutoShape 1137"/>
        <o:r id="V:Rule11" type="connector" idref="#AutoShape 1139"/>
        <o:r id="V:Rule12" type="connector" idref="#AutoShape 1140"/>
        <o:r id="V:Rule13" type="connector" idref="#AutoShape 1143"/>
        <o:r id="V:Rule14" type="connector" idref="#AutoShape 1144"/>
        <o:r id="V:Rule15" type="connector" idref="#AutoShape 1145"/>
        <o:r id="V:Rule16" type="connector" idref="#AutoShape 114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99"/>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274</Words>
  <Characters>1562</Characters>
  <Lines>13</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2020-03-17T07:54:00Z</dcterms:created>
  <dc:creator>裴建君2</dc:creator>
  <cp:lastModifiedBy>蒙卫丹/资本项目管理处/南宁/PBC</cp:lastModifiedBy>
  <cp:lastPrinted>2017-11-24T00:22:00Z</cp:lastPrinted>
  <dcterms:modified xsi:type="dcterms:W3CDTF">2020-12-24T03:22:54Z</dcterms:modified>
  <dc:title>编号：57007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