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Default ContentType="image/jpeg" Extension="jpeg"/>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ind w:right="300"/>
        <w:rPr>
          <w:rFonts w:ascii="Times New Roman" w:hAnsi="Times New Roman" w:eastAsia="黑体" w:cs="Times New Roman"/>
          <w:sz w:val="48"/>
          <w:szCs w:val="48"/>
        </w:rPr>
      </w:pPr>
      <w:r>
        <w:rPr>
          <w:rFonts w:ascii="Times New Roman" w:hAnsi="Times New Roman" w:eastAsia="黑体" w:cs="Times New Roman"/>
          <w:sz w:val="48"/>
          <w:szCs w:val="48"/>
        </w:rPr>
        <w:t xml:space="preserve">编号：57015               </w:t>
      </w:r>
      <w:r>
        <w:rPr>
          <w:rFonts w:ascii="Times New Roman" w:hAnsi="Times New Roman" w:eastAsia="黑体" w:cs="Times New Roman"/>
          <w:kern w:val="2"/>
          <w:sz w:val="48"/>
          <w:szCs w:val="48"/>
          <w:lang w:val="en-US" w:eastAsia="zh-CN" w:bidi="ar-SA"/>
        </w:rPr>
        <w:pict>
          <v:shape id="图片 1" o:spid="_x0000_s1026" type="#_x0000_t75" style="height:69.75pt;width:87.05pt;rotation:0f;" o:ole="f" fillcolor="#FFFFFF" filled="f" o:preferrelative="t" stroked="f" coordorigin="0,0" coordsize="21600,21600">
            <v:fill on="f" color2="#FFFFFF" focus="0%"/>
            <v:imagedata gain="65536f" blacklevel="0f" gamma="0" o:title="" r:id="rId7"/>
            <o:lock v:ext="edit" position="f" selection="f" grouping="f" rotation="f" cropping="f" text="f" aspectratio="t"/>
            <w10:wrap type="none"/>
            <w10:anchorlock/>
          </v:shape>
        </w:pict>
      </w: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52"/>
          <w:szCs w:val="52"/>
        </w:rPr>
      </w:pP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“金融机构外汇与人民币资产不匹配的购汇、结汇审批”</w:t>
      </w: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行政审批服务指南</w: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both"/>
        <w:rPr>
          <w:rFonts w:ascii="Times New Roman" w:hAnsi="Times New Roman" w:eastAsia="仿宋_GB2312" w:cs="Times New Roman"/>
          <w:sz w:val="30"/>
          <w:szCs w:val="30"/>
        </w:rPr>
      </w:pPr>
    </w:p>
    <w:p>
      <w:pPr>
        <w:ind w:right="300"/>
        <w:jc w:val="center"/>
        <w:rPr>
          <w:rFonts w:hint="eastAsia" w:ascii="宋体" w:hAnsi="宋体" w:eastAsia="宋体" w:cs="宋体"/>
          <w:b w:val="0"/>
          <w:bCs w:val="0"/>
          <w:color w:val="auto"/>
          <w:sz w:val="40"/>
          <w:szCs w:val="40"/>
          <w:lang w:val="en-US" w:eastAsia="zh-CN"/>
        </w:rPr>
      </w:pPr>
      <w:r>
        <w:rPr>
          <w:rFonts w:hint="eastAsia" w:ascii="宋体" w:hAnsi="宋体" w:eastAsia="宋体" w:cs="宋体"/>
          <w:b w:val="0"/>
          <w:bCs w:val="0"/>
          <w:color w:val="auto"/>
          <w:sz w:val="40"/>
          <w:szCs w:val="40"/>
          <w:lang w:val="en-US" w:eastAsia="zh-CN"/>
        </w:rPr>
        <w:t>国家外汇管理局广西壮族自治区分局</w:t>
      </w:r>
    </w:p>
    <w:p>
      <w:pPr>
        <w:pStyle w:val="27"/>
        <w:widowControl w:val="0"/>
        <w:wordWrap/>
        <w:autoSpaceDE w:val="0"/>
        <w:autoSpaceDN w:val="0"/>
        <w:adjustRightInd/>
        <w:snapToGrid/>
        <w:spacing w:before="0" w:after="0" w:line="560" w:lineRule="exact"/>
        <w:ind w:left="0" w:leftChars="0" w:right="0" w:firstLine="0" w:firstLineChars="0"/>
        <w:jc w:val="center"/>
        <w:textAlignment w:val="auto"/>
        <w:outlineLvl w:val="1"/>
        <w:rPr>
          <w:rFonts w:hint="eastAsia" w:ascii="宋体" w:hAnsi="宋体" w:eastAsia="宋体" w:cs="宋体"/>
          <w:b w:val="0"/>
          <w:bCs w:val="0"/>
          <w:color w:val="auto"/>
          <w:sz w:val="40"/>
          <w:szCs w:val="40"/>
          <w:lang w:val="en-US" w:eastAsia="zh-CN"/>
        </w:rPr>
      </w:pPr>
    </w:p>
    <w:p>
      <w:pPr>
        <w:ind w:right="300"/>
        <w:jc w:val="center"/>
        <w:rPr>
          <w:rFonts w:ascii="Times New Roman" w:hAnsi="Times New Roman" w:eastAsia="仿宋_GB2312" w:cs="Times New Roman"/>
          <w:sz w:val="30"/>
          <w:szCs w:val="30"/>
        </w:rPr>
      </w:pPr>
      <w:r>
        <w:rPr>
          <w:rFonts w:hint="eastAsia" w:ascii="宋体" w:hAnsi="宋体" w:eastAsia="宋体" w:cs="宋体"/>
          <w:b w:val="0"/>
          <w:bCs w:val="0"/>
          <w:color w:val="auto"/>
          <w:sz w:val="40"/>
          <w:szCs w:val="40"/>
          <w:lang w:val="en-US" w:eastAsia="zh-CN"/>
        </w:rPr>
        <w:t>2020年12月</w:t>
      </w:r>
    </w:p>
    <w:p>
      <w:pPr>
        <w:ind w:right="300"/>
        <w:jc w:val="left"/>
        <w:rPr>
          <w:rFonts w:ascii="Times New Roman" w:hAnsi="Times New Roman" w:eastAsia="黑体" w:cs="Times New Roman"/>
          <w:sz w:val="48"/>
          <w:szCs w:val="48"/>
        </w:rPr>
        <w:sectPr>
          <w:footerReference r:id="rId4" w:type="default"/>
          <w:pgSz w:w="11906" w:h="16838"/>
          <w:pgMar w:top="1440" w:right="1800" w:bottom="1440" w:left="1800" w:header="851" w:footer="992" w:gutter="0"/>
          <w:cols w:space="720" w:num="1"/>
          <w:titlePg/>
          <w:docGrid w:type="lines" w:linePitch="312" w:charSpace="0"/>
        </w:sectPr>
      </w:pPr>
    </w:p>
    <w:p>
      <w:pPr>
        <w:widowControl w:val="0"/>
        <w:wordWrap/>
        <w:adjustRightInd w:val="0"/>
        <w:snapToGrid w:val="0"/>
        <w:spacing w:line="360" w:lineRule="auto"/>
        <w:ind w:left="0" w:leftChars="0" w:right="0" w:firstLine="600" w:firstLineChars="200"/>
        <w:jc w:val="left"/>
        <w:textAlignment w:val="auto"/>
        <w:outlineLvl w:val="9"/>
        <w:rPr>
          <w:rFonts w:ascii="Times New Roman" w:hAnsi="Times New Roman" w:eastAsia="黑体" w:cs="Times New Roman"/>
          <w:sz w:val="30"/>
          <w:szCs w:val="30"/>
        </w:rPr>
      </w:pPr>
      <w:r>
        <w:rPr>
          <w:rFonts w:ascii="Times New Roman" w:hAnsi="Times New Roman" w:eastAsia="黑体" w:cs="Times New Roman"/>
          <w:sz w:val="30"/>
          <w:szCs w:val="30"/>
        </w:rPr>
        <w:t>一、项目信息</w:t>
      </w:r>
    </w:p>
    <w:p>
      <w:pPr>
        <w:adjustRightInd w:val="0"/>
        <w:snapToGrid w:val="0"/>
        <w:spacing w:line="360" w:lineRule="auto"/>
        <w:ind w:firstLine="585"/>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项目名称：金融机构外汇与人民币资产不匹配的购汇、结汇审批；</w:t>
      </w:r>
    </w:p>
    <w:p>
      <w:pPr>
        <w:adjustRightInd w:val="0"/>
        <w:snapToGrid w:val="0"/>
        <w:spacing w:line="360" w:lineRule="auto"/>
        <w:ind w:firstLine="585"/>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项目编号：57015；</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审批类别：行政许可。</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二、适用范围</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本指南适用于“银行资本金（或营运资金）本外币转换核准”的申请和办理。</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三、设定依据</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《中华人民共和国外汇管理条例》（国务院令第532号）第二十六条：“金融机构的资本金、利润以及因本外币资产不匹配需要进行人民币与外币间转换的，应当经外汇管理机关批准”。</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四、</w:t>
      </w:r>
      <w:r>
        <w:rPr>
          <w:rFonts w:ascii="Times New Roman" w:hAnsi="黑体" w:eastAsia="黑体" w:cs="Times New Roman"/>
          <w:sz w:val="30"/>
          <w:szCs w:val="30"/>
        </w:rPr>
        <w:t>非银行金融机构（不含保险公司）资本金（或营运资金）本外币转换管理</w:t>
      </w: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 xml:space="preserve">    （一）办理依据</w:t>
      </w:r>
    </w:p>
    <w:p>
      <w:pPr>
        <w:pStyle w:val="24"/>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1.《中华人民共和国外汇管理条例》（国务院令第532号）。</w:t>
      </w:r>
    </w:p>
    <w:p>
      <w:pPr>
        <w:pStyle w:val="24"/>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2.《国家外汇管理局关于印发〈银行办理结售汇业务管理办法实施细则〉的通知》（汇发〔2014〕53号）。</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（二）受理机构</w:t>
      </w:r>
    </w:p>
    <w:p>
      <w:pPr>
        <w:pStyle w:val="24"/>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申请人所在地外汇分局。</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（三）决定机构</w:t>
      </w:r>
    </w:p>
    <w:p>
      <w:pPr>
        <w:pStyle w:val="24"/>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申请人所在地外汇分局。</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（四）审批数量</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无数量限制。</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（五）办事条件</w:t>
      </w:r>
    </w:p>
    <w:p>
      <w:pPr>
        <w:pStyle w:val="24"/>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1.非银行金融机构申请本外币转换金额应与其开展的外汇业务规模相匹配。</w:t>
      </w:r>
    </w:p>
    <w:p>
      <w:pPr>
        <w:pStyle w:val="24"/>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2.非银行金融机构申请本外币转换原则上每年不得超过一次。</w:t>
      </w:r>
    </w:p>
    <w:p>
      <w:pPr>
        <w:pStyle w:val="24"/>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3.禁止性要求：如符合上述条件，不存在不予许可的情况。</w:t>
      </w:r>
    </w:p>
    <w:p>
      <w:pPr>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（六）申请材料</w:t>
      </w:r>
    </w:p>
    <w:tbl>
      <w:tblPr>
        <w:tblStyle w:val="17"/>
        <w:tblW w:w="86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
        <w:gridCol w:w="3595"/>
        <w:gridCol w:w="993"/>
        <w:gridCol w:w="567"/>
        <w:gridCol w:w="992"/>
        <w:gridCol w:w="567"/>
        <w:gridCol w:w="13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4"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3595"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3"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567"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992"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567"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1368"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4"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3595"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书面申请</w:t>
            </w:r>
          </w:p>
        </w:tc>
        <w:tc>
          <w:tcPr>
            <w:tcW w:w="993"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加盖公章的原件</w:t>
            </w:r>
          </w:p>
        </w:tc>
        <w:tc>
          <w:tcPr>
            <w:tcW w:w="567"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992"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p>
        </w:tc>
        <w:tc>
          <w:tcPr>
            <w:tcW w:w="1368"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4"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3595"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人民币和外币资产负债表</w:t>
            </w:r>
          </w:p>
        </w:tc>
        <w:tc>
          <w:tcPr>
            <w:tcW w:w="993"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67"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992"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p>
        </w:tc>
        <w:tc>
          <w:tcPr>
            <w:tcW w:w="1368"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4"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3595"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相关交易需经有关主管部门批准的，应提供相应批准文件</w:t>
            </w:r>
          </w:p>
        </w:tc>
        <w:tc>
          <w:tcPr>
            <w:tcW w:w="993"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67"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992"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p>
        </w:tc>
        <w:tc>
          <w:tcPr>
            <w:tcW w:w="1368"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验原件，留存加盖公章的复印件</w:t>
            </w:r>
          </w:p>
        </w:tc>
      </w:tr>
    </w:tbl>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（七）申请接受</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申请人可通过所在地外汇局业务窗口提交材料。</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（八）基本办理流程</w:t>
      </w:r>
    </w:p>
    <w:p>
      <w:pPr>
        <w:tabs>
          <w:tab w:val="left" w:pos="615"/>
        </w:tabs>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1.申请人提交申请；</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2.决定是否予以受理；</w:t>
      </w:r>
    </w:p>
    <w:p>
      <w:pPr>
        <w:adjustRightInd w:val="0"/>
        <w:snapToGrid w:val="0"/>
        <w:spacing w:line="360" w:lineRule="auto"/>
        <w:ind w:firstLine="600"/>
        <w:jc w:val="left"/>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3.不予受理的，出具不予受理通知书；</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4.材料不全或不符合法定形式的，一次性告知补正材料，并出具《行政审批补正材料通知书》；根据申请材料及补正情况，予以受理的，出具受理通知书，按程序进行审核；</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5.不予许可的，出具不予许可通知书；许可的，向申请人出具相关业务办理凭证（包括业务登记凭证、核准文件、备案确认等）。</w:t>
      </w:r>
    </w:p>
    <w:p>
      <w:pPr>
        <w:adjustRightInd w:val="0"/>
        <w:snapToGrid w:val="0"/>
        <w:spacing w:line="360" w:lineRule="auto"/>
        <w:ind w:firstLine="600"/>
        <w:jc w:val="left"/>
        <w:rPr>
          <w:rFonts w:ascii="Times New Roman" w:hAnsi="Times New Roman" w:eastAsia="黑体" w:cs="Times New Roman"/>
          <w:sz w:val="30"/>
          <w:szCs w:val="30"/>
        </w:rPr>
      </w:pPr>
      <w:r>
        <w:rPr>
          <w:rFonts w:ascii="Times New Roman" w:hAnsi="Times New Roman" w:eastAsia="黑体" w:cs="Times New Roman"/>
          <w:sz w:val="30"/>
          <w:szCs w:val="30"/>
        </w:rPr>
        <w:t>（九）办理方式</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一般程序：申请、受理、审核、办理备案、出具相关业务批准文件。</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（十）审批时限</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申请人提交材料齐备之日起20个工作日。</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（十一）审批收费依据及标准</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不收费。</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（十二）审批结果</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出具相关业务批准文件。</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（十三）结果送达</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通过现场告知或电话通知申请人，并通过现场领取或邮寄方式将结果送达。</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（十四）申请人权利和义务</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申请人有权依法提出行政审批申请，依法进行投诉、举报、复议、诉讼等。申请人有义务保证申请材料完整、真实、准确，获批后合法合规办理相关业务，重要信息发生变更按规定及时报备，全面、及时、准确报送相关数据信息等。</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黑体" w:cs="Times New Roman"/>
          <w:sz w:val="30"/>
          <w:szCs w:val="30"/>
        </w:rPr>
        <w:t>（十五）咨询途径、监督和投诉、办公地址和时间、公开查询方式</w:t>
      </w:r>
    </w:p>
    <w:p>
      <w:pPr>
        <w:adjustRightInd w:val="0"/>
        <w:snapToGrid w:val="0"/>
        <w:spacing w:line="360" w:lineRule="auto"/>
        <w:ind w:firstLine="601"/>
        <w:rPr>
          <w:rFonts w:hint="eastAsia" w:ascii="仿宋_GB2312" w:hAnsi="仿宋_GB2312" w:eastAsia="仿宋_GB2312" w:cs="仿宋_GB2312"/>
          <w:b/>
          <w:bCs/>
          <w:color w:val="auto"/>
          <w:sz w:val="30"/>
          <w:szCs w:val="30"/>
          <w:lang w:val="en-US" w:eastAsia="zh-CN"/>
        </w:rPr>
      </w:pPr>
      <w:r>
        <w:rPr>
          <w:rFonts w:hint="eastAsia" w:ascii="仿宋_GB2312" w:hAnsi="仿宋_GB2312" w:eastAsia="仿宋_GB2312" w:cs="仿宋_GB2312"/>
          <w:b/>
          <w:bCs/>
          <w:color w:val="auto"/>
          <w:sz w:val="30"/>
          <w:szCs w:val="30"/>
          <w:lang w:val="en-US" w:eastAsia="zh-CN"/>
        </w:rPr>
        <w:t>1.国家外汇管理局广西壮族自治区分局</w:t>
      </w:r>
    </w:p>
    <w:p>
      <w:pPr>
        <w:adjustRightInd w:val="0"/>
        <w:snapToGrid w:val="0"/>
        <w:spacing w:line="360" w:lineRule="auto"/>
        <w:ind w:firstLine="601"/>
        <w:rPr>
          <w:rFonts w:hint="eastAsia" w:ascii="仿宋_GB2312" w:hAnsi="仿宋_GB2312" w:eastAsia="仿宋_GB2312" w:cs="仿宋_GB2312"/>
          <w:b/>
          <w:bCs/>
          <w:color w:val="auto"/>
          <w:sz w:val="30"/>
          <w:szCs w:val="30"/>
          <w:lang w:val="en-US" w:eastAsia="zh-CN"/>
        </w:rPr>
      </w:pPr>
      <w:r>
        <w:rPr>
          <w:rFonts w:hint="eastAsia" w:ascii="仿宋_GB2312" w:hAnsi="仿宋_GB2312" w:eastAsia="仿宋_GB2312" w:cs="仿宋_GB2312"/>
          <w:b/>
          <w:bCs/>
          <w:color w:val="auto"/>
          <w:sz w:val="30"/>
          <w:szCs w:val="30"/>
          <w:lang w:val="en-US" w:eastAsia="zh-CN"/>
        </w:rPr>
        <w:t>（1）咨询途径</w:t>
      </w:r>
    </w:p>
    <w:p>
      <w:pPr>
        <w:adjustRightInd w:val="0"/>
        <w:snapToGrid w:val="0"/>
        <w:spacing w:line="360" w:lineRule="auto"/>
        <w:ind w:firstLine="601"/>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现场咨询：广西南宁市青秀区滨湖路58号中国人民银行南宁中心支行八楼803室。</w:t>
      </w:r>
    </w:p>
    <w:p>
      <w:pPr>
        <w:adjustRightInd w:val="0"/>
        <w:snapToGrid w:val="0"/>
        <w:spacing w:line="360" w:lineRule="auto"/>
        <w:ind w:firstLine="601"/>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电话咨询：0771-6111213。</w:t>
      </w:r>
    </w:p>
    <w:p>
      <w:pPr>
        <w:adjustRightInd w:val="0"/>
        <w:snapToGrid w:val="0"/>
        <w:spacing w:line="360" w:lineRule="auto"/>
        <w:ind w:firstLine="601"/>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lang w:val="en-US" w:eastAsia="zh-CN"/>
        </w:rPr>
        <w:t>网站咨询：</w:t>
      </w:r>
      <w:r>
        <w:rPr>
          <w:rFonts w:hint="eastAsia" w:ascii="仿宋_GB2312" w:hAnsi="仿宋_GB2312" w:eastAsia="仿宋_GB2312" w:cs="仿宋_GB2312"/>
          <w:color w:val="auto"/>
          <w:sz w:val="30"/>
          <w:szCs w:val="30"/>
          <w:lang w:eastAsia="zh-CN"/>
        </w:rPr>
        <w:t>国家外汇管理局广西壮族自治区分局官方互联网站（www.safe.gov.cn</w:t>
      </w:r>
      <w:r>
        <w:rPr>
          <w:rFonts w:hint="eastAsia" w:ascii="仿宋_GB2312" w:hAnsi="仿宋_GB2312" w:eastAsia="仿宋_GB2312" w:cs="仿宋_GB2312"/>
          <w:color w:val="auto"/>
          <w:sz w:val="30"/>
          <w:szCs w:val="30"/>
          <w:lang w:val="en-US" w:eastAsia="zh-CN"/>
        </w:rPr>
        <w:t>/guangxi/）</w:t>
      </w:r>
      <w:r>
        <w:rPr>
          <w:rFonts w:hint="eastAsia" w:ascii="仿宋_GB2312" w:hAnsi="仿宋_GB2312" w:eastAsia="仿宋_GB2312" w:cs="仿宋_GB2312"/>
          <w:color w:val="auto"/>
          <w:sz w:val="30"/>
          <w:szCs w:val="30"/>
          <w:lang w:val="zh-CN" w:eastAsia="zh-CN"/>
        </w:rPr>
        <w:t>咨询反馈栏目。</w:t>
      </w:r>
    </w:p>
    <w:p>
      <w:pPr>
        <w:adjustRightInd w:val="0"/>
        <w:snapToGrid w:val="0"/>
        <w:spacing w:line="360" w:lineRule="auto"/>
        <w:ind w:firstLine="601"/>
        <w:rPr>
          <w:rFonts w:hint="eastAsia" w:ascii="仿宋_GB2312" w:hAnsi="仿宋_GB2312" w:eastAsia="仿宋_GB2312" w:cs="仿宋_GB2312"/>
          <w:b/>
          <w:bCs/>
          <w:color w:val="auto"/>
          <w:sz w:val="30"/>
          <w:szCs w:val="30"/>
          <w:lang w:val="en-US" w:eastAsia="zh-CN"/>
        </w:rPr>
      </w:pPr>
      <w:r>
        <w:rPr>
          <w:rFonts w:hint="eastAsia" w:ascii="仿宋_GB2312" w:hAnsi="仿宋_GB2312" w:eastAsia="仿宋_GB2312" w:cs="仿宋_GB2312"/>
          <w:b/>
          <w:bCs/>
          <w:color w:val="auto"/>
          <w:sz w:val="30"/>
          <w:szCs w:val="30"/>
          <w:lang w:val="en-US" w:eastAsia="zh-CN"/>
        </w:rPr>
        <w:t>（2）监督和投诉途径</w:t>
      </w:r>
    </w:p>
    <w:p>
      <w:pPr>
        <w:adjustRightInd w:val="0"/>
        <w:snapToGrid w:val="0"/>
        <w:spacing w:line="360" w:lineRule="auto"/>
        <w:ind w:firstLine="601"/>
        <w:rPr>
          <w:rFonts w:hint="eastAsia" w:ascii="仿宋_GB2312" w:hAnsi="仿宋_GB2312" w:eastAsia="仿宋_GB2312" w:cs="仿宋_GB2312"/>
          <w:color w:val="auto"/>
          <w:sz w:val="30"/>
          <w:szCs w:val="30"/>
          <w:lang w:val="zh-CN" w:eastAsia="zh-CN"/>
        </w:rPr>
      </w:pPr>
      <w:r>
        <w:rPr>
          <w:rFonts w:hint="eastAsia" w:ascii="仿宋_GB2312" w:hAnsi="仿宋_GB2312" w:eastAsia="仿宋_GB2312" w:cs="仿宋_GB2312"/>
          <w:color w:val="auto"/>
          <w:sz w:val="30"/>
          <w:szCs w:val="30"/>
          <w:lang w:val="zh-CN" w:eastAsia="zh-CN"/>
        </w:rPr>
        <w:t>电话投诉：0771-6111357。</w:t>
      </w:r>
    </w:p>
    <w:p>
      <w:pPr>
        <w:adjustRightInd w:val="0"/>
        <w:snapToGrid w:val="0"/>
        <w:spacing w:line="360" w:lineRule="auto"/>
        <w:ind w:firstLine="601"/>
        <w:rPr>
          <w:rFonts w:hint="eastAsia" w:ascii="仿宋_GB2312" w:hAnsi="仿宋_GB2312" w:eastAsia="仿宋_GB2312" w:cs="仿宋_GB2312"/>
          <w:color w:val="auto"/>
          <w:sz w:val="30"/>
          <w:szCs w:val="30"/>
          <w:lang w:val="zh-CN" w:eastAsia="zh-CN"/>
        </w:rPr>
      </w:pPr>
      <w:r>
        <w:rPr>
          <w:rFonts w:hint="eastAsia" w:ascii="仿宋_GB2312" w:hAnsi="仿宋_GB2312" w:eastAsia="仿宋_GB2312" w:cs="仿宋_GB2312"/>
          <w:color w:val="auto"/>
          <w:sz w:val="30"/>
          <w:szCs w:val="30"/>
          <w:lang w:val="zh-CN" w:eastAsia="zh-CN"/>
        </w:rPr>
        <w:t>电子邮箱投诉：gxwgwg@163.com。</w:t>
      </w:r>
    </w:p>
    <w:p>
      <w:pPr>
        <w:adjustRightInd w:val="0"/>
        <w:snapToGrid w:val="0"/>
        <w:spacing w:line="360" w:lineRule="auto"/>
        <w:ind w:firstLine="601"/>
        <w:rPr>
          <w:rFonts w:hint="eastAsia" w:ascii="仿宋_GB2312" w:hAnsi="仿宋_GB2312" w:eastAsia="仿宋_GB2312" w:cs="仿宋_GB2312"/>
          <w:color w:val="auto"/>
          <w:sz w:val="30"/>
          <w:szCs w:val="30"/>
          <w:lang w:val="zh-CN" w:eastAsia="zh-CN"/>
        </w:rPr>
      </w:pPr>
      <w:r>
        <w:rPr>
          <w:rFonts w:hint="eastAsia" w:ascii="仿宋_GB2312" w:hAnsi="仿宋_GB2312" w:eastAsia="仿宋_GB2312" w:cs="仿宋_GB2312"/>
          <w:color w:val="auto"/>
          <w:sz w:val="30"/>
          <w:szCs w:val="30"/>
          <w:lang w:val="zh-CN" w:eastAsia="zh-CN"/>
        </w:rPr>
        <w:t>网站投诉：国家外汇管理局广西壮族自治区分局官方互联网站（</w:t>
      </w:r>
      <w:r>
        <w:rPr>
          <w:rFonts w:hint="eastAsia" w:ascii="仿宋_GB2312" w:hAnsi="仿宋_GB2312" w:eastAsia="仿宋_GB2312" w:cs="仿宋_GB2312"/>
          <w:color w:val="auto"/>
          <w:sz w:val="30"/>
          <w:szCs w:val="30"/>
          <w:lang w:val="zh-CN" w:eastAsia="zh-CN"/>
        </w:rPr>
        <w:fldChar w:fldCharType="begin"/>
      </w:r>
      <w:r>
        <w:rPr>
          <w:rFonts w:hint="eastAsia" w:ascii="仿宋_GB2312" w:hAnsi="仿宋_GB2312" w:eastAsia="仿宋_GB2312" w:cs="仿宋_GB2312"/>
          <w:color w:val="auto"/>
          <w:sz w:val="30"/>
          <w:szCs w:val="30"/>
          <w:lang w:val="zh-CN" w:eastAsia="zh-CN"/>
        </w:rPr>
        <w:instrText xml:space="preserve"> HYPERLINK "http://www.safe.gov.cn/guangxi/" </w:instrText>
      </w:r>
      <w:r>
        <w:rPr>
          <w:rFonts w:hint="eastAsia" w:ascii="仿宋_GB2312" w:hAnsi="仿宋_GB2312" w:eastAsia="仿宋_GB2312" w:cs="仿宋_GB2312"/>
          <w:color w:val="auto"/>
          <w:sz w:val="30"/>
          <w:szCs w:val="30"/>
          <w:lang w:val="zh-CN" w:eastAsia="zh-CN"/>
        </w:rPr>
        <w:fldChar w:fldCharType="separate"/>
      </w:r>
      <w:r>
        <w:rPr>
          <w:rStyle w:val="14"/>
          <w:rFonts w:hint="eastAsia" w:ascii="仿宋_GB2312" w:hAnsi="仿宋_GB2312" w:eastAsia="仿宋_GB2312" w:cs="仿宋_GB2312"/>
          <w:color w:val="auto"/>
          <w:sz w:val="30"/>
          <w:szCs w:val="30"/>
          <w:lang w:val="zh-CN" w:eastAsia="zh-CN"/>
        </w:rPr>
        <w:t>www.safe.gov.cn/guangxi/</w:t>
      </w:r>
      <w:r>
        <w:rPr>
          <w:rFonts w:hint="eastAsia" w:ascii="仿宋_GB2312" w:hAnsi="仿宋_GB2312" w:eastAsia="仿宋_GB2312" w:cs="仿宋_GB2312"/>
          <w:color w:val="auto"/>
          <w:sz w:val="30"/>
          <w:szCs w:val="30"/>
          <w:lang w:val="zh-CN" w:eastAsia="zh-CN"/>
        </w:rPr>
        <w:fldChar w:fldCharType="end"/>
      </w:r>
      <w:r>
        <w:rPr>
          <w:rFonts w:hint="eastAsia" w:ascii="仿宋_GB2312" w:hAnsi="仿宋_GB2312" w:eastAsia="仿宋_GB2312" w:cs="仿宋_GB2312"/>
          <w:color w:val="auto"/>
          <w:sz w:val="30"/>
          <w:szCs w:val="30"/>
          <w:lang w:val="zh-CN" w:eastAsia="zh-CN"/>
        </w:rPr>
        <w:t>）咨询反馈栏目。</w:t>
      </w:r>
    </w:p>
    <w:p>
      <w:pPr>
        <w:widowControl w:val="0"/>
        <w:numPr>
          <w:numId w:val="0"/>
        </w:numPr>
        <w:wordWrap/>
        <w:adjustRightInd w:val="0"/>
        <w:snapToGrid w:val="0"/>
        <w:spacing w:line="360" w:lineRule="auto"/>
        <w:ind w:left="0" w:leftChars="0" w:right="0" w:firstLine="600" w:firstLineChars="200"/>
        <w:jc w:val="both"/>
        <w:textAlignment w:val="auto"/>
        <w:outlineLvl w:val="9"/>
        <w:rPr>
          <w:rFonts w:hint="eastAsia" w:ascii="仿宋_GB2312" w:hAnsi="仿宋_GB2312" w:eastAsia="仿宋_GB2312" w:cs="仿宋_GB2312"/>
          <w:b/>
          <w:bCs/>
          <w:color w:val="auto"/>
          <w:sz w:val="30"/>
          <w:szCs w:val="30"/>
          <w:lang w:val="en-US" w:eastAsia="zh-CN"/>
        </w:rPr>
      </w:pPr>
      <w:r>
        <w:rPr>
          <w:rFonts w:hint="eastAsia" w:ascii="仿宋_GB2312" w:hAnsi="仿宋_GB2312" w:eastAsia="仿宋_GB2312" w:cs="仿宋_GB2312"/>
          <w:b/>
          <w:bCs/>
          <w:color w:val="auto"/>
          <w:sz w:val="30"/>
          <w:szCs w:val="30"/>
          <w:lang w:val="en-US" w:eastAsia="zh-CN"/>
        </w:rPr>
        <w:t>（3）办公地址和时间</w:t>
      </w:r>
    </w:p>
    <w:p>
      <w:pPr>
        <w:widowControl w:val="0"/>
        <w:wordWrap/>
        <w:adjustRightInd w:val="0"/>
        <w:snapToGrid w:val="0"/>
        <w:spacing w:line="360" w:lineRule="auto"/>
        <w:ind w:left="0" w:leftChars="0" w:right="0" w:firstLine="600" w:firstLineChars="200"/>
        <w:jc w:val="both"/>
        <w:textAlignment w:val="auto"/>
        <w:outlineLvl w:val="9"/>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lang w:val="en-US" w:eastAsia="zh-CN"/>
        </w:rPr>
        <w:t>办公</w:t>
      </w:r>
      <w:r>
        <w:rPr>
          <w:rFonts w:hint="eastAsia" w:ascii="仿宋_GB2312" w:hAnsi="仿宋_GB2312" w:eastAsia="仿宋_GB2312" w:cs="仿宋_GB2312"/>
          <w:color w:val="auto"/>
          <w:sz w:val="30"/>
          <w:szCs w:val="30"/>
        </w:rPr>
        <w:t>地址：广西南宁市青秀区滨湖路58号中国人民银行南宁中心支行</w:t>
      </w:r>
      <w:r>
        <w:rPr>
          <w:rFonts w:hint="eastAsia" w:ascii="仿宋_GB2312" w:hAnsi="仿宋_GB2312" w:eastAsia="仿宋_GB2312" w:cs="仿宋_GB2312"/>
          <w:color w:val="auto"/>
          <w:sz w:val="30"/>
          <w:szCs w:val="30"/>
          <w:lang w:eastAsia="zh-CN"/>
        </w:rPr>
        <w:t>八</w:t>
      </w:r>
      <w:r>
        <w:rPr>
          <w:rFonts w:hint="eastAsia" w:ascii="仿宋_GB2312" w:hAnsi="仿宋_GB2312" w:eastAsia="仿宋_GB2312" w:cs="仿宋_GB2312"/>
          <w:color w:val="auto"/>
          <w:sz w:val="30"/>
          <w:szCs w:val="30"/>
        </w:rPr>
        <w:t>楼</w:t>
      </w:r>
      <w:r>
        <w:rPr>
          <w:rFonts w:hint="eastAsia" w:ascii="仿宋_GB2312" w:hAnsi="仿宋_GB2312" w:eastAsia="仿宋_GB2312" w:cs="仿宋_GB2312"/>
          <w:color w:val="auto"/>
          <w:sz w:val="30"/>
          <w:szCs w:val="30"/>
          <w:lang w:val="en-US" w:eastAsia="zh-CN"/>
        </w:rPr>
        <w:t>8</w:t>
      </w:r>
      <w:r>
        <w:rPr>
          <w:rFonts w:hint="eastAsia" w:ascii="仿宋_GB2312" w:hAnsi="仿宋_GB2312" w:eastAsia="仿宋_GB2312" w:cs="仿宋_GB2312"/>
          <w:color w:val="auto"/>
          <w:sz w:val="30"/>
          <w:szCs w:val="30"/>
        </w:rPr>
        <w:t>0</w:t>
      </w:r>
      <w:r>
        <w:rPr>
          <w:rFonts w:hint="eastAsia" w:ascii="仿宋_GB2312" w:hAnsi="仿宋_GB2312" w:eastAsia="仿宋_GB2312" w:cs="仿宋_GB2312"/>
          <w:color w:val="auto"/>
          <w:sz w:val="30"/>
          <w:szCs w:val="30"/>
          <w:lang w:val="en-US" w:eastAsia="zh-CN"/>
        </w:rPr>
        <w:t>3</w:t>
      </w:r>
      <w:r>
        <w:rPr>
          <w:rFonts w:hint="eastAsia" w:ascii="仿宋_GB2312" w:hAnsi="仿宋_GB2312" w:eastAsia="仿宋_GB2312" w:cs="仿宋_GB2312"/>
          <w:color w:val="auto"/>
          <w:sz w:val="30"/>
          <w:szCs w:val="30"/>
        </w:rPr>
        <w:t>室。</w:t>
      </w:r>
    </w:p>
    <w:p>
      <w:pPr>
        <w:widowControl w:val="0"/>
        <w:numPr>
          <w:numId w:val="0"/>
        </w:numPr>
        <w:wordWrap/>
        <w:adjustRightInd w:val="0"/>
        <w:snapToGrid w:val="0"/>
        <w:spacing w:line="360" w:lineRule="auto"/>
        <w:ind w:left="0" w:leftChars="0" w:right="0" w:firstLine="600" w:firstLineChars="200"/>
        <w:jc w:val="both"/>
        <w:textAlignment w:val="auto"/>
        <w:outlineLvl w:val="9"/>
        <w:rPr>
          <w:rFonts w:hint="eastAsia" w:ascii="仿宋_GB2312" w:hAnsi="仿宋_GB2312" w:eastAsia="仿宋_GB2312" w:cs="仿宋_GB2312"/>
          <w:b/>
          <w:bCs/>
          <w:color w:val="auto"/>
          <w:sz w:val="30"/>
          <w:szCs w:val="30"/>
          <w:lang w:val="en-US" w:eastAsia="zh-CN"/>
        </w:rPr>
      </w:pPr>
      <w:r>
        <w:rPr>
          <w:rFonts w:hint="eastAsia" w:ascii="仿宋_GB2312" w:hAnsi="仿宋_GB2312" w:eastAsia="仿宋_GB2312" w:cs="仿宋_GB2312"/>
          <w:color w:val="auto"/>
          <w:sz w:val="30"/>
          <w:szCs w:val="30"/>
          <w:lang w:eastAsia="zh-CN"/>
        </w:rPr>
        <w:t>办公</w:t>
      </w:r>
      <w:r>
        <w:rPr>
          <w:rFonts w:hint="eastAsia" w:ascii="仿宋_GB2312" w:hAnsi="仿宋_GB2312" w:eastAsia="仿宋_GB2312" w:cs="仿宋_GB2312"/>
          <w:color w:val="auto"/>
          <w:sz w:val="30"/>
          <w:szCs w:val="30"/>
        </w:rPr>
        <w:t>时间：工作日，上午：08:30-12:00，下午：02:30-05:30。</w:t>
      </w:r>
    </w:p>
    <w:p>
      <w:pPr>
        <w:adjustRightInd w:val="0"/>
        <w:snapToGrid w:val="0"/>
        <w:spacing w:line="360" w:lineRule="auto"/>
        <w:ind w:firstLine="601"/>
        <w:rPr>
          <w:rFonts w:hint="eastAsia" w:ascii="仿宋_GB2312" w:hAnsi="仿宋_GB2312" w:eastAsia="仿宋_GB2312" w:cs="仿宋_GB2312"/>
          <w:b/>
          <w:bCs/>
          <w:color w:val="auto"/>
          <w:sz w:val="30"/>
          <w:szCs w:val="30"/>
          <w:lang w:val="en-US" w:eastAsia="zh-CN"/>
        </w:rPr>
      </w:pPr>
      <w:r>
        <w:rPr>
          <w:rFonts w:hint="eastAsia" w:ascii="仿宋_GB2312" w:hAnsi="仿宋_GB2312" w:eastAsia="仿宋_GB2312" w:cs="仿宋_GB2312"/>
          <w:b/>
          <w:bCs/>
          <w:color w:val="auto"/>
          <w:sz w:val="30"/>
          <w:szCs w:val="30"/>
          <w:lang w:val="en-US" w:eastAsia="zh-CN"/>
        </w:rPr>
        <w:t>（4）</w:t>
      </w:r>
      <w:r>
        <w:rPr>
          <w:rFonts w:hint="eastAsia" w:ascii="仿宋_GB2312" w:hAnsi="仿宋_GB2312" w:eastAsia="仿宋_GB2312" w:cs="仿宋_GB2312"/>
          <w:b/>
          <w:bCs/>
          <w:color w:val="auto"/>
          <w:sz w:val="30"/>
          <w:szCs w:val="30"/>
          <w:lang w:eastAsia="zh-CN"/>
        </w:rPr>
        <w:t>公开</w:t>
      </w:r>
      <w:r>
        <w:rPr>
          <w:rFonts w:hint="eastAsia" w:ascii="仿宋_GB2312" w:hAnsi="仿宋_GB2312" w:eastAsia="仿宋_GB2312" w:cs="仿宋_GB2312"/>
          <w:b/>
          <w:bCs/>
          <w:color w:val="auto"/>
          <w:sz w:val="30"/>
          <w:szCs w:val="30"/>
        </w:rPr>
        <w:t>查询</w:t>
      </w:r>
      <w:r>
        <w:rPr>
          <w:rFonts w:hint="eastAsia" w:ascii="仿宋_GB2312" w:hAnsi="仿宋_GB2312" w:eastAsia="仿宋_GB2312" w:cs="仿宋_GB2312"/>
          <w:b/>
          <w:bCs/>
          <w:color w:val="auto"/>
          <w:sz w:val="30"/>
          <w:szCs w:val="30"/>
          <w:lang w:eastAsia="zh-CN"/>
        </w:rPr>
        <w:t>途径</w:t>
      </w:r>
    </w:p>
    <w:p>
      <w:pPr>
        <w:adjustRightInd w:val="0"/>
        <w:snapToGrid w:val="0"/>
        <w:spacing w:line="360" w:lineRule="auto"/>
        <w:ind w:firstLine="601"/>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现场查询：广西南宁市青秀区滨湖路58号中国人民银行南宁中心支行八楼803室。</w:t>
      </w:r>
    </w:p>
    <w:p>
      <w:pPr>
        <w:adjustRightInd w:val="0"/>
        <w:snapToGrid w:val="0"/>
        <w:spacing w:line="360" w:lineRule="auto"/>
        <w:ind w:firstLine="601"/>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电话查询：0771-6111213。</w:t>
      </w:r>
    </w:p>
    <w:p>
      <w:pPr>
        <w:widowControl w:val="0"/>
        <w:wordWrap/>
        <w:adjustRightInd/>
        <w:snapToGrid/>
        <w:spacing w:line="240" w:lineRule="auto"/>
        <w:ind w:left="0" w:leftChars="0" w:right="0" w:firstLine="600" w:firstLineChars="200"/>
        <w:jc w:val="both"/>
        <w:textAlignment w:val="auto"/>
        <w:outlineLvl w:val="9"/>
        <w:rPr>
          <w:rFonts w:hint="eastAsia" w:ascii="仿宋_GB2312" w:hAnsi="仿宋_GB2312" w:eastAsia="仿宋_GB2312" w:cs="仿宋_GB2312"/>
          <w:color w:val="auto"/>
          <w:sz w:val="30"/>
          <w:szCs w:val="30"/>
          <w:lang w:val="en-US" w:eastAsia="zh-CN"/>
        </w:rPr>
      </w:pPr>
      <w:r>
        <w:rPr>
          <w:rFonts w:hint="eastAsia" w:ascii="Times New Roman" w:hAnsi="Times New Roman" w:eastAsia="仿宋_GB2312" w:cs="Times New Roman"/>
          <w:color w:val="auto"/>
          <w:sz w:val="30"/>
          <w:szCs w:val="30"/>
          <w:lang w:val="en-US" w:eastAsia="zh-CN"/>
        </w:rPr>
        <w:t>网站查询：国家外汇管理局数字外管平台（ASOne）（zwfw.safe.gov.cn/asone/）。</w:t>
      </w:r>
      <w:bookmarkStart w:id="0" w:name="_GoBack"/>
      <w:bookmarkEnd w:id="0"/>
    </w:p>
    <w:p>
      <w:pPr>
        <w:numPr>
          <w:numId w:val="0"/>
        </w:numPr>
        <w:adjustRightInd w:val="0"/>
        <w:snapToGrid w:val="0"/>
        <w:spacing w:line="360" w:lineRule="auto"/>
        <w:ind w:firstLine="600" w:firstLineChars="200"/>
        <w:rPr>
          <w:rFonts w:hint="eastAsia" w:ascii="仿宋_GB2312" w:hAnsi="仿宋_GB2312" w:eastAsia="仿宋_GB2312" w:cs="仿宋_GB2312"/>
          <w:b/>
          <w:bCs/>
          <w:color w:val="auto"/>
          <w:sz w:val="30"/>
          <w:szCs w:val="30"/>
          <w:lang w:val="en-US" w:eastAsia="zh-CN"/>
        </w:rPr>
      </w:pPr>
      <w:r>
        <w:rPr>
          <w:rFonts w:hint="eastAsia" w:ascii="仿宋_GB2312" w:hAnsi="仿宋_GB2312" w:eastAsia="仿宋_GB2312" w:cs="仿宋_GB2312"/>
          <w:b/>
          <w:bCs/>
          <w:color w:val="auto"/>
          <w:sz w:val="30"/>
          <w:szCs w:val="30"/>
          <w:lang w:val="en-US" w:eastAsia="zh-CN"/>
        </w:rPr>
        <w:t>2.国家外汇管理局广西区各市中心支局</w:t>
      </w:r>
    </w:p>
    <w:p>
      <w:pPr>
        <w:numPr>
          <w:numId w:val="0"/>
        </w:numPr>
        <w:adjustRightInd w:val="0"/>
        <w:snapToGrid w:val="0"/>
        <w:spacing w:line="360" w:lineRule="auto"/>
        <w:ind w:firstLine="600" w:firstLineChars="200"/>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咨询途径、监督和投诉途径、办公地址和时间、公开查询途径可通过</w:t>
      </w:r>
      <w:r>
        <w:rPr>
          <w:rFonts w:hint="eastAsia" w:ascii="仿宋_GB2312" w:hAnsi="仿宋_GB2312" w:eastAsia="仿宋_GB2312" w:cs="仿宋_GB2312"/>
          <w:color w:val="auto"/>
          <w:sz w:val="30"/>
          <w:szCs w:val="30"/>
          <w:lang w:eastAsia="zh-CN"/>
        </w:rPr>
        <w:t>国家外汇管理局广西壮族自治区分局官方网站（www.safe.gov.cn</w:t>
      </w:r>
      <w:r>
        <w:rPr>
          <w:rFonts w:hint="eastAsia" w:ascii="仿宋_GB2312" w:hAnsi="仿宋_GB2312" w:eastAsia="仿宋_GB2312" w:cs="仿宋_GB2312"/>
          <w:color w:val="auto"/>
          <w:sz w:val="30"/>
          <w:szCs w:val="30"/>
          <w:lang w:val="en-US" w:eastAsia="zh-CN"/>
        </w:rPr>
        <w:t>/guangxi/）/机构职能/机构设置栏目所示地址和电话进行相应查询。</w:t>
      </w:r>
    </w:p>
    <w:p>
      <w:pPr>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br w:type="page"/>
      </w:r>
      <w:r>
        <w:rPr>
          <w:rFonts w:ascii="Times New Roman" w:hAnsi="Times New Roman" w:eastAsia="仿宋_GB2312" w:cs="Times New Roman"/>
          <w:sz w:val="30"/>
          <w:szCs w:val="30"/>
        </w:rPr>
        <w:t>附录一</w:t>
      </w:r>
    </w:p>
    <w:p>
      <w:pPr>
        <w:ind w:right="300"/>
        <w:jc w:val="center"/>
        <w:rPr>
          <w:rFonts w:ascii="Times New Roman" w:hAnsi="Times New Roman" w:eastAsia="黑体" w:cs="Times New Roman"/>
          <w:sz w:val="30"/>
          <w:szCs w:val="30"/>
        </w:rPr>
      </w:pPr>
      <w:r>
        <w:rPr>
          <w:rFonts w:ascii="Times New Roman" w:hAnsi="Times New Roman" w:eastAsia="黑体" w:cs="Times New Roman"/>
          <w:sz w:val="30"/>
          <w:szCs w:val="30"/>
        </w:rPr>
        <w:t>基本流程图</w:t>
      </w:r>
    </w:p>
    <w:p>
      <w:pPr>
        <w:ind w:right="300"/>
        <w:jc w:val="center"/>
        <w:rPr>
          <w:rFonts w:ascii="Times New Roman" w:hAnsi="Times New Roman" w:eastAsia="仿宋_GB2312" w:cs="Times New Roman"/>
          <w:sz w:val="30"/>
          <w:szCs w:val="30"/>
        </w:rPr>
      </w:pPr>
      <w:r>
        <w:rPr>
          <w:rFonts w:ascii="Times New Roman" w:hAnsi="Times New Roman" w:eastAsia="仿宋_GB2312" w:cs="Times New Roman"/>
          <w:kern w:val="2"/>
          <w:sz w:val="30"/>
          <w:szCs w:val="30"/>
          <w:lang w:val="en-US" w:eastAsia="zh-CN" w:bidi="ar-SA"/>
        </w:rPr>
        <w:pict>
          <v:group id="组合 76" o:spid="_x0000_s1027" style="position:absolute;left:0;margin-left:-9pt;margin-top:10.1pt;height:586.05pt;width:450.7pt;rotation:0f;z-index:251658240;" coordorigin="-93,0" coordsize="9014,11721">
            <o:lock v:ext="edit" position="f" selection="f" grouping="f" rotation="f" cropping="f" text="f" aspectratio="f"/>
            <v:rect id="Rectangle 3" o:spid="_x0000_s1028" style="position:absolute;left:2908;top:8319;height:534;width:2985;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t>审核</w:t>
                    </w:r>
                  </w:p>
                </w:txbxContent>
              </v:textbox>
            </v:rect>
            <v:shape id="AutoShape 4" o:spid="_x0000_s1029" type="#_x0000_t116" style="position:absolute;left:4420;top:10681;height:1037;width:3675;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依法作出不予许可决定，</w:t>
                    </w:r>
                  </w:p>
                  <w:p>
                    <w:pPr>
                      <w:jc w:val="center"/>
                    </w:pPr>
                    <w:r>
                      <w:rPr>
                        <w:rFonts w:hint="eastAsia"/>
                      </w:rPr>
                      <w:t>并送达</w:t>
                    </w:r>
                  </w:p>
                </w:txbxContent>
              </v:textbox>
            </v:shape>
            <v:shape id="AutoShape 5" o:spid="_x0000_s1030" type="#_x0000_t116" style="position:absolute;left:695;top:10663;height:1058;width:3461;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依法予以许可，出具相关</w:t>
                    </w:r>
                  </w:p>
                  <w:p>
                    <w:pPr>
                      <w:jc w:val="center"/>
                    </w:pPr>
                    <w:r>
                      <w:rPr>
                        <w:rFonts w:hint="eastAsia"/>
                      </w:rPr>
                      <w:t>业务办理凭证，并送达</w:t>
                    </w:r>
                  </w:p>
                </w:txbxContent>
              </v:textbox>
            </v:shape>
            <v:shape id="AutoShape 6" o:spid="_x0000_s1031" type="#_x0000_t32" style="position:absolute;left:4382;top:7693;height:626;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7" o:spid="_x0000_s1032" type="#_x0000_t32" style="position:absolute;left:6331;top:9568;height:1095;width:1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8" o:spid="_x0000_s1033" type="#_x0000_t32" style="position:absolute;left:2358;top:9568;height:1035;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9" o:spid="_x0000_s1034" type="#_x0000_t32" style="position:absolute;left:4383;top:8853;height:715;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10" o:spid="_x0000_s1035" type="#_x0000_t32" style="position:absolute;left:2359;top:9568;height:0;width:3972;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11" o:spid="_x0000_s1036" style="position:absolute;left:-93;top:0;height:7693;width:9014;rotation:0f;" coordorigin="-93,0" coordsize="9014,7693">
              <o:lock v:ext="edit" position="f" selection="f" grouping="f" rotation="f" cropping="f" text="f" aspectratio="f"/>
              <v:shape id="AutoShape 12" o:spid="_x0000_s1037" type="#_x0000_t32" style="position:absolute;left:5893;top:6566;height:60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id="Group 13" o:spid="_x0000_s1038" style="position:absolute;left:-93;top:0;height:7693;width:9014;rotation:0f;" coordorigin="-93,0" coordsize="9014,7693">
                <o:lock v:ext="edit" position="f" selection="f" grouping="f" rotation="f" cropping="f" text="f" aspectratio="f"/>
                <v:shape id="AutoShape 14" o:spid="_x0000_s1039" type="#_x0000_t34" style="position:absolute;left:6366;top:3154;height:1285;width:3823;rotation:17694720f;" o:ole="f" o:connectortype="elbow" fillcolor="#FFFFFF" filled="f" o:preferrelative="t" stroked="t" coordorigin="0,0" coordsize="21600,21600" adj="33">
                  <v:fill on="f" color2="#FFFFFF" focus="0%"/>
                  <v:stroke color="#000000" color2="#FFFFFF" miterlimit="2"/>
                  <v:imagedata gain="65536f" blacklevel="0f" gamma="0"/>
                  <o:lock v:ext="edit" position="f" selection="f" grouping="f" rotation="f" cropping="f" text="f" aspectratio="f"/>
                </v:shape>
                <v:shape id="Text Box 15" o:spid="_x0000_s1040" type="#_x0000_t202" style="position:absolute;left:7996;top:2297;height:2553;width:754;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不能提供符合受理要求的</w:t>
                        </w:r>
                      </w:p>
                      <w:p>
                        <w:pPr>
                          <w:jc w:val="center"/>
                        </w:pPr>
                        <w:r>
                          <w:rPr>
                            <w:rFonts w:hint="eastAsia"/>
                          </w:rPr>
                          <w:t>材料</w:t>
                        </w:r>
                      </w:p>
                    </w:txbxContent>
                  </v:textbox>
                </v:shape>
                <v:shape id="AutoShape 16" o:spid="_x0000_s1041" type="#_x0000_t32" style="position:absolute;left:5893;top:4472;height:37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17" o:spid="_x0000_s1042" type="#_x0000_t202" style="position:absolute;left:2568;top:6566;height:477;width:2737;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材料齐全并符合受理要求</w:t>
                        </w:r>
                      </w:p>
                    </w:txbxContent>
                  </v:textbox>
                </v:shape>
                <v:shape id="AutoShape 18" o:spid="_x0000_s1043" type="#_x0000_t4" style="position:absolute;left:4156;top:4833;height:1733;width:3480;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申请人补充材料</w:t>
                        </w:r>
                      </w:p>
                    </w:txbxContent>
                  </v:textbox>
                </v:shape>
                <v:rect id="Rectangle 19" o:spid="_x0000_s1044" style="position:absolute;left:2568;top:7174;height:519;width:4816;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依法应予受理，出具行政审批受理单</w:t>
                        </w:r>
                      </w:p>
                      <w:p>
                        <w:pPr>
                          <w:jc w:val="center"/>
                        </w:pPr>
                      </w:p>
                    </w:txbxContent>
                  </v:textbox>
                </v:rect>
                <v:rect id="Rectangle 20" o:spid="_x0000_s1045" style="position:absolute;left:4566;top:3341;height:1114;width:3190;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材料不全或不符合法定形式的，一次性告知补正材料，</w:t>
                        </w:r>
                      </w:p>
                      <w:p>
                        <w:pPr>
                          <w:jc w:val="center"/>
                        </w:pPr>
                        <w:r>
                          <w:rPr>
                            <w:rFonts w:hint="eastAsia"/>
                          </w:rPr>
                          <w:t>出具行政审批补正材料通知书</w:t>
                        </w:r>
                      </w:p>
                      <w:p/>
                    </w:txbxContent>
                  </v:textbox>
                </v:rect>
                <v:shape id="AutoShape 21" o:spid="_x0000_s1046" type="#_x0000_t116" style="position:absolute;left:4566;top:1110;height:1530;width:3039;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依法不予受理的，作出不予受理决定，出具不予受理行政审批申请通知书</w:t>
                        </w:r>
                      </w:p>
                      <w:p>
                        <w:pPr>
                          <w:jc w:val="center"/>
                        </w:pPr>
                      </w:p>
                    </w:txbxContent>
                  </v:textbox>
                </v:shape>
                <v:group id="Group 22" o:spid="_x0000_s1047" style="position:absolute;left:-93;top:0;height:7424;width:4687;rotation:0f;" coordorigin="-93,0" coordsize="4687,7424">
                  <o:lock v:ext="edit" position="f" selection="f" grouping="f" rotation="f" cropping="f" text="f" aspectratio="f"/>
                  <v:shape id="AutoShape 23" o:spid="_x0000_s1048" type="#_x0000_t32" style="position:absolute;left:3663;top:3910;height:0;width:93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24" o:spid="_x0000_s1049" type="#_x0000_t32" style="position:absolute;left:1355;top:3986;height:3437;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25" o:spid="_x0000_s1050" style="position:absolute;left:-93;top:0;height:3986;width:3737;rotation:0f;" coordorigin="-93,0" coordsize="3737,3986">
                    <o:lock v:ext="edit" position="f" selection="f" grouping="f" rotation="f" cropping="f" text="f" aspectratio="f"/>
                    <v:shape id="AutoShape 26" o:spid="_x0000_s1051" type="#_x0000_t32" style="position:absolute;left:1396;top:1172;height:764;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27" o:spid="_x0000_s1052" type="#_x0000_t32" style="position:absolute;left:2890;top:2961;height:6;width:754;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28" o:spid="_x0000_s1053" type="#_x0000_t4" style="position:absolute;left:-93;top:1936;height:2050;width:2968;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接件（</w:t>
                            </w:r>
                            <w:r>
                              <w:t>5</w:t>
                            </w:r>
                            <w:r>
                              <w:rPr>
                                <w:rFonts w:hint="eastAsia"/>
                              </w:rPr>
                              <w:t>个工作日）作出是否受理决定</w:t>
                            </w:r>
                          </w:p>
                          <w:p/>
                        </w:txbxContent>
                      </v:textbox>
                    </v:shape>
                    <v:shape id="AutoShape 29" o:spid="_x0000_s1054" type="#_x0000_t116" style="position:absolute;left:184;top:0;height:1172;width:2724;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申请人提出书面申请，并提交材料</w:t>
                            </w:r>
                          </w:p>
                        </w:txbxContent>
                      </v:textbox>
                    </v:shape>
                  </v:group>
                  <v:shape id="AutoShape 30" o:spid="_x0000_s1055" type="#_x0000_t32" style="position:absolute;left:1355;top:7423;height:1;width:121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31" o:spid="_x0000_s1056" type="#_x0000_t32" style="position:absolute;left:3663;top:1999;height:1921;width:0;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32" o:spid="_x0000_s1057" type="#_x0000_t32" style="position:absolute;left:3663;top:1989;height:1;width:90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33" o:spid="_x0000_s1058" type="#_x0000_t202" style="position:absolute;left:597;top:5280;height:1152;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r>
                            <w:rPr>
                              <w:rFonts w:hint="eastAsia"/>
                            </w:rPr>
                            <w:t>是</w:t>
                          </w:r>
                        </w:p>
                      </w:txbxContent>
                    </v:textbox>
                  </v:shape>
                  <v:shape id="Text Box 34" o:spid="_x0000_s1059" type="#_x0000_t202" style="position:absolute;left:2799;top:2220;height:471;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style="mso-fit-shape-to-text:t;">
                      <w:txbxContent>
                        <w:p>
                          <w:r>
                            <w:rPr>
                              <w:rFonts w:hint="eastAsia"/>
                            </w:rPr>
                            <w:t>否</w:t>
                          </w:r>
                        </w:p>
                      </w:txbxContent>
                    </v:textbox>
                  </v:shape>
                </v:group>
                <v:shape id="AutoShape 35" o:spid="_x0000_s1060" type="#_x0000_t32" style="position:absolute;left:7605;top:1875;flip:x y;height:11;width:1316;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v:group>
          </v:group>
        </w:pic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left"/>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ab/>
      </w:r>
    </w:p>
    <w:p>
      <w:pPr>
        <w:widowControl/>
        <w:jc w:val="left"/>
        <w:rPr>
          <w:rFonts w:ascii="Times New Roman" w:hAnsi="Times New Roman" w:eastAsia="仿宋_GB2312" w:cs="Times New Roman"/>
          <w:sz w:val="30"/>
          <w:szCs w:val="30"/>
        </w:rPr>
      </w:pPr>
      <w:r>
        <w:rPr>
          <w:rFonts w:ascii="Times New Roman" w:hAnsi="Times New Roman" w:eastAsia="仿宋_GB2312" w:cs="Times New Roman"/>
          <w:sz w:val="30"/>
          <w:szCs w:val="30"/>
        </w:rPr>
        <w:br w:type="page"/>
      </w:r>
    </w:p>
    <w:p>
      <w:pPr>
        <w:widowControl/>
        <w:rPr>
          <w:rFonts w:ascii="Times New Roman" w:hAnsi="Times New Roman" w:eastAsia="仿宋_GB2312" w:cs="Times New Roman"/>
          <w:sz w:val="30"/>
          <w:szCs w:val="30"/>
        </w:rPr>
      </w:pPr>
      <w:r>
        <w:rPr>
          <w:rFonts w:ascii="Times New Roman" w:hAnsi="Times New Roman" w:eastAsia="仿宋_GB2312" w:cs="Times New Roman"/>
          <w:sz w:val="30"/>
          <w:szCs w:val="30"/>
        </w:rPr>
        <w:t>附录二</w:t>
      </w:r>
    </w:p>
    <w:p>
      <w:pPr>
        <w:jc w:val="center"/>
        <w:rPr>
          <w:rFonts w:ascii="Times New Roman" w:hAnsi="Times New Roman" w:eastAsia="黑体" w:cs="Times New Roman"/>
          <w:sz w:val="30"/>
          <w:szCs w:val="30"/>
        </w:rPr>
      </w:pPr>
      <w:r>
        <w:rPr>
          <w:rFonts w:ascii="Times New Roman" w:hAnsi="Times New Roman" w:eastAsia="黑体" w:cs="Times New Roman"/>
          <w:sz w:val="30"/>
          <w:szCs w:val="30"/>
        </w:rPr>
        <w:t>常见问题</w:t>
      </w:r>
    </w:p>
    <w:p>
      <w:pPr>
        <w:pStyle w:val="24"/>
        <w:ind w:firstLine="600"/>
        <w:rPr>
          <w:rFonts w:ascii="Times New Roman" w:hAnsi="Times New Roman" w:eastAsia="仿宋_GB2312"/>
          <w:kern w:val="0"/>
          <w:sz w:val="30"/>
          <w:szCs w:val="30"/>
        </w:rPr>
      </w:pPr>
      <w:r>
        <w:rPr>
          <w:rFonts w:ascii="Times New Roman" w:hAnsi="Times New Roman" w:eastAsia="仿宋_GB2312"/>
          <w:bCs/>
          <w:kern w:val="0"/>
          <w:sz w:val="30"/>
          <w:szCs w:val="30"/>
        </w:rPr>
        <w:t>问：非银行金融机构外汇资本金结汇是否需外汇局核准</w:t>
      </w:r>
      <w:r>
        <w:rPr>
          <w:rFonts w:ascii="Times New Roman" w:hAnsi="Times New Roman" w:eastAsia="仿宋_GB2312"/>
          <w:kern w:val="0"/>
          <w:sz w:val="30"/>
          <w:szCs w:val="30"/>
        </w:rPr>
        <w:t>？</w:t>
      </w:r>
    </w:p>
    <w:p>
      <w:pPr>
        <w:ind w:right="300" w:firstLine="600" w:firstLineChars="200"/>
        <w:rPr>
          <w:rFonts w:ascii="Times New Roman" w:hAnsi="Times New Roman" w:cs="Times New Roman"/>
        </w:rPr>
      </w:pPr>
      <w:r>
        <w:rPr>
          <w:rFonts w:ascii="Times New Roman" w:hAnsi="Times New Roman" w:eastAsia="仿宋_GB2312" w:cs="Times New Roman"/>
          <w:kern w:val="0"/>
          <w:sz w:val="30"/>
          <w:szCs w:val="30"/>
        </w:rPr>
        <w:t>答：</w:t>
      </w:r>
      <w:r>
        <w:rPr>
          <w:rFonts w:ascii="Times New Roman" w:hAnsi="Times New Roman" w:eastAsia="仿宋_GB2312" w:cs="Times New Roman"/>
          <w:bCs/>
          <w:kern w:val="0"/>
          <w:sz w:val="30"/>
          <w:szCs w:val="30"/>
        </w:rPr>
        <w:t>非银行金融机构外汇资本金、境外上市募股资金结汇参照非金融企业管理，无需所在地外汇局核准。</w:t>
      </w:r>
    </w:p>
    <w:p>
      <w:pPr>
        <w:adjustRightInd w:val="0"/>
        <w:snapToGrid w:val="0"/>
        <w:spacing w:line="360" w:lineRule="auto"/>
        <w:ind w:firstLine="585"/>
        <w:rPr>
          <w:rFonts w:ascii="Times New Roman" w:hAnsi="Times New Roman" w:cs="Times New Roman"/>
        </w:rPr>
      </w:pPr>
    </w:p>
    <w:sectPr>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Noto Sans Mono CJK JP Regular">
    <w:altName w:val="微软雅黑"/>
    <w:panose1 w:val="00000000000000000000"/>
    <w:charset w:val="00"/>
    <w:family w:val="auto"/>
    <w:pitch w:val="default"/>
    <w:sig w:usb0="00000000" w:usb1="00000000" w:usb2="00000000" w:usb3="00000000" w:csb0="00040001" w:csb1="00000000"/>
  </w:font>
  <w:font w:name="ˎ̥">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1</w:t>
    </w:r>
    <w:r>
      <w:rPr>
        <w:lang w:val="zh-CN"/>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7</w:t>
    </w:r>
    <w: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AB131E"/>
    <w:rsid w:val="00003372"/>
    <w:rsid w:val="00017E6C"/>
    <w:rsid w:val="00022191"/>
    <w:rsid w:val="00023783"/>
    <w:rsid w:val="00041960"/>
    <w:rsid w:val="00042B58"/>
    <w:rsid w:val="00054B00"/>
    <w:rsid w:val="00055270"/>
    <w:rsid w:val="00057F76"/>
    <w:rsid w:val="0006560A"/>
    <w:rsid w:val="00072F8A"/>
    <w:rsid w:val="000750C8"/>
    <w:rsid w:val="00076D79"/>
    <w:rsid w:val="000802F3"/>
    <w:rsid w:val="00080630"/>
    <w:rsid w:val="00081708"/>
    <w:rsid w:val="00091661"/>
    <w:rsid w:val="00092D53"/>
    <w:rsid w:val="00096CBB"/>
    <w:rsid w:val="00097F7B"/>
    <w:rsid w:val="000B5D70"/>
    <w:rsid w:val="000B6901"/>
    <w:rsid w:val="000B728B"/>
    <w:rsid w:val="000C15B3"/>
    <w:rsid w:val="000C2B33"/>
    <w:rsid w:val="000D1995"/>
    <w:rsid w:val="000D7478"/>
    <w:rsid w:val="001110B5"/>
    <w:rsid w:val="0012271F"/>
    <w:rsid w:val="00130519"/>
    <w:rsid w:val="00135BEE"/>
    <w:rsid w:val="0014667A"/>
    <w:rsid w:val="00154B58"/>
    <w:rsid w:val="00157C64"/>
    <w:rsid w:val="00157E81"/>
    <w:rsid w:val="001649AF"/>
    <w:rsid w:val="00170126"/>
    <w:rsid w:val="00177059"/>
    <w:rsid w:val="00181D3E"/>
    <w:rsid w:val="00186BC2"/>
    <w:rsid w:val="00196FAE"/>
    <w:rsid w:val="001A3E49"/>
    <w:rsid w:val="001A72AA"/>
    <w:rsid w:val="001B1E2C"/>
    <w:rsid w:val="001C44C7"/>
    <w:rsid w:val="001D65A2"/>
    <w:rsid w:val="001E1407"/>
    <w:rsid w:val="001F4BD4"/>
    <w:rsid w:val="001F7297"/>
    <w:rsid w:val="001F7A30"/>
    <w:rsid w:val="00203C3A"/>
    <w:rsid w:val="00205D07"/>
    <w:rsid w:val="00212F39"/>
    <w:rsid w:val="00217116"/>
    <w:rsid w:val="00231EED"/>
    <w:rsid w:val="00233841"/>
    <w:rsid w:val="00235F24"/>
    <w:rsid w:val="002417D2"/>
    <w:rsid w:val="00241FE8"/>
    <w:rsid w:val="0024527E"/>
    <w:rsid w:val="00253F7B"/>
    <w:rsid w:val="00263773"/>
    <w:rsid w:val="00263B1F"/>
    <w:rsid w:val="00291C17"/>
    <w:rsid w:val="0029313A"/>
    <w:rsid w:val="002B0B1C"/>
    <w:rsid w:val="002B598D"/>
    <w:rsid w:val="002B61C1"/>
    <w:rsid w:val="002C5527"/>
    <w:rsid w:val="002E1323"/>
    <w:rsid w:val="002F3868"/>
    <w:rsid w:val="00302119"/>
    <w:rsid w:val="00302E87"/>
    <w:rsid w:val="00310261"/>
    <w:rsid w:val="0031063C"/>
    <w:rsid w:val="00334433"/>
    <w:rsid w:val="00343044"/>
    <w:rsid w:val="00344B01"/>
    <w:rsid w:val="00353AC4"/>
    <w:rsid w:val="003616B4"/>
    <w:rsid w:val="003700DA"/>
    <w:rsid w:val="003A57B2"/>
    <w:rsid w:val="003A6072"/>
    <w:rsid w:val="003B5500"/>
    <w:rsid w:val="003C0E26"/>
    <w:rsid w:val="003C7132"/>
    <w:rsid w:val="003D77A5"/>
    <w:rsid w:val="003E6BF6"/>
    <w:rsid w:val="003F221D"/>
    <w:rsid w:val="003F3097"/>
    <w:rsid w:val="00402AE8"/>
    <w:rsid w:val="00405FE6"/>
    <w:rsid w:val="004105BC"/>
    <w:rsid w:val="00421C27"/>
    <w:rsid w:val="00440A1F"/>
    <w:rsid w:val="00443603"/>
    <w:rsid w:val="00443604"/>
    <w:rsid w:val="004476F8"/>
    <w:rsid w:val="004501EA"/>
    <w:rsid w:val="004565D6"/>
    <w:rsid w:val="00460458"/>
    <w:rsid w:val="0046792D"/>
    <w:rsid w:val="00471DA1"/>
    <w:rsid w:val="004767DF"/>
    <w:rsid w:val="00493CCC"/>
    <w:rsid w:val="004A0218"/>
    <w:rsid w:val="004A7840"/>
    <w:rsid w:val="004B545A"/>
    <w:rsid w:val="004B7E80"/>
    <w:rsid w:val="004C457E"/>
    <w:rsid w:val="004C48D5"/>
    <w:rsid w:val="004D03B7"/>
    <w:rsid w:val="004D1436"/>
    <w:rsid w:val="004D57AE"/>
    <w:rsid w:val="005056D4"/>
    <w:rsid w:val="00526B2B"/>
    <w:rsid w:val="0053151A"/>
    <w:rsid w:val="005362B0"/>
    <w:rsid w:val="00542447"/>
    <w:rsid w:val="00564312"/>
    <w:rsid w:val="005736E4"/>
    <w:rsid w:val="005A2981"/>
    <w:rsid w:val="005C6937"/>
    <w:rsid w:val="005C7F02"/>
    <w:rsid w:val="005F0A86"/>
    <w:rsid w:val="005F144A"/>
    <w:rsid w:val="005F1C00"/>
    <w:rsid w:val="0061621E"/>
    <w:rsid w:val="00630AA8"/>
    <w:rsid w:val="00630B2E"/>
    <w:rsid w:val="00643D2A"/>
    <w:rsid w:val="00664E11"/>
    <w:rsid w:val="00673B30"/>
    <w:rsid w:val="00696E5D"/>
    <w:rsid w:val="006B5B86"/>
    <w:rsid w:val="006B6383"/>
    <w:rsid w:val="006C5908"/>
    <w:rsid w:val="006C633E"/>
    <w:rsid w:val="006D56AB"/>
    <w:rsid w:val="006D734F"/>
    <w:rsid w:val="006D74BC"/>
    <w:rsid w:val="006E043F"/>
    <w:rsid w:val="006E19C3"/>
    <w:rsid w:val="006E4695"/>
    <w:rsid w:val="006E4B8B"/>
    <w:rsid w:val="006E5901"/>
    <w:rsid w:val="0071091C"/>
    <w:rsid w:val="00714961"/>
    <w:rsid w:val="00744BD5"/>
    <w:rsid w:val="00745748"/>
    <w:rsid w:val="00750E36"/>
    <w:rsid w:val="00753CB0"/>
    <w:rsid w:val="00755460"/>
    <w:rsid w:val="00761FB7"/>
    <w:rsid w:val="00762107"/>
    <w:rsid w:val="00763CAE"/>
    <w:rsid w:val="00764CB9"/>
    <w:rsid w:val="00765B05"/>
    <w:rsid w:val="0077269F"/>
    <w:rsid w:val="00785F45"/>
    <w:rsid w:val="0079071F"/>
    <w:rsid w:val="00794D4C"/>
    <w:rsid w:val="007A2780"/>
    <w:rsid w:val="007A68EA"/>
    <w:rsid w:val="007A77B5"/>
    <w:rsid w:val="007B06FC"/>
    <w:rsid w:val="007B0FEF"/>
    <w:rsid w:val="007B2DB5"/>
    <w:rsid w:val="007B6E4D"/>
    <w:rsid w:val="007D2C11"/>
    <w:rsid w:val="007D6171"/>
    <w:rsid w:val="007D69EA"/>
    <w:rsid w:val="007E1C97"/>
    <w:rsid w:val="007E2C7B"/>
    <w:rsid w:val="007E411B"/>
    <w:rsid w:val="007F0863"/>
    <w:rsid w:val="007F2F3B"/>
    <w:rsid w:val="007F403A"/>
    <w:rsid w:val="00802307"/>
    <w:rsid w:val="0082168E"/>
    <w:rsid w:val="00821968"/>
    <w:rsid w:val="008471B6"/>
    <w:rsid w:val="00851521"/>
    <w:rsid w:val="0085686A"/>
    <w:rsid w:val="00860878"/>
    <w:rsid w:val="008731FF"/>
    <w:rsid w:val="0088294A"/>
    <w:rsid w:val="0089282A"/>
    <w:rsid w:val="008A4538"/>
    <w:rsid w:val="008A704B"/>
    <w:rsid w:val="008B08D2"/>
    <w:rsid w:val="008B4EE5"/>
    <w:rsid w:val="008B5807"/>
    <w:rsid w:val="008D5FA0"/>
    <w:rsid w:val="008E2D38"/>
    <w:rsid w:val="008F5724"/>
    <w:rsid w:val="008F5900"/>
    <w:rsid w:val="00902633"/>
    <w:rsid w:val="009027D8"/>
    <w:rsid w:val="0090372F"/>
    <w:rsid w:val="00911E27"/>
    <w:rsid w:val="00911E9A"/>
    <w:rsid w:val="0092129A"/>
    <w:rsid w:val="00925BB2"/>
    <w:rsid w:val="00930C8C"/>
    <w:rsid w:val="009360EA"/>
    <w:rsid w:val="00947C57"/>
    <w:rsid w:val="00951149"/>
    <w:rsid w:val="00960EDB"/>
    <w:rsid w:val="009622DB"/>
    <w:rsid w:val="009664BC"/>
    <w:rsid w:val="00980F02"/>
    <w:rsid w:val="00991B77"/>
    <w:rsid w:val="00997523"/>
    <w:rsid w:val="009A0C5D"/>
    <w:rsid w:val="009C4672"/>
    <w:rsid w:val="009C491B"/>
    <w:rsid w:val="009D0911"/>
    <w:rsid w:val="009D24F8"/>
    <w:rsid w:val="009D688C"/>
    <w:rsid w:val="009F7A36"/>
    <w:rsid w:val="00A05BF7"/>
    <w:rsid w:val="00A249C2"/>
    <w:rsid w:val="00A24FAB"/>
    <w:rsid w:val="00A301E7"/>
    <w:rsid w:val="00A30E26"/>
    <w:rsid w:val="00A42E69"/>
    <w:rsid w:val="00A45CA7"/>
    <w:rsid w:val="00A51415"/>
    <w:rsid w:val="00A6014E"/>
    <w:rsid w:val="00A60356"/>
    <w:rsid w:val="00A65016"/>
    <w:rsid w:val="00A66F2C"/>
    <w:rsid w:val="00A72E27"/>
    <w:rsid w:val="00A81DF1"/>
    <w:rsid w:val="00A90EF3"/>
    <w:rsid w:val="00AA7717"/>
    <w:rsid w:val="00AB131E"/>
    <w:rsid w:val="00AB644F"/>
    <w:rsid w:val="00AC3F5E"/>
    <w:rsid w:val="00AD6249"/>
    <w:rsid w:val="00AE7ACF"/>
    <w:rsid w:val="00B047AB"/>
    <w:rsid w:val="00B06409"/>
    <w:rsid w:val="00B17D66"/>
    <w:rsid w:val="00B2420C"/>
    <w:rsid w:val="00B31FD9"/>
    <w:rsid w:val="00B35D3A"/>
    <w:rsid w:val="00B422F1"/>
    <w:rsid w:val="00B71531"/>
    <w:rsid w:val="00B7456C"/>
    <w:rsid w:val="00B84131"/>
    <w:rsid w:val="00B8630E"/>
    <w:rsid w:val="00B931F4"/>
    <w:rsid w:val="00B95573"/>
    <w:rsid w:val="00B96395"/>
    <w:rsid w:val="00BA2AF8"/>
    <w:rsid w:val="00BB2650"/>
    <w:rsid w:val="00BB5BDC"/>
    <w:rsid w:val="00BB7B76"/>
    <w:rsid w:val="00BD233D"/>
    <w:rsid w:val="00BE35CC"/>
    <w:rsid w:val="00BF4EF0"/>
    <w:rsid w:val="00C02E44"/>
    <w:rsid w:val="00C12802"/>
    <w:rsid w:val="00C147D2"/>
    <w:rsid w:val="00C2075F"/>
    <w:rsid w:val="00C23799"/>
    <w:rsid w:val="00C274C9"/>
    <w:rsid w:val="00C31E02"/>
    <w:rsid w:val="00C371A5"/>
    <w:rsid w:val="00C45BC1"/>
    <w:rsid w:val="00C5367D"/>
    <w:rsid w:val="00C54291"/>
    <w:rsid w:val="00C672C3"/>
    <w:rsid w:val="00C712B2"/>
    <w:rsid w:val="00C865DC"/>
    <w:rsid w:val="00C93E76"/>
    <w:rsid w:val="00C94325"/>
    <w:rsid w:val="00C97FED"/>
    <w:rsid w:val="00CA0189"/>
    <w:rsid w:val="00CA1DBB"/>
    <w:rsid w:val="00CA2622"/>
    <w:rsid w:val="00CA7F2C"/>
    <w:rsid w:val="00CA7FF8"/>
    <w:rsid w:val="00CB5DE7"/>
    <w:rsid w:val="00CC068D"/>
    <w:rsid w:val="00CC4922"/>
    <w:rsid w:val="00CD1FF6"/>
    <w:rsid w:val="00CD20CC"/>
    <w:rsid w:val="00CE25C7"/>
    <w:rsid w:val="00CE3335"/>
    <w:rsid w:val="00CE4849"/>
    <w:rsid w:val="00CE5C8E"/>
    <w:rsid w:val="00CE5F49"/>
    <w:rsid w:val="00CF184E"/>
    <w:rsid w:val="00D01626"/>
    <w:rsid w:val="00D14C9F"/>
    <w:rsid w:val="00D33A4D"/>
    <w:rsid w:val="00D33F76"/>
    <w:rsid w:val="00D41F5E"/>
    <w:rsid w:val="00D43DC0"/>
    <w:rsid w:val="00D54E56"/>
    <w:rsid w:val="00D6407D"/>
    <w:rsid w:val="00D93E78"/>
    <w:rsid w:val="00DC6E91"/>
    <w:rsid w:val="00DC7514"/>
    <w:rsid w:val="00DD3845"/>
    <w:rsid w:val="00E1687A"/>
    <w:rsid w:val="00E20A2E"/>
    <w:rsid w:val="00E277DE"/>
    <w:rsid w:val="00E27EE9"/>
    <w:rsid w:val="00E3239D"/>
    <w:rsid w:val="00E3254B"/>
    <w:rsid w:val="00E3439B"/>
    <w:rsid w:val="00E42C5F"/>
    <w:rsid w:val="00E54E8B"/>
    <w:rsid w:val="00E65A1B"/>
    <w:rsid w:val="00E72F1F"/>
    <w:rsid w:val="00E934AB"/>
    <w:rsid w:val="00EA06AC"/>
    <w:rsid w:val="00EA08BF"/>
    <w:rsid w:val="00EA24FB"/>
    <w:rsid w:val="00EB3204"/>
    <w:rsid w:val="00EB50BA"/>
    <w:rsid w:val="00EC3D33"/>
    <w:rsid w:val="00ED302A"/>
    <w:rsid w:val="00ED3A42"/>
    <w:rsid w:val="00ED6F1A"/>
    <w:rsid w:val="00EE02BC"/>
    <w:rsid w:val="00EE6970"/>
    <w:rsid w:val="00EF38D0"/>
    <w:rsid w:val="00EF3DDF"/>
    <w:rsid w:val="00EF4A8C"/>
    <w:rsid w:val="00F13A46"/>
    <w:rsid w:val="00F25B04"/>
    <w:rsid w:val="00F2678C"/>
    <w:rsid w:val="00F27B38"/>
    <w:rsid w:val="00F40278"/>
    <w:rsid w:val="00F41832"/>
    <w:rsid w:val="00F56988"/>
    <w:rsid w:val="00F613BF"/>
    <w:rsid w:val="00F620FB"/>
    <w:rsid w:val="00F6571F"/>
    <w:rsid w:val="00F8687E"/>
    <w:rsid w:val="00F93331"/>
    <w:rsid w:val="00F95549"/>
    <w:rsid w:val="00FA1E24"/>
    <w:rsid w:val="00FA24FB"/>
    <w:rsid w:val="00FA632B"/>
    <w:rsid w:val="00FB38EA"/>
    <w:rsid w:val="00FB5E0F"/>
    <w:rsid w:val="00FB6AFF"/>
    <w:rsid w:val="00FC4D8F"/>
    <w:rsid w:val="00FD06D3"/>
    <w:rsid w:val="00FE3157"/>
    <w:rsid w:val="00FE6865"/>
    <w:rsid w:val="00FE6993"/>
    <w:rsid w:val="036C768F"/>
    <w:rsid w:val="09F14838"/>
    <w:rsid w:val="1EE717A5"/>
    <w:rsid w:val="20606715"/>
    <w:rsid w:val="23800BAF"/>
    <w:rsid w:val="29FA01AA"/>
    <w:rsid w:val="547911D2"/>
  </w:rsids>
  <w:shapeDefaults>
    <o:shapedefaults fillcolor="#9CBEE0" fill="t" stroke="t">
      <v:fill type="gradient" on="t" color2="#BBD5F0" focus="0%" focussize="0f,0f" focusposition="0f,0f">
        <o:fill type="gradientUnscaled" v:ext="backwardCompatible"/>
      </v:fill>
      <v:stroke weight="1.25pt" color="#739CC3" color2="#FFFFFF" miterlimit="2"/>
    </o:shapedefaults>
    <o:shapelayout v:ext="edit">
      <o:rules v:ext="edit">
        <o:r id="V:Rule1" type="connector" idref="#AutoShape 6"/>
        <o:r id="V:Rule2" type="connector" idref="#AutoShape 7"/>
        <o:r id="V:Rule3" type="connector" idref="#AutoShape 8"/>
        <o:r id="V:Rule4" type="connector" idref="#AutoShape 9"/>
        <o:r id="V:Rule5" type="connector" idref="#AutoShape 10"/>
        <o:r id="V:Rule6" type="connector" idref="#AutoShape 12"/>
        <o:r id="V:Rule7" type="connector" idref="#AutoShape 14"/>
        <o:r id="V:Rule8" type="connector" idref="#AutoShape 16"/>
        <o:r id="V:Rule9" type="connector" idref="#AutoShape 23"/>
        <o:r id="V:Rule10" type="connector" idref="#AutoShape 24"/>
        <o:r id="V:Rule11" type="connector" idref="#AutoShape 26"/>
        <o:r id="V:Rule12" type="connector" idref="#AutoShape 27"/>
        <o:r id="V:Rule13" type="connector" idref="#AutoShape 30"/>
        <o:r id="V:Rule14" type="connector" idref="#AutoShape 31"/>
        <o:r id="V:Rule15" type="connector" idref="#AutoShape 32"/>
        <o:r id="V:Rule16" type="connector" idref="#AutoShape 35"/>
      </o:rules>
    </o:shapelayout>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0" w:semiHidden="0"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33"/>
    <w:qFormat/>
    <w:uiPriority w:val="9"/>
    <w:pPr>
      <w:ind w:firstLine="600" w:firstLineChars="200"/>
      <w:outlineLvl w:val="0"/>
    </w:pPr>
    <w:rPr>
      <w:rFonts w:ascii="黑体" w:hAnsi="黑体" w:eastAsia="黑体" w:cs="宋体"/>
      <w:color w:val="000000"/>
      <w:kern w:val="0"/>
      <w:sz w:val="30"/>
      <w:szCs w:val="30"/>
    </w:rPr>
  </w:style>
  <w:style w:type="paragraph" w:styleId="3">
    <w:name w:val="heading 2"/>
    <w:basedOn w:val="1"/>
    <w:next w:val="1"/>
    <w:link w:val="34"/>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35"/>
    <w:qFormat/>
    <w:uiPriority w:val="9"/>
    <w:pPr>
      <w:ind w:right="300"/>
      <w:outlineLvl w:val="2"/>
    </w:pPr>
    <w:rPr>
      <w:rFonts w:ascii="仿宋_GB2312" w:hAnsi="Calibri" w:eastAsia="仿宋_GB2312" w:cs="Times New Roman"/>
      <w:sz w:val="30"/>
      <w:szCs w:val="30"/>
    </w:rPr>
  </w:style>
  <w:style w:type="character" w:default="1" w:styleId="13">
    <w:name w:val="Default Paragraph Font"/>
    <w:unhideWhenUsed/>
    <w:uiPriority w:val="1"/>
  </w:style>
  <w:style w:type="table" w:default="1" w:styleId="17">
    <w:name w:val="Normal Table"/>
    <w:unhideWhenUsed/>
    <w:qFormat/>
    <w:uiPriority w:val="99"/>
    <w:tblPr>
      <w:tblStyle w:val="17"/>
      <w:tblLayout w:type="fixed"/>
      <w:tblCellMar>
        <w:top w:w="0" w:type="dxa"/>
        <w:left w:w="108" w:type="dxa"/>
        <w:bottom w:w="0" w:type="dxa"/>
        <w:right w:w="108" w:type="dxa"/>
      </w:tblCellMar>
    </w:tblPr>
    <w:tcPr>
      <w:textDirection w:val="lrTb"/>
    </w:tcPr>
  </w:style>
  <w:style w:type="paragraph" w:styleId="5">
    <w:name w:val="Document Map"/>
    <w:basedOn w:val="1"/>
    <w:link w:val="39"/>
    <w:unhideWhenUsed/>
    <w:uiPriority w:val="0"/>
    <w:rPr>
      <w:rFonts w:ascii="宋体"/>
      <w:sz w:val="18"/>
      <w:szCs w:val="18"/>
    </w:rPr>
  </w:style>
  <w:style w:type="paragraph" w:styleId="6">
    <w:name w:val="annotation text"/>
    <w:basedOn w:val="1"/>
    <w:link w:val="32"/>
    <w:unhideWhenUsed/>
    <w:uiPriority w:val="99"/>
    <w:pPr>
      <w:jc w:val="left"/>
    </w:pPr>
    <w:rPr>
      <w:rFonts w:ascii="Calibri" w:hAnsi="Calibri" w:eastAsia="宋体" w:cs="Times New Roman"/>
    </w:rPr>
  </w:style>
  <w:style w:type="paragraph" w:styleId="7">
    <w:name w:val="Balloon Text"/>
    <w:basedOn w:val="1"/>
    <w:link w:val="30"/>
    <w:unhideWhenUsed/>
    <w:uiPriority w:val="0"/>
    <w:rPr>
      <w:sz w:val="18"/>
      <w:szCs w:val="18"/>
    </w:rPr>
  </w:style>
  <w:style w:type="paragraph" w:styleId="8">
    <w:name w:val="footer"/>
    <w:basedOn w:val="1"/>
    <w:link w:val="29"/>
    <w:unhideWhenUsed/>
    <w:uiPriority w:val="99"/>
    <w:pPr>
      <w:tabs>
        <w:tab w:val="center" w:pos="4153"/>
        <w:tab w:val="right" w:pos="8306"/>
      </w:tabs>
      <w:snapToGrid w:val="0"/>
      <w:jc w:val="left"/>
    </w:pPr>
    <w:rPr>
      <w:sz w:val="18"/>
      <w:szCs w:val="18"/>
    </w:rPr>
  </w:style>
  <w:style w:type="paragraph" w:styleId="9">
    <w:name w:val="header"/>
    <w:basedOn w:val="1"/>
    <w:link w:val="28"/>
    <w:unhideWhenUsed/>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link w:val="37"/>
    <w:semiHidden/>
    <w:qFormat/>
    <w:uiPriority w:val="0"/>
    <w:pPr>
      <w:snapToGrid w:val="0"/>
      <w:jc w:val="left"/>
    </w:pPr>
    <w:rPr>
      <w:rFonts w:ascii="Times New Roman" w:hAnsi="Times New Roman"/>
      <w:sz w:val="18"/>
      <w:szCs w:val="18"/>
    </w:rPr>
  </w:style>
  <w:style w:type="paragraph" w:styleId="11">
    <w:name w:val="HTML Preformatted"/>
    <w:basedOn w:val="1"/>
    <w:link w:val="31"/>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2">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14">
    <w:name w:val="Hyperlink"/>
    <w:basedOn w:val="13"/>
    <w:unhideWhenUsed/>
    <w:uiPriority w:val="99"/>
    <w:rPr>
      <w:rFonts w:hint="default" w:ascii="ˎ̥" w:hAnsi="ˎ̥"/>
      <w:color w:val="0453CC"/>
      <w:sz w:val="20"/>
      <w:szCs w:val="20"/>
      <w:u w:val="none"/>
    </w:rPr>
  </w:style>
  <w:style w:type="character" w:styleId="15">
    <w:name w:val="annotation reference"/>
    <w:basedOn w:val="13"/>
    <w:unhideWhenUsed/>
    <w:uiPriority w:val="0"/>
    <w:rPr>
      <w:sz w:val="21"/>
      <w:szCs w:val="21"/>
    </w:rPr>
  </w:style>
  <w:style w:type="character" w:styleId="16">
    <w:name w:val="footnote reference"/>
    <w:unhideWhenUsed/>
    <w:qFormat/>
    <w:uiPriority w:val="0"/>
    <w:rPr>
      <w:rFonts w:ascii="Times New Roman" w:hAnsi="Times New Roman" w:cs="Times New Roman"/>
      <w:vertAlign w:val="superscript"/>
    </w:rPr>
  </w:style>
  <w:style w:type="table" w:styleId="18">
    <w:name w:val="Table Grid"/>
    <w:basedOn w:val="17"/>
    <w:uiPriority w:val="59"/>
    <w:pPr/>
    <w:tblPr>
      <w:tblStyle w:val="17"/>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cPr>
      <w:textDirection w:val="lrTb"/>
    </w:tcPr>
  </w:style>
  <w:style w:type="paragraph" w:customStyle="1" w:styleId="19">
    <w:name w:val="List Paragraph"/>
    <w:basedOn w:val="1"/>
    <w:qFormat/>
    <w:uiPriority w:val="34"/>
    <w:pPr>
      <w:ind w:firstLine="420" w:firstLineChars="200"/>
    </w:pPr>
  </w:style>
  <w:style w:type="paragraph" w:customStyle="1" w:styleId="20">
    <w:name w:val="Default"/>
    <w:uiPriority w:val="99"/>
    <w:pPr>
      <w:widowControl w:val="0"/>
      <w:autoSpaceDE w:val="0"/>
      <w:autoSpaceDN w:val="0"/>
      <w:adjustRightInd w:val="0"/>
    </w:pPr>
    <w:rPr>
      <w:rFonts w:ascii="仿宋_GB2312" w:hAnsi="Calibri" w:eastAsia="仿宋_GB2312" w:cs="仿宋_GB2312"/>
      <w:color w:val="000000"/>
      <w:kern w:val="0"/>
      <w:sz w:val="24"/>
      <w:szCs w:val="24"/>
      <w:lang w:val="en-US" w:eastAsia="zh-CN" w:bidi="ar-SA"/>
    </w:rPr>
  </w:style>
  <w:style w:type="paragraph" w:customStyle="1" w:styleId="21">
    <w:name w:val="juzhong"/>
    <w:basedOn w:val="1"/>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22">
    <w:name w:val="Revision"/>
    <w:hidden/>
    <w:semiHidden/>
    <w:uiPriority w:val="99"/>
    <w:rPr>
      <w:rFonts w:ascii="Calibri" w:hAnsi="Calibri" w:eastAsia="宋体" w:cs="黑体"/>
      <w:kern w:val="2"/>
      <w:sz w:val="21"/>
      <w:szCs w:val="22"/>
      <w:lang w:val="en-US" w:eastAsia="zh-CN" w:bidi="ar-SA"/>
    </w:rPr>
  </w:style>
  <w:style w:type="paragraph" w:customStyle="1" w:styleId="23">
    <w:name w:val="列出段落1"/>
    <w:basedOn w:val="1"/>
    <w:qFormat/>
    <w:uiPriority w:val="34"/>
    <w:pPr>
      <w:ind w:firstLine="420" w:firstLineChars="200"/>
    </w:pPr>
    <w:rPr>
      <w:rFonts w:ascii="Calibri" w:hAnsi="Calibri" w:eastAsia="宋体" w:cs="Times New Roman"/>
    </w:rPr>
  </w:style>
  <w:style w:type="paragraph" w:customStyle="1" w:styleId="24">
    <w:name w:val="列出段落4"/>
    <w:basedOn w:val="1"/>
    <w:qFormat/>
    <w:uiPriority w:val="0"/>
    <w:pPr>
      <w:ind w:firstLine="200" w:firstLineChars="200"/>
    </w:pPr>
    <w:rPr>
      <w:rFonts w:ascii="Calibri" w:hAnsi="Calibri" w:eastAsia="宋体" w:cs="Times New Roman"/>
    </w:rPr>
  </w:style>
  <w:style w:type="paragraph" w:customStyle="1" w:styleId="25">
    <w:name w:val="列出段落3"/>
    <w:basedOn w:val="1"/>
    <w:qFormat/>
    <w:uiPriority w:val="0"/>
    <w:pPr>
      <w:ind w:firstLine="420" w:firstLineChars="200"/>
    </w:pPr>
    <w:rPr>
      <w:rFonts w:ascii="Times New Roman" w:hAnsi="Times New Roman" w:eastAsia="宋体" w:cs="Times New Roman"/>
      <w:szCs w:val="24"/>
    </w:rPr>
  </w:style>
  <w:style w:type="paragraph" w:customStyle="1" w:styleId="26">
    <w:name w:val="p0"/>
    <w:basedOn w:val="1"/>
    <w:uiPriority w:val="0"/>
    <w:pPr>
      <w:widowControl/>
    </w:pPr>
    <w:rPr>
      <w:rFonts w:ascii="Calibri" w:hAnsi="Calibri" w:eastAsia="宋体" w:cs="宋体"/>
      <w:kern w:val="0"/>
      <w:szCs w:val="21"/>
    </w:rPr>
  </w:style>
  <w:style w:type="paragraph" w:customStyle="1" w:styleId="27">
    <w:name w:val="Heading 1"/>
    <w:basedOn w:val="1"/>
    <w:qFormat/>
    <w:uiPriority w:val="1"/>
    <w:pPr>
      <w:spacing w:line="541" w:lineRule="exact"/>
      <w:ind w:left="1919" w:right="2017"/>
      <w:jc w:val="center"/>
      <w:outlineLvl w:val="1"/>
    </w:pPr>
    <w:rPr>
      <w:rFonts w:ascii="Noto Sans Mono CJK JP Regular" w:hAnsi="Noto Sans Mono CJK JP Regular" w:eastAsia="Noto Sans Mono CJK JP Regular" w:cs="Noto Sans Mono CJK JP Regular"/>
      <w:sz w:val="36"/>
      <w:szCs w:val="36"/>
    </w:rPr>
  </w:style>
  <w:style w:type="character" w:customStyle="1" w:styleId="28">
    <w:name w:val="页眉 Char"/>
    <w:basedOn w:val="13"/>
    <w:link w:val="9"/>
    <w:uiPriority w:val="99"/>
    <w:rPr>
      <w:sz w:val="18"/>
      <w:szCs w:val="18"/>
    </w:rPr>
  </w:style>
  <w:style w:type="character" w:customStyle="1" w:styleId="29">
    <w:name w:val="页脚 Char"/>
    <w:basedOn w:val="13"/>
    <w:link w:val="8"/>
    <w:uiPriority w:val="99"/>
    <w:rPr>
      <w:sz w:val="18"/>
      <w:szCs w:val="18"/>
    </w:rPr>
  </w:style>
  <w:style w:type="character" w:customStyle="1" w:styleId="30">
    <w:name w:val="批注框文本 Char"/>
    <w:basedOn w:val="13"/>
    <w:link w:val="7"/>
    <w:semiHidden/>
    <w:uiPriority w:val="0"/>
    <w:rPr>
      <w:sz w:val="18"/>
      <w:szCs w:val="18"/>
    </w:rPr>
  </w:style>
  <w:style w:type="character" w:customStyle="1" w:styleId="31">
    <w:name w:val="HTML 预设格式 Char"/>
    <w:basedOn w:val="13"/>
    <w:link w:val="11"/>
    <w:uiPriority w:val="99"/>
    <w:rPr>
      <w:rFonts w:ascii="宋体" w:hAnsi="宋体" w:eastAsia="宋体" w:cs="宋体"/>
      <w:kern w:val="0"/>
      <w:sz w:val="24"/>
      <w:szCs w:val="24"/>
    </w:rPr>
  </w:style>
  <w:style w:type="character" w:customStyle="1" w:styleId="32">
    <w:name w:val="批注文字 Char"/>
    <w:basedOn w:val="13"/>
    <w:link w:val="6"/>
    <w:semiHidden/>
    <w:uiPriority w:val="0"/>
    <w:rPr>
      <w:rFonts w:ascii="Calibri" w:hAnsi="Calibri" w:eastAsia="宋体" w:cs="Times New Roman"/>
    </w:rPr>
  </w:style>
  <w:style w:type="character" w:customStyle="1" w:styleId="33">
    <w:name w:val="标题 1 Char"/>
    <w:basedOn w:val="13"/>
    <w:link w:val="2"/>
    <w:uiPriority w:val="9"/>
    <w:rPr>
      <w:rFonts w:ascii="黑体" w:hAnsi="黑体" w:eastAsia="黑体" w:cs="宋体"/>
      <w:color w:val="000000"/>
      <w:kern w:val="0"/>
      <w:sz w:val="30"/>
      <w:szCs w:val="30"/>
    </w:rPr>
  </w:style>
  <w:style w:type="character" w:customStyle="1" w:styleId="34">
    <w:name w:val="标题 2 Char"/>
    <w:basedOn w:val="13"/>
    <w:link w:val="3"/>
    <w:qFormat/>
    <w:uiPriority w:val="0"/>
    <w:rPr>
      <w:rFonts w:ascii="Cambria" w:hAnsi="Cambria" w:eastAsia="宋体" w:cs="Times New Roman"/>
      <w:b/>
      <w:bCs/>
      <w:sz w:val="32"/>
      <w:szCs w:val="32"/>
    </w:rPr>
  </w:style>
  <w:style w:type="character" w:customStyle="1" w:styleId="35">
    <w:name w:val="标题 3 Char"/>
    <w:basedOn w:val="13"/>
    <w:link w:val="4"/>
    <w:uiPriority w:val="9"/>
    <w:rPr>
      <w:rFonts w:ascii="仿宋_GB2312" w:hAnsi="Calibri" w:eastAsia="仿宋_GB2312" w:cs="Times New Roman"/>
      <w:sz w:val="30"/>
      <w:szCs w:val="30"/>
    </w:rPr>
  </w:style>
  <w:style w:type="character" w:customStyle="1" w:styleId="36">
    <w:name w:val="脚注文本 Char"/>
    <w:basedOn w:val="13"/>
    <w:semiHidden/>
    <w:uiPriority w:val="99"/>
    <w:rPr>
      <w:kern w:val="2"/>
      <w:sz w:val="18"/>
      <w:szCs w:val="18"/>
    </w:rPr>
  </w:style>
  <w:style w:type="character" w:customStyle="1" w:styleId="37">
    <w:name w:val="脚注文本 Char1"/>
    <w:basedOn w:val="13"/>
    <w:link w:val="10"/>
    <w:semiHidden/>
    <w:uiPriority w:val="0"/>
    <w:rPr>
      <w:rFonts w:ascii="Times New Roman" w:hAnsi="Times New Roman"/>
      <w:sz w:val="18"/>
      <w:szCs w:val="18"/>
    </w:rPr>
  </w:style>
  <w:style w:type="character" w:customStyle="1" w:styleId="38">
    <w:name w:val="标题 4 Char Char"/>
    <w:qFormat/>
    <w:uiPriority w:val="0"/>
    <w:rPr>
      <w:rFonts w:ascii="Calibri" w:hAnsi="Calibri"/>
      <w:b/>
      <w:bCs/>
      <w:sz w:val="28"/>
      <w:szCs w:val="28"/>
      <w:lang w:eastAsia="en-US" w:bidi="en-US"/>
    </w:rPr>
  </w:style>
  <w:style w:type="character" w:customStyle="1" w:styleId="39">
    <w:name w:val="文档结构图 Char"/>
    <w:basedOn w:val="13"/>
    <w:link w:val="5"/>
    <w:uiPriority w:val="0"/>
    <w:rPr>
      <w:rFonts w:ascii="宋体"/>
      <w:sz w:val="18"/>
      <w:szCs w:val="18"/>
    </w:rPr>
  </w:style>
  <w:style w:type="character" w:customStyle="1" w:styleId="40">
    <w:name w:val="批注文字 Char1"/>
    <w:basedOn w:val="13"/>
    <w:semiHidden/>
    <w:uiPriority w:val="99"/>
    <w:rPr>
      <w:kern w:val="2"/>
      <w:sz w:val="21"/>
      <w:szCs w:val="22"/>
    </w:rPr>
  </w:style>
  <w:style w:type="character" w:customStyle="1" w:styleId="41">
    <w:name w:val="Intense Emphasis"/>
    <w:basedOn w:val="13"/>
    <w:qFormat/>
    <w:uiPriority w:val="21"/>
    <w:rPr>
      <w:b/>
      <w:bCs/>
      <w:i/>
      <w:iCs/>
      <w:color w:val="4F81BD"/>
    </w:rPr>
  </w:style>
  <w:style w:type="character" w:customStyle="1" w:styleId="42">
    <w:name w:val="文档结构图 Char1"/>
    <w:basedOn w:val="13"/>
    <w:semiHidden/>
    <w:uiPriority w:val="99"/>
    <w:rPr>
      <w:rFonts w:ascii="宋体" w:eastAsia="宋体"/>
      <w:sz w:val="18"/>
      <w:szCs w:val="18"/>
    </w:rPr>
  </w:style>
  <w:style w:type="character" w:customStyle="1" w:styleId="43">
    <w:name w:val="脚注文本 Char2"/>
    <w:basedOn w:val="13"/>
    <w:semiHidden/>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229</Words>
  <Characters>1310</Characters>
  <Lines>10</Lines>
  <Paragraphs>3</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2020-02-26T16:42:00Z</dcterms:created>
  <dc:creator>裴建君2</dc:creator>
  <cp:lastModifiedBy>蒙卫丹/资本项目管理处/南宁/PBC</cp:lastModifiedBy>
  <cp:lastPrinted>2017-11-24T00:22:00Z</cp:lastPrinted>
  <dcterms:modified xsi:type="dcterms:W3CDTF">2020-12-24T03:25:49Z</dcterms:modified>
  <dc:title>编号：57015               _x0001_</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