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90" w:rsidRDefault="000B7390">
      <w:pPr>
        <w:ind w:right="300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编号：</w:t>
      </w:r>
      <w:r>
        <w:rPr>
          <w:rFonts w:ascii="Times New Roman" w:eastAsia="黑体" w:hAnsi="Times New Roman"/>
          <w:sz w:val="48"/>
          <w:szCs w:val="48"/>
        </w:rPr>
        <w:t xml:space="preserve">57013               </w:t>
      </w:r>
      <w:r w:rsidRPr="00201C34">
        <w:rPr>
          <w:rFonts w:ascii="Times New Roman" w:eastAsia="黑体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6.25pt;height:69pt;visibility:visible">
            <v:imagedata r:id="rId6" o:title=""/>
          </v:shape>
        </w:pict>
      </w:r>
    </w:p>
    <w:p w:rsidR="000B7390" w:rsidRDefault="000B7390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黑体" w:hAnsi="Times New Roman"/>
          <w:sz w:val="52"/>
          <w:szCs w:val="52"/>
        </w:rPr>
      </w:pPr>
    </w:p>
    <w:p w:rsidR="000B7390" w:rsidRDefault="000B7390">
      <w:pPr>
        <w:ind w:right="300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/>
          <w:sz w:val="52"/>
          <w:szCs w:val="52"/>
        </w:rPr>
        <w:t>“</w:t>
      </w:r>
      <w:r>
        <w:rPr>
          <w:rFonts w:ascii="Times New Roman" w:eastAsia="黑体" w:hAnsi="Times New Roman" w:hint="eastAsia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/>
          <w:sz w:val="52"/>
          <w:szCs w:val="52"/>
        </w:rPr>
        <w:t>”</w:t>
      </w:r>
      <w:r>
        <w:rPr>
          <w:rFonts w:ascii="Times New Roman" w:eastAsia="黑体" w:hAnsi="Times New Roman" w:hint="eastAsia"/>
          <w:sz w:val="52"/>
          <w:szCs w:val="52"/>
        </w:rPr>
        <w:t>行政审批</w:t>
      </w:r>
    </w:p>
    <w:p w:rsidR="000B7390" w:rsidRDefault="000B7390">
      <w:pPr>
        <w:ind w:right="300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服务指南</w:t>
      </w: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发布机构：国家外汇管理局甘肃省分局</w:t>
      </w:r>
    </w:p>
    <w:p w:rsidR="000B7390" w:rsidRDefault="000B7390" w:rsidP="0060763B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发布时间</w:t>
      </w:r>
      <w:r>
        <w:rPr>
          <w:rFonts w:ascii="Times New Roman" w:eastAsia="仿宋_GB2312" w:hAnsi="Times New Roman"/>
          <w:sz w:val="30"/>
          <w:szCs w:val="30"/>
        </w:rPr>
        <w:t>:2021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9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</w:p>
    <w:p w:rsidR="000B7390" w:rsidRDefault="000B7390">
      <w:pPr>
        <w:ind w:right="300"/>
        <w:rPr>
          <w:rFonts w:ascii="Times New Roman" w:eastAsia="仿宋_GB2312" w:hAnsi="Times New Roman"/>
          <w:sz w:val="30"/>
          <w:szCs w:val="30"/>
        </w:rPr>
        <w:sectPr w:rsidR="000B739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390" w:rsidRDefault="000B7390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一、项目信息</w:t>
      </w:r>
    </w:p>
    <w:p w:rsidR="000B7390" w:rsidRDefault="000B7390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项目名称：银行、农村信用社、兑换机构及非金融机构等结汇、售汇业务市场准入、退出审批；</w:t>
      </w:r>
    </w:p>
    <w:p w:rsidR="000B7390" w:rsidRDefault="000B7390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项目编号：</w:t>
      </w:r>
      <w:r>
        <w:rPr>
          <w:rFonts w:ascii="Times New Roman" w:eastAsia="仿宋_GB2312" w:hAnsi="Times New Roman"/>
          <w:sz w:val="30"/>
          <w:szCs w:val="30"/>
        </w:rPr>
        <w:t>57013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审批类别：行政许可。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二、适用范围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本指南适用于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的申请和办理。</w:t>
      </w:r>
    </w:p>
    <w:p w:rsidR="000B7390" w:rsidRDefault="000B7390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三、设定依据</w:t>
      </w:r>
      <w:r>
        <w:rPr>
          <w:rFonts w:ascii="Times New Roman" w:eastAsia="黑体" w:hAnsi="Times New Roman"/>
          <w:sz w:val="30"/>
          <w:szCs w:val="30"/>
        </w:rPr>
        <w:tab/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 w:hint="eastAsia"/>
          <w:sz w:val="30"/>
          <w:szCs w:val="30"/>
        </w:rPr>
        <w:t>号）第二十四条：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 w:hint="eastAsia"/>
          <w:sz w:val="30"/>
          <w:szCs w:val="30"/>
        </w:rPr>
        <w:t>号）第五十三条：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四、银行合作办理远期结售汇业务市场准入审批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（一）办理依据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 w:hint="eastAsia"/>
          <w:sz w:val="30"/>
          <w:szCs w:val="30"/>
        </w:rPr>
        <w:t>号）；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《国家外汇管理局关于合作办理远期结售汇业务有关问题的通知》（汇发</w:t>
      </w:r>
      <w:r>
        <w:rPr>
          <w:rFonts w:ascii="Times New Roman" w:eastAsia="仿宋_GB2312" w:hAnsi="Times New Roman"/>
          <w:sz w:val="30"/>
          <w:szCs w:val="30"/>
        </w:rPr>
        <w:t>[2010]62</w:t>
      </w:r>
      <w:r>
        <w:rPr>
          <w:rFonts w:ascii="Times New Roman" w:eastAsia="仿宋_GB2312" w:hAnsi="Times New Roman" w:hint="eastAsia"/>
          <w:sz w:val="30"/>
          <w:szCs w:val="30"/>
        </w:rPr>
        <w:t>号）。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（二）受理机构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申请人向所在地国家外汇管理局分局（外汇管理部）申请，如处于市（地、州、区）、县，应向所在地国家外汇管理局中心支局或支局申请，并逐级上报至国家外汇管理局分局（外汇管理部）。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（三）决定机构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申请人所在地国家外汇管理局分局（外汇管理部）。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（四）审批数量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无数量限制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（五）办事条件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申请人可为境内银行总行或其分支机构。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境内银行总行需同时符合以下条件：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年（含）以上；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）近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年（含）即期结售汇业务经营中未发生重大违规行为；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）上年度外汇资产季平均余额在等值</w:t>
      </w:r>
      <w:r>
        <w:rPr>
          <w:rFonts w:ascii="Times New Roman" w:eastAsia="仿宋_GB2312" w:hAnsi="Times New Roman"/>
          <w:sz w:val="30"/>
          <w:szCs w:val="30"/>
        </w:rPr>
        <w:t>2000</w:t>
      </w:r>
      <w:r>
        <w:rPr>
          <w:rFonts w:ascii="Times New Roman" w:eastAsia="仿宋_GB2312" w:hAnsi="Times New Roman" w:hint="eastAsia"/>
          <w:sz w:val="30"/>
          <w:szCs w:val="30"/>
        </w:rPr>
        <w:t>万美元（含）以上；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）近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/>
          <w:sz w:val="30"/>
          <w:szCs w:val="30"/>
        </w:rPr>
        <w:t>B</w:t>
      </w:r>
      <w:r>
        <w:rPr>
          <w:rFonts w:ascii="Times New Roman" w:eastAsia="仿宋_GB2312" w:hAnsi="Times New Roman" w:hint="eastAsia"/>
          <w:sz w:val="30"/>
          <w:szCs w:val="30"/>
        </w:rPr>
        <w:t>级（含）以上；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）具有完善的合作办理远期结售汇业务管理制度；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境内银行分支机构需同时符合以下条件：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年（含）以上；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）近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年（含）即期结售汇业务经营中未发生重大违规行为；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）近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/>
          <w:sz w:val="30"/>
          <w:szCs w:val="30"/>
        </w:rPr>
        <w:t>B</w:t>
      </w:r>
      <w:r>
        <w:rPr>
          <w:rFonts w:ascii="Times New Roman" w:eastAsia="仿宋_GB2312" w:hAnsi="Times New Roman" w:hint="eastAsia"/>
          <w:sz w:val="30"/>
          <w:szCs w:val="30"/>
        </w:rPr>
        <w:t>级（含）以上；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）取得其总行（或总社）授权。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（六）申请材料</w:t>
      </w:r>
    </w:p>
    <w:p w:rsidR="000B7390" w:rsidRDefault="000B7390">
      <w:pPr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银行总行合作办理远期结售汇业务市场准入审批申请材料清单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left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left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left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上年度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0B7390" w:rsidRDefault="000B7390">
      <w:pPr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银行分支机构合作办理远期结售汇业务市场准入审批申请材料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left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left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left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与具备资格银行签订的合作协议书范本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0B7390" w:rsidRPr="00B12E44">
        <w:tc>
          <w:tcPr>
            <w:tcW w:w="81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B7390" w:rsidRDefault="000B7390">
            <w:pPr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0B7390" w:rsidRDefault="000B7390" w:rsidP="000B7390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（七）申请接受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申请人可通过窗口、邮寄、国家外汇管理局政务服务网上办理系统等方式提交材料。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（八）基本办理流程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申请人提交申请；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决定是否予以受理；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sz w:val="30"/>
          <w:szCs w:val="30"/>
        </w:rPr>
        <w:t>不予受理的，出具不予受理通知书；受理的，出具受理通知书，进行审查报批；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 w:hint="eastAsia"/>
          <w:sz w:val="30"/>
          <w:szCs w:val="30"/>
        </w:rPr>
        <w:t>不予许可的，出具不予许可通知书。许可的，向申请人出具备案通知书。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 w:hint="eastAsia"/>
          <w:sz w:val="30"/>
          <w:szCs w:val="30"/>
        </w:rPr>
        <w:t>材料不全或不符合法定形式的，一次性告知补正材料，并出具《行政许可补正通知书》。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（九）办理方式</w:t>
      </w:r>
    </w:p>
    <w:p w:rsidR="000B7390" w:rsidRDefault="000B739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一般程序：申请、受理、审查、出具备案通知书。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（十）审批时限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个工作日。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（十一）审批收费依据及标准</w:t>
      </w:r>
    </w:p>
    <w:p w:rsidR="000B7390" w:rsidRDefault="000B739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不收费。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（十二）审批结果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备案通知书。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（十三）结果送达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通过现场告知或电话通知申请人，并通过现场领取或邮寄方式将结果送达。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（十四）申请人权利和义务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（十五）事项审查类型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前审后批</w:t>
      </w:r>
    </w:p>
    <w:p w:rsidR="000B7390" w:rsidRDefault="000B7390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（十六）办公地址和时间</w:t>
      </w:r>
    </w:p>
    <w:p w:rsidR="000B7390" w:rsidRDefault="000B7390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 w:rsidR="000B7390" w:rsidRDefault="000B7390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（十七）禁止性要求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如符合上述条件，不存在不予许可的情况。</w:t>
      </w:r>
    </w:p>
    <w:p w:rsidR="000B7390" w:rsidRDefault="000B7390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（十八）咨询途径</w:t>
      </w:r>
    </w:p>
    <w:p w:rsidR="000B7390" w:rsidRPr="00521E8D" w:rsidRDefault="000B7390" w:rsidP="0060763B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咨询电话：（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8800739</w:t>
      </w:r>
    </w:p>
    <w:p w:rsidR="000B7390" w:rsidRPr="00521E8D" w:rsidRDefault="000B7390" w:rsidP="0060763B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传真电话：（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 xml:space="preserve">8848967 </w:t>
      </w:r>
    </w:p>
    <w:p w:rsidR="000B7390" w:rsidRDefault="000B7390" w:rsidP="0060763B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值班电话：（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8800709</w:t>
      </w:r>
    </w:p>
    <w:p w:rsidR="000B7390" w:rsidRDefault="000B7390" w:rsidP="0060763B">
      <w:pPr>
        <w:ind w:firstLineChars="200" w:firstLine="31680"/>
        <w:rPr>
          <w:rStyle w:val="Hyperlink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网址：</w:t>
      </w:r>
      <w:hyperlink r:id="rId8" w:history="1">
        <w:r w:rsidRPr="003452EF">
          <w:rPr>
            <w:rStyle w:val="Hyperlink"/>
            <w:rFonts w:ascii="Calibri" w:hAnsi="Calibri"/>
            <w:sz w:val="30"/>
            <w:szCs w:val="30"/>
          </w:rPr>
          <w:t>www.safe.gov.cn/gansu</w:t>
        </w:r>
      </w:hyperlink>
    </w:p>
    <w:p w:rsidR="000B7390" w:rsidRDefault="000B7390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（十九）办理进程和结果公开查询</w:t>
      </w:r>
    </w:p>
    <w:p w:rsidR="000B7390" w:rsidRDefault="000B7390" w:rsidP="00921F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向国家外汇管理局甘肃省分局咨询、进度查询、监督和投诉等可通过电话、传真、国家外汇管理局官方互联网站公众交流栏目进行。</w:t>
      </w:r>
    </w:p>
    <w:p w:rsidR="000B7390" w:rsidRPr="00521E8D" w:rsidRDefault="000B7390" w:rsidP="0060763B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咨询电话：（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8800739</w:t>
      </w:r>
    </w:p>
    <w:p w:rsidR="000B7390" w:rsidRPr="00521E8D" w:rsidRDefault="000B7390" w:rsidP="0060763B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传真电话：（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 xml:space="preserve">8848967 </w:t>
      </w:r>
    </w:p>
    <w:p w:rsidR="000B7390" w:rsidRDefault="000B7390" w:rsidP="0060763B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值班电话：（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8800709</w:t>
      </w:r>
    </w:p>
    <w:p w:rsidR="000B7390" w:rsidRDefault="000B7390" w:rsidP="0060763B">
      <w:pPr>
        <w:ind w:firstLineChars="200" w:firstLine="31680"/>
        <w:rPr>
          <w:rStyle w:val="Hyperlink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网址：</w:t>
      </w:r>
      <w:hyperlink r:id="rId9" w:history="1">
        <w:r w:rsidRPr="003452EF">
          <w:rPr>
            <w:rStyle w:val="Hyperlink"/>
            <w:rFonts w:ascii="Calibri" w:hAnsi="Calibri"/>
            <w:sz w:val="30"/>
            <w:szCs w:val="30"/>
          </w:rPr>
          <w:t>www.safe.gov.cn/gansu</w:t>
        </w:r>
      </w:hyperlink>
    </w:p>
    <w:p w:rsidR="000B7390" w:rsidRDefault="000B7390" w:rsidP="00921F28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0B7390" w:rsidRDefault="000B7390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（二十）监督投诉渠道</w:t>
      </w:r>
    </w:p>
    <w:p w:rsidR="000B7390" w:rsidRDefault="000B7390" w:rsidP="00921F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向国家外汇管理局甘肃省分局监督和投诉等可通过电话、传真、国家外汇管理局官方互联网站公众交流栏目进行。</w:t>
      </w:r>
    </w:p>
    <w:p w:rsidR="000B7390" w:rsidRDefault="000B7390" w:rsidP="00921F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电话：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8800709</w:t>
      </w:r>
    </w:p>
    <w:p w:rsidR="000B7390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传真电话：（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8848967</w:t>
      </w:r>
    </w:p>
    <w:p w:rsidR="000B7390" w:rsidRPr="00A214B4" w:rsidRDefault="000B7390" w:rsidP="0060763B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网址：</w:t>
      </w:r>
      <w:hyperlink r:id="rId10" w:history="1">
        <w:r w:rsidRPr="003452EF">
          <w:rPr>
            <w:rStyle w:val="Hyperlink"/>
            <w:rFonts w:ascii="Calibri" w:hAnsi="Calibri"/>
            <w:sz w:val="30"/>
            <w:szCs w:val="30"/>
          </w:rPr>
          <w:t>www.safe.gov.cn/gansu</w:t>
        </w:r>
      </w:hyperlink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（二十一）申请材料示范文本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无固定格式，但需要根据总行、分支机构提供不同的材料，有关内容要求详见（六）申请材料。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（二十二）常见问题解答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审批时限在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个工作日以内。但办理过程中所需的现场验收等，不计入时限。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（二十三）常见错误示例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申请材料不完全符合规定，例如合作办理远期结售汇业务相关管理制度包含内容不全等。</w:t>
      </w:r>
    </w:p>
    <w:p w:rsidR="000B7390" w:rsidRDefault="000B739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</w:p>
    <w:p w:rsidR="000B7390" w:rsidRDefault="000B7390">
      <w:pPr>
        <w:ind w:right="300" w:firstLine="600"/>
        <w:rPr>
          <w:rFonts w:ascii="Times New Roman" w:eastAsia="仿宋_GB2312" w:hAnsi="Times New Roman"/>
          <w:sz w:val="30"/>
          <w:szCs w:val="30"/>
        </w:rPr>
        <w:sectPr w:rsidR="000B7390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390" w:rsidRDefault="000B7390">
      <w:pPr>
        <w:ind w:right="3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附录</w:t>
      </w:r>
    </w:p>
    <w:p w:rsidR="000B7390" w:rsidRDefault="000B7390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基本流程图</w:t>
      </w:r>
    </w:p>
    <w:p w:rsidR="000B7390" w:rsidRDefault="000B7390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group id="_x0000_s1026" style="position:absolute;left:0;text-align:left;margin-left:-39.65pt;margin-top:.9pt;width:459.7pt;height:418.5pt;z-index:251659264" coordorigin="1007,3330" coordsize="9194,8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392;top:8652;width:0;height:437" o:connectortype="straight">
              <v:stroke endarrow="block"/>
            </v:shape>
            <v:shape id="_x0000_s1028" type="#_x0000_t32" style="position:absolute;left:6547;top:9623;width:17;height:905" o:connectortype="straight">
              <v:stroke endarrow="block"/>
            </v:shape>
            <v:shape id="_x0000_s1029" type="#_x0000_t32" style="position:absolute;left:4432;top:9623;width:1;height:905" o:connectortype="straight">
              <v:stroke endarrow="block"/>
            </v:shape>
            <v:shape id="_x0000_s1030" type="#_x0000_t32" style="position:absolute;left:2612;top:6826;width:0;height:1391" o:connectortype="straight"/>
            <v:shape id="_x0000_s1031" type="#_x0000_t32" style="position:absolute;left:2612;top:8217;width:822;height:0" o:connectortype="straight">
              <v:stroke endarrow="block"/>
            </v:shape>
            <v:rect id="_x0000_s1032" style="position:absolute;left:4839;top:6389;width:5362;height:906">
              <v:textbox>
                <w:txbxContent>
                  <w:p w:rsidR="000B7390" w:rsidRDefault="000B7390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0B7390" w:rsidRDefault="000B7390"/>
                </w:txbxContent>
              </v:textbox>
            </v:rect>
            <v:rect id="_x0000_s1033" style="position:absolute;left:3433;top:8049;width:4104;height:603">
              <v:textbox>
                <w:txbxContent>
                  <w:p w:rsidR="000B7390" w:rsidRDefault="000B7390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0B7390" w:rsidRDefault="000B7390"/>
                </w:txbxContent>
              </v:textbox>
            </v:rect>
            <v:rect id="_x0000_s1034" style="position:absolute;left:3434;top:9089;width:4252;height:534">
              <v:textbox>
                <w:txbxContent>
                  <w:p w:rsidR="000B7390" w:rsidRDefault="000B7390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0B7390" w:rsidRDefault="000B7390"/>
                </w:txbxContent>
              </v:textbox>
            </v:rect>
            <v:rect id="_x0000_s1035" style="position:absolute;left:3433;top:10528;width:1747;height:1172">
              <v:textbox>
                <w:txbxContent>
                  <w:p w:rsidR="000B7390" w:rsidRDefault="000B7390"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 w:rsidR="000B7390" w:rsidRDefault="000B7390"/>
                </w:txbxContent>
              </v:textbox>
            </v:rect>
            <v:rect id="_x0000_s1036" style="position:absolute;left:5790;top:10528;width:1747;height:1172">
              <v:textbox>
                <w:txbxContent>
                  <w:p w:rsidR="000B7390" w:rsidRDefault="000B7390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0B7390" w:rsidRDefault="000B7390"/>
                </w:txbxContent>
              </v:textbox>
            </v:rect>
            <v:shape id="_x0000_s1037" type="#_x0000_t32" style="position:absolute;left:2612;top:4693;width:17;height:1468" o:connectortype="straight">
              <v:stroke endarrow="block"/>
            </v:shape>
            <v:shape id="_x0000_s1038" type="#_x0000_t32" style="position:absolute;left:3570;top:5789;width:1269;height:1" o:connectortype="straight">
              <v:stroke endarrow="block"/>
            </v:shape>
            <v:shape id="_x0000_s1039" type="#_x0000_t32" style="position:absolute;left:3667;top:6593;width:1172;height:0" o:connectortype="straight">
              <v:stroke endarrow="block"/>
            </v:shape>
            <v:shape id="_x0000_s1040" type="#_x0000_t32" style="position:absolute;left:8191;top:5266;width:0;height:271;flip:y" o:connectortype="straight">
              <v:stroke endarrow="block"/>
            </v:shape>
            <v:shape id="_x0000_s1041" type="#_x0000_t32" style="position:absolute;left:2629;top:4981;width:4643;height:1;flip:x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2" type="#_x0000_t110" style="position:absolute;left:1007;top:5267;width:3274;height:1889">
              <v:textbox>
                <w:txbxContent>
                  <w:p w:rsidR="000B7390" w:rsidRDefault="000B7390">
                    <w:r>
                      <w:rPr>
                        <w:rFonts w:hint="eastAsia"/>
                      </w:rPr>
                      <w:t>接件并当场（或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0B7390" w:rsidRDefault="000B7390"/>
                </w:txbxContent>
              </v:textbox>
            </v:shape>
            <v:rect id="_x0000_s1043" style="position:absolute;left:4839;top:5537;width:5362;height:500">
              <v:textbox>
                <w:txbxContent>
                  <w:p w:rsidR="000B7390" w:rsidRDefault="000B7390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0B7390" w:rsidRDefault="000B7390"/>
                </w:txbxContent>
              </v:textbox>
            </v:rect>
            <v:rect id="_x0000_s1044" style="position:absolute;left:1771;top:3330;width:2662;height:1363">
              <v:textbox>
                <w:txbxContent>
                  <w:p w:rsidR="000B7390" w:rsidRDefault="000B7390">
                    <w:pPr>
                      <w:spacing w:before="34"/>
                      <w:rPr>
                        <w:rFonts w:asci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 w:rsidR="000B7390" w:rsidRDefault="000B7390"/>
                </w:txbxContent>
              </v:textbox>
            </v:rect>
          </v:group>
        </w:pict>
      </w:r>
      <w:r>
        <w:rPr>
          <w:noProof/>
        </w:rPr>
        <w:pict>
          <v:rect id="_x0000_s1045" style="position:absolute;left:0;text-align:left;margin-left:273.6pt;margin-top:57.9pt;width:104.7pt;height:39.8pt;z-index:251658240">
            <v:textbox>
              <w:txbxContent>
                <w:p w:rsidR="000B7390" w:rsidRDefault="000B7390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1.45pt;margin-top:.9pt;width:133.1pt;height:68.15pt;z-index:251657216">
            <v:textbox>
              <w:txbxContent>
                <w:p w:rsidR="000B7390" w:rsidRDefault="000B7390">
                  <w:pPr>
                    <w:spacing w:before="34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 w:rsidR="000B7390" w:rsidRDefault="000B7390"/>
              </w:txbxContent>
            </v:textbox>
          </v:rect>
        </w:pict>
      </w:r>
    </w:p>
    <w:p w:rsidR="000B7390" w:rsidRDefault="000B7390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rect id="_x0000_s1047" style="position:absolute;left:0;text-align:left;margin-left:273.6pt;margin-top:26.7pt;width:104.7pt;height:39.8pt;z-index:251656192">
            <v:textbox>
              <w:txbxContent>
                <w:p w:rsidR="000B7390" w:rsidRDefault="000B7390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0B7390" w:rsidRDefault="000B7390">
      <w:pPr>
        <w:ind w:right="300"/>
        <w:jc w:val="center"/>
        <w:rPr>
          <w:rFonts w:ascii="Times New Roman" w:hAnsi="Times New Roman"/>
        </w:rPr>
      </w:pPr>
    </w:p>
    <w:sectPr w:rsidR="000B7390" w:rsidSect="00C824E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0" w:rsidRDefault="000B7390" w:rsidP="00C824E0">
      <w:r>
        <w:separator/>
      </w:r>
    </w:p>
  </w:endnote>
  <w:endnote w:type="continuationSeparator" w:id="0">
    <w:p w:rsidR="000B7390" w:rsidRDefault="000B7390" w:rsidP="00C8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90" w:rsidRDefault="000B7390">
    <w:pPr>
      <w:pStyle w:val="Footer"/>
      <w:jc w:val="center"/>
    </w:pPr>
    <w:fldSimple w:instr=" PAGE   \* MERGEFORMAT ">
      <w:r w:rsidRPr="0060763B">
        <w:rPr>
          <w:noProof/>
          <w:lang w:val="zh-CN"/>
        </w:rPr>
        <w:t>1</w:t>
      </w:r>
    </w:fldSimple>
  </w:p>
  <w:p w:rsidR="000B7390" w:rsidRDefault="000B7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90" w:rsidRDefault="000B7390">
    <w:pPr>
      <w:pStyle w:val="Footer"/>
      <w:jc w:val="center"/>
    </w:pPr>
    <w:fldSimple w:instr=" PAGE   \* MERGEFORMAT ">
      <w:r w:rsidRPr="0060763B">
        <w:rPr>
          <w:noProof/>
          <w:lang w:val="zh-CN"/>
        </w:rPr>
        <w:t>2</w:t>
      </w:r>
    </w:fldSimple>
  </w:p>
  <w:p w:rsidR="000B7390" w:rsidRDefault="000B73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90" w:rsidRDefault="000B7390">
    <w:pPr>
      <w:pStyle w:val="Footer"/>
      <w:jc w:val="center"/>
    </w:pPr>
    <w:fldSimple w:instr="PAGE   \* MERGEFORMAT">
      <w:r w:rsidRPr="0060763B">
        <w:rPr>
          <w:noProof/>
          <w:lang w:val="zh-CN"/>
        </w:rPr>
        <w:t>8</w:t>
      </w:r>
    </w:fldSimple>
  </w:p>
  <w:p w:rsidR="000B7390" w:rsidRDefault="000B7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0" w:rsidRDefault="000B7390" w:rsidP="00C824E0">
      <w:r>
        <w:separator/>
      </w:r>
    </w:p>
  </w:footnote>
  <w:footnote w:type="continuationSeparator" w:id="0">
    <w:p w:rsidR="000B7390" w:rsidRDefault="000B7390" w:rsidP="00C82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1F23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B7390"/>
    <w:rsid w:val="000C15B3"/>
    <w:rsid w:val="000C2B33"/>
    <w:rsid w:val="000C6B8D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629A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C34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452EF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1E8D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0763B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1D5F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05A32"/>
    <w:rsid w:val="00911E27"/>
    <w:rsid w:val="00911E9A"/>
    <w:rsid w:val="0092129A"/>
    <w:rsid w:val="00921F28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14B4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2E44"/>
    <w:rsid w:val="00B17A32"/>
    <w:rsid w:val="00B17D66"/>
    <w:rsid w:val="00B31FD9"/>
    <w:rsid w:val="00B35D3A"/>
    <w:rsid w:val="00B422F1"/>
    <w:rsid w:val="00B63B15"/>
    <w:rsid w:val="00B71531"/>
    <w:rsid w:val="00B7456C"/>
    <w:rsid w:val="00B83DE1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824E0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128B"/>
    <w:rsid w:val="00D33A4D"/>
    <w:rsid w:val="00D33F76"/>
    <w:rsid w:val="00D3569D"/>
    <w:rsid w:val="00D41F5E"/>
    <w:rsid w:val="00D43DC0"/>
    <w:rsid w:val="00D54E56"/>
    <w:rsid w:val="00D6407D"/>
    <w:rsid w:val="00D93E78"/>
    <w:rsid w:val="00DC1E32"/>
    <w:rsid w:val="00DC6E91"/>
    <w:rsid w:val="00DC7514"/>
    <w:rsid w:val="00DD3845"/>
    <w:rsid w:val="00DE4CE9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2FBA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E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824E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4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4E0"/>
    <w:pPr>
      <w:ind w:right="300"/>
      <w:outlineLvl w:val="2"/>
    </w:pPr>
    <w:rPr>
      <w:rFonts w:ascii="仿宋_GB2312" w:eastAsia="仿宋_GB2312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4E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4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4E0"/>
    <w:rPr>
      <w:rFonts w:ascii="仿宋_GB2312" w:eastAsia="仿宋_GB2312" w:hAnsi="Calibri" w:cs="Times New Roman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rsid w:val="00C824E0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824E0"/>
    <w:rPr>
      <w:rFonts w:ascii="宋体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824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4E0"/>
    <w:rPr>
      <w:rFonts w:ascii="Calibri" w:eastAsia="宋体" w:hAnsi="Calibri" w:cs="Times New Roman"/>
    </w:rPr>
  </w:style>
  <w:style w:type="paragraph" w:styleId="BodyText">
    <w:name w:val="Body Text"/>
    <w:basedOn w:val="Normal"/>
    <w:link w:val="BodyTextChar"/>
    <w:uiPriority w:val="99"/>
    <w:rsid w:val="00C824E0"/>
    <w:pPr>
      <w:spacing w:before="190"/>
      <w:ind w:left="720"/>
      <w:jc w:val="left"/>
    </w:pPr>
    <w:rPr>
      <w:rFonts w:ascii="仿宋_GB2312" w:eastAsia="仿宋_GB2312" w:hAnsi="仿宋_GB2312"/>
      <w:kern w:val="0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4E0"/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rsid w:val="00C824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E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82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4E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24E0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824E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4E0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82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824E0"/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C824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C824E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24E0"/>
    <w:rPr>
      <w:rFonts w:ascii="??" w:hAnsi="??" w:cs="Times New Roman"/>
      <w:color w:val="0453CC"/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rsid w:val="00C824E0"/>
    <w:rPr>
      <w:rFonts w:cs="Times New Roman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C824E0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824E0"/>
    <w:pPr>
      <w:ind w:firstLineChars="200" w:firstLine="420"/>
    </w:pPr>
  </w:style>
  <w:style w:type="paragraph" w:customStyle="1" w:styleId="Default">
    <w:name w:val="Default"/>
    <w:uiPriority w:val="99"/>
    <w:rsid w:val="00C824E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Normal"/>
    <w:uiPriority w:val="99"/>
    <w:rsid w:val="00C824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vision1">
    <w:name w:val="Revision1"/>
    <w:hidden/>
    <w:uiPriority w:val="99"/>
    <w:semiHidden/>
    <w:rsid w:val="00C824E0"/>
  </w:style>
  <w:style w:type="character" w:customStyle="1" w:styleId="Char">
    <w:name w:val="脚注文本 Char"/>
    <w:basedOn w:val="DefaultParagraphFont"/>
    <w:uiPriority w:val="99"/>
    <w:semiHidden/>
    <w:rsid w:val="00C824E0"/>
    <w:rPr>
      <w:rFonts w:cs="Times New Roman"/>
      <w:kern w:val="2"/>
      <w:sz w:val="18"/>
      <w:szCs w:val="18"/>
    </w:rPr>
  </w:style>
  <w:style w:type="character" w:customStyle="1" w:styleId="4CharChar">
    <w:name w:val="标题 4 Char Char"/>
    <w:uiPriority w:val="99"/>
    <w:rsid w:val="00C824E0"/>
    <w:rPr>
      <w:rFonts w:ascii="Calibri" w:hAnsi="Calibri"/>
      <w:b/>
      <w:sz w:val="28"/>
      <w:lang w:eastAsia="en-US"/>
    </w:rPr>
  </w:style>
  <w:style w:type="character" w:customStyle="1" w:styleId="Char1">
    <w:name w:val="批注文字 Char1"/>
    <w:basedOn w:val="DefaultParagraphFont"/>
    <w:uiPriority w:val="99"/>
    <w:semiHidden/>
    <w:rsid w:val="00C824E0"/>
    <w:rPr>
      <w:rFonts w:cs="Times New Roman"/>
      <w:kern w:val="2"/>
      <w:sz w:val="22"/>
      <w:szCs w:val="22"/>
    </w:rPr>
  </w:style>
  <w:style w:type="character" w:customStyle="1" w:styleId="IntenseEmphasis1">
    <w:name w:val="Intense Emphasis1"/>
    <w:basedOn w:val="DefaultParagraphFont"/>
    <w:uiPriority w:val="99"/>
    <w:rsid w:val="00C824E0"/>
    <w:rPr>
      <w:rFonts w:cs="Times New Roman"/>
      <w:b/>
      <w:bCs/>
      <w:i/>
      <w:iCs/>
      <w:color w:val="4F81BD"/>
    </w:rPr>
  </w:style>
  <w:style w:type="character" w:customStyle="1" w:styleId="Char10">
    <w:name w:val="文档结构图 Char1"/>
    <w:basedOn w:val="DefaultParagraphFont"/>
    <w:uiPriority w:val="99"/>
    <w:semiHidden/>
    <w:rsid w:val="00C824E0"/>
    <w:rPr>
      <w:rFonts w:ascii="宋体" w:eastAsia="宋体" w:cs="Times New Roman"/>
      <w:sz w:val="18"/>
      <w:szCs w:val="18"/>
    </w:rPr>
  </w:style>
  <w:style w:type="character" w:customStyle="1" w:styleId="Char2">
    <w:name w:val="脚注文本 Char2"/>
    <w:basedOn w:val="DefaultParagraphFont"/>
    <w:uiPriority w:val="99"/>
    <w:semiHidden/>
    <w:rsid w:val="00C824E0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C824E0"/>
    <w:pPr>
      <w:ind w:firstLineChars="200" w:firstLine="420"/>
    </w:pPr>
  </w:style>
  <w:style w:type="paragraph" w:customStyle="1" w:styleId="4">
    <w:name w:val="列出段落4"/>
    <w:basedOn w:val="Normal"/>
    <w:uiPriority w:val="99"/>
    <w:rsid w:val="00C824E0"/>
    <w:pPr>
      <w:ind w:firstLineChars="200" w:firstLine="200"/>
    </w:pPr>
  </w:style>
  <w:style w:type="paragraph" w:customStyle="1" w:styleId="3">
    <w:name w:val="列出段落3"/>
    <w:basedOn w:val="Normal"/>
    <w:uiPriority w:val="99"/>
    <w:rsid w:val="00C824E0"/>
    <w:pPr>
      <w:ind w:firstLineChars="200" w:firstLine="420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C824E0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.gov.cn/gans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www.safe.gov.cn/gans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fe.gov.cn/gan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8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admin</cp:lastModifiedBy>
  <cp:revision>32</cp:revision>
  <cp:lastPrinted>2020-05-08T01:02:00Z</cp:lastPrinted>
  <dcterms:created xsi:type="dcterms:W3CDTF">2020-02-17T02:50:00Z</dcterms:created>
  <dcterms:modified xsi:type="dcterms:W3CDTF">2021-09-15T07:33:00Z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