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编号：</w:t>
      </w:r>
      <w:r>
        <w:rPr>
          <w:rFonts w:ascii="Times New Roman" w:hAnsi="Times New Roman" w:eastAsia="黑体" w:cs="Times New Roman"/>
          <w:sz w:val="48"/>
          <w:szCs w:val="48"/>
        </w:rPr>
        <w:t>57016</w:t>
      </w: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kern w:val="2"/>
          <w:sz w:val="48"/>
          <w:szCs w:val="48"/>
          <w:lang w:val="en-US" w:eastAsia="zh-CN" w:bidi="ar-SA"/>
        </w:rPr>
        <w:pict>
          <v:shape id="图片 1" o:spid="_x0000_s1026" type="#_x0000_t75" style="height:69pt;width:86.2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外币现钞提取、调运和携带出境审核</w:t>
      </w:r>
      <w:r>
        <w:rPr>
          <w:rFonts w:ascii="Times New Roman" w:hAnsi="Times New Roman" w:eastAsia="黑体" w:cs="Times New Roman"/>
          <w:sz w:val="52"/>
          <w:szCs w:val="52"/>
        </w:rPr>
        <w:t>”</w:t>
      </w:r>
      <w:r>
        <w:rPr>
          <w:rFonts w:hint="eastAsia"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sz w:val="30"/>
          <w:szCs w:val="30"/>
        </w:rPr>
        <w:t>发布日期：</w:t>
      </w:r>
      <w:r>
        <w:rPr>
          <w:rFonts w:ascii="Times New Roman" w:hAnsi="Times New Roman" w:eastAsia="仿宋_GB2312" w:cs="Times New Roman"/>
          <w:sz w:val="30"/>
          <w:szCs w:val="30"/>
        </w:rPr>
        <w:t>2020</w:t>
      </w:r>
      <w:r>
        <w:rPr>
          <w:rFonts w:hint="eastAsia" w:ascii="Times New Roman" w:hAnsi="Times New Roman" w:eastAsia="仿宋_GB2312" w:cs="Times New Roman"/>
          <w:color w:val="000000"/>
          <w:sz w:val="30"/>
          <w:szCs w:val="30"/>
        </w:rPr>
        <w:t>年</w:t>
      </w:r>
      <w:r>
        <w:rPr>
          <w:rFonts w:ascii="Times New Roman" w:hAnsi="Times New Roman" w:eastAsia="仿宋_GB2312" w:cs="Times New Roman"/>
          <w:color w:val="000000"/>
          <w:sz w:val="30"/>
          <w:szCs w:val="30"/>
        </w:rPr>
        <w:t xml:space="preserve"> 11</w:t>
      </w:r>
      <w:r>
        <w:rPr>
          <w:rFonts w:hint="eastAsia" w:ascii="Times New Roman" w:hAnsi="Times New Roman" w:eastAsia="仿宋_GB2312" w:cs="Times New Roman"/>
          <w:color w:val="000000"/>
          <w:sz w:val="30"/>
          <w:szCs w:val="30"/>
        </w:rPr>
        <w:t>月</w:t>
      </w:r>
      <w:r>
        <w:rPr>
          <w:rFonts w:ascii="Times New Roman" w:hAnsi="Times New Roman" w:eastAsia="仿宋_GB2312" w:cs="Times New Roman"/>
          <w:color w:val="000000"/>
          <w:sz w:val="30"/>
          <w:szCs w:val="30"/>
        </w:rPr>
        <w:t xml:space="preserve"> 20</w:t>
      </w:r>
      <w:r>
        <w:rPr>
          <w:rFonts w:hint="eastAsia" w:ascii="Times New Roman" w:hAnsi="Times New Roman" w:eastAsia="仿宋_GB2312" w:cs="Times New Roman"/>
          <w:color w:val="000000"/>
          <w:sz w:val="30"/>
          <w:szCs w:val="30"/>
        </w:rPr>
        <w:t>日</w:t>
      </w:r>
    </w:p>
    <w:p>
      <w:pPr>
        <w:ind w:right="300"/>
        <w:jc w:val="center"/>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实施日期：</w:t>
      </w:r>
      <w:r>
        <w:rPr>
          <w:rFonts w:ascii="Times New Roman" w:hAnsi="Times New Roman" w:eastAsia="仿宋_GB2312" w:cs="Times New Roman"/>
          <w:color w:val="000000"/>
          <w:sz w:val="30"/>
          <w:szCs w:val="30"/>
        </w:rPr>
        <w:t xml:space="preserve">2020 </w:t>
      </w:r>
      <w:r>
        <w:rPr>
          <w:rFonts w:hint="eastAsia" w:ascii="Times New Roman" w:hAnsi="Times New Roman" w:eastAsia="仿宋_GB2312" w:cs="Times New Roman"/>
          <w:color w:val="000000"/>
          <w:sz w:val="30"/>
          <w:szCs w:val="30"/>
        </w:rPr>
        <w:t>年</w:t>
      </w:r>
      <w:r>
        <w:rPr>
          <w:rFonts w:ascii="Times New Roman" w:hAnsi="Times New Roman" w:eastAsia="仿宋_GB2312" w:cs="Times New Roman"/>
          <w:color w:val="000000"/>
          <w:sz w:val="30"/>
          <w:szCs w:val="30"/>
        </w:rPr>
        <w:t xml:space="preserve"> 11</w:t>
      </w:r>
      <w:r>
        <w:rPr>
          <w:rFonts w:hint="eastAsia" w:ascii="Times New Roman" w:hAnsi="Times New Roman" w:eastAsia="仿宋_GB2312" w:cs="Times New Roman"/>
          <w:color w:val="000000"/>
          <w:sz w:val="30"/>
          <w:szCs w:val="30"/>
        </w:rPr>
        <w:t>月</w:t>
      </w:r>
      <w:r>
        <w:rPr>
          <w:rFonts w:ascii="Times New Roman" w:hAnsi="Times New Roman" w:eastAsia="仿宋_GB2312" w:cs="Times New Roman"/>
          <w:color w:val="000000"/>
          <w:sz w:val="30"/>
          <w:szCs w:val="30"/>
        </w:rPr>
        <w:t xml:space="preserve"> 20</w:t>
      </w:r>
      <w:r>
        <w:rPr>
          <w:rFonts w:hint="eastAsia" w:ascii="Times New Roman" w:hAnsi="Times New Roman" w:eastAsia="仿宋_GB2312" w:cs="Times New Roman"/>
          <w:color w:val="000000"/>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发布机构：国家外汇管理局甘肃省分局</w:t>
      </w:r>
    </w:p>
    <w:p>
      <w:pPr>
        <w:ind w:right="300"/>
        <w:rPr>
          <w:rFonts w:ascii="Times New Roman" w:hAnsi="Times New Roman" w:eastAsia="仿宋_GB2312" w:cs="Times New Roman"/>
          <w:sz w:val="30"/>
          <w:szCs w:val="30"/>
        </w:rPr>
      </w:pPr>
    </w:p>
    <w:p>
      <w:pPr>
        <w:ind w:right="300"/>
        <w:rPr>
          <w:rFonts w:ascii="仿宋_GB2312" w:hAnsi="Times New Roman" w:eastAsia="仿宋_GB2312" w:cs="Times New Roman"/>
          <w:sz w:val="30"/>
          <w:szCs w:val="30"/>
        </w:rPr>
        <w:sectPr>
          <w:headerReference r:id="rId4" w:type="first"/>
          <w:footerReference r:id="rId6" w:type="first"/>
          <w:footerReference r:id="rId5" w:type="default"/>
          <w:pgSz w:w="11906" w:h="16838"/>
          <w:pgMar w:top="1440" w:right="1800" w:bottom="1440" w:left="1800" w:header="851" w:footer="992" w:gutter="0"/>
          <w:cols w:space="720" w:num="1"/>
          <w:titlePg/>
          <w:docGrid w:type="lines" w:linePitch="312"/>
        </w:sectPr>
      </w:pPr>
    </w:p>
    <w:p>
      <w:pPr>
        <w:ind w:right="300"/>
        <w:jc w:val="left"/>
        <w:rPr>
          <w:rFonts w:ascii="Times New Roman" w:hAnsi="Times New Roman" w:eastAsia="黑体" w:cs="Times New Roman"/>
          <w:sz w:val="48"/>
          <w:szCs w:val="48"/>
        </w:rPr>
        <w:sectPr>
          <w:footerReference r:id="rId7" w:type="default"/>
          <w:type w:val="continuous"/>
          <w:pgSz w:w="11906" w:h="16838"/>
          <w:pgMar w:top="1440" w:right="1800" w:bottom="1440" w:left="1800" w:header="851" w:footer="992" w:gutter="0"/>
          <w:cols w:space="720" w:num="1"/>
          <w:docGrid w:type="lines" w:linePitch="312"/>
        </w:sectPr>
      </w:pPr>
    </w:p>
    <w:p>
      <w:pPr>
        <w:adjustRightInd w:val="0"/>
        <w:snapToGrid w:val="0"/>
        <w:spacing w:line="360" w:lineRule="auto"/>
        <w:ind w:firstLine="31680" w:firstLineChars="200"/>
        <w:jc w:val="left"/>
        <w:rPr>
          <w:rFonts w:ascii="Times New Roman" w:hAnsi="Times New Roman" w:eastAsia="黑体" w:cs="Times New Roman"/>
          <w:sz w:val="30"/>
          <w:szCs w:val="30"/>
        </w:rPr>
      </w:pPr>
      <w:r>
        <w:rPr>
          <w:rFonts w:hint="eastAsia"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项目编号：</w:t>
      </w:r>
      <w:r>
        <w:rPr>
          <w:rFonts w:ascii="Times New Roman" w:hAnsi="Times New Roman" w:eastAsia="仿宋_GB2312" w:cs="Times New Roman"/>
          <w:sz w:val="30"/>
          <w:szCs w:val="30"/>
        </w:rPr>
        <w:t>57016</w:t>
      </w:r>
      <w:r>
        <w:rPr>
          <w:rFonts w:hint="eastAsia"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本指南适用于</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外币现钞提取、调运和携带出境审核</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（一）《中华人民共和国外汇管理条例》（国务院令第</w:t>
      </w:r>
      <w:r>
        <w:rPr>
          <w:rFonts w:ascii="Times New Roman" w:hAnsi="Times New Roman" w:eastAsia="仿宋_GB2312" w:cs="Times New Roman"/>
          <w:sz w:val="30"/>
          <w:szCs w:val="30"/>
        </w:rPr>
        <w:t>532</w:t>
      </w:r>
      <w:r>
        <w:rPr>
          <w:rFonts w:hint="eastAsia" w:ascii="Times New Roman" w:hAnsi="Times New Roman" w:eastAsia="仿宋_GB2312" w:cs="Times New Roman"/>
          <w:sz w:val="30"/>
          <w:szCs w:val="30"/>
        </w:rPr>
        <w:t>号）第十五条：</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携带、申报外币现钞出入境的限额，由国务院外汇管理部门规定</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（二）《国务院对确需保留的行政审批项目设定行政许可的决定》（国务院令第</w:t>
      </w:r>
      <w:r>
        <w:rPr>
          <w:rFonts w:ascii="Times New Roman" w:hAnsi="Times New Roman" w:eastAsia="仿宋_GB2312" w:cs="Times New Roman"/>
          <w:sz w:val="30"/>
          <w:szCs w:val="30"/>
        </w:rPr>
        <w:t>412</w:t>
      </w:r>
      <w:r>
        <w:rPr>
          <w:rFonts w:hint="eastAsia" w:ascii="Times New Roman" w:hAnsi="Times New Roman" w:eastAsia="仿宋_GB2312" w:cs="Times New Roman"/>
          <w:sz w:val="30"/>
          <w:szCs w:val="30"/>
        </w:rPr>
        <w:t>号）附件第</w:t>
      </w:r>
      <w:r>
        <w:rPr>
          <w:rFonts w:ascii="Times New Roman" w:hAnsi="Times New Roman" w:eastAsia="仿宋_GB2312" w:cs="Times New Roman"/>
          <w:sz w:val="30"/>
          <w:szCs w:val="30"/>
        </w:rPr>
        <w:t>495</w:t>
      </w:r>
      <w:r>
        <w:rPr>
          <w:rFonts w:hint="eastAsia" w:ascii="Times New Roman" w:hAnsi="Times New Roman" w:eastAsia="仿宋_GB2312" w:cs="Times New Roman"/>
          <w:sz w:val="30"/>
          <w:szCs w:val="30"/>
        </w:rPr>
        <w:t>项</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机构单笔提取超过规定金额外币现钞审批</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四、</w:t>
      </w:r>
      <w:bookmarkStart w:id="0" w:name="_GoBack"/>
      <w:r>
        <w:rPr>
          <w:rFonts w:hint="eastAsia" w:ascii="Times New Roman" w:hAnsi="Times New Roman" w:eastAsia="黑体" w:cs="Times New Roman"/>
          <w:sz w:val="30"/>
          <w:szCs w:val="30"/>
        </w:rPr>
        <w:t>个人外币现钞携带出境审核（一人携带超过等值</w:t>
      </w:r>
      <w:r>
        <w:rPr>
          <w:rFonts w:ascii="Times New Roman" w:hAnsi="Times New Roman" w:eastAsia="黑体" w:cs="Times New Roman"/>
          <w:sz w:val="30"/>
          <w:szCs w:val="30"/>
        </w:rPr>
        <w:t>10000</w:t>
      </w:r>
      <w:r>
        <w:rPr>
          <w:rFonts w:hint="eastAsia" w:ascii="Times New Roman" w:hAnsi="Times New Roman" w:eastAsia="黑体" w:cs="Times New Roman"/>
          <w:sz w:val="30"/>
          <w:szCs w:val="30"/>
        </w:rPr>
        <w:t>美元现钞出境）</w:t>
      </w:r>
    </w:p>
    <w:bookmarkEnd w:id="0"/>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《中华人民共和国外汇管理条例》（国务院令</w:t>
      </w:r>
      <w:r>
        <w:rPr>
          <w:rFonts w:ascii="Times New Roman" w:hAnsi="Times New Roman" w:eastAsia="仿宋_GB2312" w:cs="Times New Roman"/>
          <w:sz w:val="30"/>
          <w:szCs w:val="30"/>
        </w:rPr>
        <w:t>532</w:t>
      </w:r>
      <w:r>
        <w:rPr>
          <w:rFonts w:hint="eastAsia" w:ascii="Times New Roman" w:hAnsi="Times New Roman" w:eastAsia="仿宋_GB2312" w:cs="Times New Roman"/>
          <w:sz w:val="30"/>
          <w:szCs w:val="30"/>
        </w:rPr>
        <w:t>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《携带外币现钞出入境管理暂行办法》（汇发〔</w:t>
      </w:r>
      <w:r>
        <w:rPr>
          <w:rFonts w:ascii="Times New Roman" w:hAnsi="Times New Roman" w:eastAsia="仿宋_GB2312" w:cs="Times New Roman"/>
          <w:sz w:val="30"/>
          <w:szCs w:val="30"/>
        </w:rPr>
        <w:t>2003</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102</w:t>
      </w:r>
      <w:r>
        <w:rPr>
          <w:rFonts w:hint="eastAsia" w:ascii="Times New Roman" w:hAnsi="Times New Roman" w:eastAsia="仿宋_GB2312" w:cs="Times New Roman"/>
          <w:sz w:val="30"/>
          <w:szCs w:val="30"/>
        </w:rPr>
        <w:t>号）；</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《关于印发〈携带外币现钞出入境管理操作规程〉的通知》（汇发〔</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21</w:t>
      </w:r>
      <w:r>
        <w:rPr>
          <w:rFonts w:hint="eastAsia" w:ascii="Times New Roman" w:hAnsi="Times New Roman" w:eastAsia="仿宋_GB2312" w:cs="Times New Roman"/>
          <w:sz w:val="30"/>
          <w:szCs w:val="30"/>
        </w:rPr>
        <w:t>号）。</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年版）〉的通知》（汇发</w:t>
      </w:r>
      <w:r>
        <w:rPr>
          <w:rFonts w:hint="eastAsia" w:ascii="仿宋_GB2312" w:hAnsi="Times New Roman" w:eastAsia="仿宋_GB2312" w:cs="Times New Roman"/>
          <w:sz w:val="30"/>
          <w:szCs w:val="30"/>
        </w:rPr>
        <w:t>〔</w:t>
      </w:r>
      <w:r>
        <w:rPr>
          <w:rFonts w:ascii="Times New Roman" w:hAnsi="Times New Roman" w:eastAsia="仿宋_GB2312" w:cs="Times New Roman"/>
          <w:sz w:val="30"/>
          <w:szCs w:val="30"/>
        </w:rPr>
        <w:t>2020</w:t>
      </w:r>
      <w:r>
        <w:rPr>
          <w:rFonts w:hint="eastAsia" w:ascii="仿宋_GB2312" w:hAnsi="Times New Roman" w:eastAsia="仿宋_GB2312" w:cs="Times New Roman"/>
          <w:sz w:val="30"/>
          <w:szCs w:val="30"/>
        </w:rPr>
        <w:t>〕</w:t>
      </w:r>
      <w:r>
        <w:rPr>
          <w:rFonts w:ascii="Times New Roman" w:hAnsi="Times New Roman" w:eastAsia="仿宋_GB2312" w:cs="Times New Roman"/>
          <w:sz w:val="30"/>
          <w:szCs w:val="30"/>
        </w:rPr>
        <w:t>14</w:t>
      </w:r>
      <w:r>
        <w:rPr>
          <w:rFonts w:hint="eastAsia" w:ascii="Times New Roman" w:hAnsi="Times New Roman" w:eastAsia="仿宋_GB2312" w:cs="Times New Roman"/>
          <w:sz w:val="30"/>
          <w:szCs w:val="30"/>
        </w:rPr>
        <w:t>号）。</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（二）受理机构</w:t>
      </w:r>
    </w:p>
    <w:p>
      <w:pPr>
        <w:adjustRightInd w:val="0"/>
        <w:snapToGrid w:val="0"/>
        <w:spacing w:line="360" w:lineRule="auto"/>
        <w:ind w:firstLine="31680" w:firstLineChars="200"/>
        <w:rPr>
          <w:rFonts w:ascii="仿宋_GB2312" w:eastAsia="仿宋_GB2312" w:cs="宋体"/>
          <w:color w:val="000000"/>
          <w:sz w:val="30"/>
          <w:szCs w:val="30"/>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（三）决定机构</w:t>
      </w:r>
    </w:p>
    <w:p>
      <w:pPr>
        <w:adjustRightInd w:val="0"/>
        <w:snapToGrid w:val="0"/>
        <w:spacing w:line="360" w:lineRule="auto"/>
        <w:ind w:firstLine="31680" w:firstLineChars="200"/>
        <w:rPr>
          <w:rFonts w:ascii="仿宋_GB2312" w:eastAsia="仿宋_GB2312" w:cs="宋体"/>
          <w:color w:val="000000"/>
          <w:sz w:val="30"/>
          <w:szCs w:val="30"/>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sz w:val="30"/>
          <w:szCs w:val="30"/>
        </w:rPr>
        <w:t>。</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（四）审批数量</w:t>
      </w:r>
    </w:p>
    <w:p>
      <w:pPr>
        <w:adjustRightInd w:val="0"/>
        <w:snapToGrid w:val="0"/>
        <w:spacing w:line="360" w:lineRule="auto"/>
        <w:ind w:firstLine="3168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申请人为拟出境个人，应符合以下条件之一：</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人数较多的出境团组；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出境时间较长或旅途较长的科学考察团组；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政府领导人出访；</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出境人员赴战乱、外汇管制严格、金融条件差或金融动乱的国家；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其他特殊情况</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除此之外，出境人员不得携带超过等值</w:t>
      </w:r>
      <w:r>
        <w:rPr>
          <w:rFonts w:ascii="Times New Roman" w:hAnsi="Times New Roman" w:eastAsia="仿宋_GB2312" w:cs="Times New Roman"/>
          <w:sz w:val="30"/>
          <w:szCs w:val="30"/>
        </w:rPr>
        <w:t>10000</w:t>
      </w:r>
      <w:r>
        <w:rPr>
          <w:rFonts w:hint="eastAsia" w:ascii="Times New Roman" w:hAnsi="Times New Roman" w:eastAsia="仿宋_GB2312" w:cs="Times New Roman"/>
          <w:sz w:val="30"/>
          <w:szCs w:val="30"/>
        </w:rPr>
        <w:t>美元的外币现钞出境。</w:t>
      </w:r>
    </w:p>
    <w:p>
      <w:pPr>
        <w:adjustRightInd w:val="0"/>
        <w:snapToGrid w:val="0"/>
        <w:spacing w:line="360" w:lineRule="auto"/>
        <w:ind w:firstLine="3168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（六）申请材料</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个人外币现钞携带出境审核新增（一人携带超过等值</w:t>
      </w:r>
      <w:r>
        <w:rPr>
          <w:rFonts w:ascii="Times New Roman" w:hAnsi="Times New Roman" w:eastAsia="仿宋_GB2312" w:cs="Times New Roman"/>
          <w:sz w:val="30"/>
          <w:szCs w:val="30"/>
        </w:rPr>
        <w:t>10000</w:t>
      </w:r>
      <w:r>
        <w:rPr>
          <w:rFonts w:hint="eastAsia" w:ascii="Times New Roman" w:hAnsi="Times New Roman" w:eastAsia="仿宋_GB2312" w:cs="Times New Roman"/>
          <w:sz w:val="30"/>
          <w:szCs w:val="30"/>
        </w:rPr>
        <w:t>美元现钞出境）申请材料清单</w:t>
      </w:r>
    </w:p>
    <w:tbl>
      <w:tblPr>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392"/>
        <w:gridCol w:w="3969"/>
        <w:gridCol w:w="1701"/>
        <w:gridCol w:w="567"/>
        <w:gridCol w:w="850"/>
        <w:gridCol w:w="426"/>
        <w:gridCol w:w="497"/>
      </w:tblGrid>
      <w:tr>
        <w:tc>
          <w:tcPr>
            <w:tcW w:w="392"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70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电子</w:t>
            </w:r>
          </w:p>
        </w:tc>
        <w:tc>
          <w:tcPr>
            <w:tcW w:w="4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70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426" w:type="dxa"/>
            <w:vAlign w:val="center"/>
          </w:tcPr>
          <w:p>
            <w:pPr>
              <w:jc w:val="left"/>
              <w:rPr>
                <w:rFonts w:ascii="Times New Roman" w:hAnsi="Times New Roman" w:eastAsia="仿宋_GB2312" w:cs="Times New Roman"/>
                <w:sz w:val="24"/>
                <w:szCs w:val="24"/>
              </w:rPr>
            </w:pPr>
          </w:p>
        </w:tc>
        <w:tc>
          <w:tcPr>
            <w:tcW w:w="497" w:type="dxa"/>
            <w:vAlign w:val="center"/>
          </w:tcPr>
          <w:p>
            <w:pPr>
              <w:jc w:val="left"/>
              <w:rPr>
                <w:rFonts w:ascii="Times New Roman" w:hAnsi="Times New Roman" w:eastAsia="仿宋_GB2312" w:cs="Times New Roman"/>
                <w:sz w:val="24"/>
                <w:szCs w:val="24"/>
              </w:rPr>
            </w:pPr>
          </w:p>
        </w:tc>
      </w:tr>
      <w:tr>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护照等相关出境证件</w:t>
            </w:r>
          </w:p>
        </w:tc>
        <w:tc>
          <w:tcPr>
            <w:tcW w:w="170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原件和加盖签章的复印件</w:t>
            </w:r>
          </w:p>
        </w:tc>
        <w:tc>
          <w:tcPr>
            <w:tcW w:w="56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各</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份</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有效签证或签注</w:t>
            </w:r>
            <w:r>
              <w:rPr>
                <w:rFonts w:hint="eastAsia" w:ascii="Times New Roman" w:hAnsi="Times New Roman" w:eastAsia="仿宋_GB2312" w:cs="Times New Roman"/>
                <w:color w:val="000000"/>
                <w:sz w:val="24"/>
                <w:szCs w:val="24"/>
              </w:rPr>
              <w:t>（实行免签或落地签的国家和地区不提供）</w:t>
            </w:r>
          </w:p>
        </w:tc>
        <w:tc>
          <w:tcPr>
            <w:tcW w:w="170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原件和加盖签章的复印件</w:t>
            </w:r>
          </w:p>
        </w:tc>
        <w:tc>
          <w:tcPr>
            <w:tcW w:w="56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各</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份</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存款证明（利息清单或取款凭条）或相关购汇凭证</w:t>
            </w:r>
          </w:p>
        </w:tc>
        <w:tc>
          <w:tcPr>
            <w:tcW w:w="170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原件和加盖企业公章的复印件</w:t>
            </w:r>
          </w:p>
        </w:tc>
        <w:tc>
          <w:tcPr>
            <w:tcW w:w="56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各</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份</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确需携带超过等值</w:t>
            </w:r>
            <w:r>
              <w:rPr>
                <w:rFonts w:ascii="Times New Roman" w:hAnsi="Times New Roman" w:eastAsia="仿宋_GB2312" w:cs="Times New Roman"/>
                <w:sz w:val="24"/>
                <w:szCs w:val="24"/>
              </w:rPr>
              <w:t>10000</w:t>
            </w:r>
            <w:r>
              <w:rPr>
                <w:rFonts w:hint="eastAsia" w:ascii="Times New Roman" w:hAnsi="Times New Roman" w:eastAsia="仿宋_GB2312" w:cs="Times New Roman"/>
                <w:sz w:val="24"/>
                <w:szCs w:val="24"/>
              </w:rPr>
              <w:t>美元外币现钞出境的证明材料</w:t>
            </w:r>
          </w:p>
        </w:tc>
        <w:tc>
          <w:tcPr>
            <w:tcW w:w="170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原件和加盖企业公章的复印件</w:t>
            </w:r>
          </w:p>
        </w:tc>
        <w:tc>
          <w:tcPr>
            <w:tcW w:w="56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各</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份</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个人外币现钞携带出境审核补办（一人携带超过等值</w:t>
      </w:r>
      <w:r>
        <w:rPr>
          <w:rFonts w:ascii="Times New Roman" w:hAnsi="Times New Roman" w:eastAsia="仿宋_GB2312" w:cs="Times New Roman"/>
          <w:sz w:val="30"/>
          <w:szCs w:val="30"/>
        </w:rPr>
        <w:t>10000</w:t>
      </w:r>
      <w:r>
        <w:rPr>
          <w:rFonts w:hint="eastAsia" w:ascii="Times New Roman" w:hAnsi="Times New Roman" w:eastAsia="仿宋_GB2312" w:cs="Times New Roman"/>
          <w:sz w:val="30"/>
          <w:szCs w:val="30"/>
        </w:rPr>
        <w:t>美元现钞出境）申请材料清单</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包括遗失《携带外汇出境许可证》的补办和逾期《携带外汇出境许可证》（超过等值</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万美元）的补办（个人出境后不予补办）。</w:t>
      </w:r>
    </w:p>
    <w:tbl>
      <w:tblPr>
        <w:tblW w:w="8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331"/>
        <w:gridCol w:w="957"/>
        <w:gridCol w:w="718"/>
        <w:gridCol w:w="718"/>
        <w:gridCol w:w="718"/>
        <w:gridCol w:w="359"/>
        <w:gridCol w:w="4724"/>
      </w:tblGrid>
      <w:tr>
        <w:tc>
          <w:tcPr>
            <w:tcW w:w="33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9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71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复印件</w:t>
            </w:r>
          </w:p>
        </w:tc>
        <w:tc>
          <w:tcPr>
            <w:tcW w:w="71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71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r>
              <w:rPr>
                <w:rFonts w:hint="eastAsia" w:ascii="Times New Roman" w:hAnsi="Times New Roman" w:eastAsia="仿宋_GB2312" w:cs="Times New Roman"/>
                <w:b/>
                <w:sz w:val="24"/>
                <w:szCs w:val="24"/>
              </w:rPr>
              <w:t>电子</w:t>
            </w:r>
          </w:p>
        </w:tc>
        <w:tc>
          <w:tcPr>
            <w:tcW w:w="359"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4724"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3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5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补办申请</w:t>
            </w:r>
          </w:p>
        </w:tc>
        <w:tc>
          <w:tcPr>
            <w:tcW w:w="7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7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59" w:type="dxa"/>
            <w:vAlign w:val="center"/>
          </w:tcPr>
          <w:p>
            <w:pPr>
              <w:jc w:val="left"/>
              <w:rPr>
                <w:rFonts w:ascii="Times New Roman" w:hAnsi="Times New Roman" w:eastAsia="仿宋_GB2312" w:cs="Times New Roman"/>
                <w:sz w:val="24"/>
                <w:szCs w:val="24"/>
              </w:rPr>
            </w:pPr>
          </w:p>
        </w:tc>
        <w:tc>
          <w:tcPr>
            <w:tcW w:w="4724"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原《携带外汇出境许可证》由外汇局签发的，按此材料由外汇局补办。</w:t>
            </w: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外汇局在补办的《携带外汇出境许可证》上加注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补办</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字样。</w:t>
            </w:r>
          </w:p>
        </w:tc>
      </w:tr>
    </w:tbl>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（七）申请接受</w:t>
      </w:r>
    </w:p>
    <w:p>
      <w:pPr>
        <w:adjustRightInd w:val="0"/>
        <w:snapToGrid w:val="0"/>
        <w:spacing w:line="360" w:lineRule="auto"/>
        <w:ind w:firstLine="3168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w:t>
      </w: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甘肃省分局辖内各级外汇局</w:t>
      </w:r>
      <w:r>
        <w:rPr>
          <w:rFonts w:hint="eastAsia" w:ascii="Times New Roman" w:hAnsi="Times New Roman" w:eastAsia="仿宋_GB2312" w:cs="Times New Roman"/>
          <w:sz w:val="30"/>
          <w:szCs w:val="30"/>
        </w:rPr>
        <w:t>窗口提交材料。</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（八）基本办理流程</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申请人提交申请材料；</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分支局受理；</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分支局审查；</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分支局审核；</w:t>
      </w:r>
    </w:p>
    <w:p>
      <w:pPr>
        <w:adjustRightInd w:val="0"/>
        <w:snapToGrid w:val="0"/>
        <w:spacing w:line="360" w:lineRule="auto"/>
        <w:ind w:firstLine="3168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材料齐全予以当场办理，材料不全或不符合其他法定形式的，一次性告知补正材料，并依法出具《行政许可补正通知书》或其他文书。</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当场办理：申请、受理、审查、决定、出具《携带外汇出境许可证》或不予核准的行政许可书面决定。</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当场办理。</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不收费。</w:t>
      </w:r>
    </w:p>
    <w:p>
      <w:pPr>
        <w:adjustRightInd w:val="0"/>
        <w:snapToGrid w:val="0"/>
        <w:spacing w:line="360" w:lineRule="auto"/>
        <w:ind w:firstLine="3168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《携带外汇出境许可证》（一人一证）。</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当场告知申请人，现场领取。</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（十五）咨询途径、监督和投诉、公开查询等由所在地分支局办理</w:t>
      </w:r>
    </w:p>
    <w:p>
      <w:pPr>
        <w:adjustRightInd w:val="0"/>
        <w:snapToGrid w:val="0"/>
        <w:spacing w:line="360" w:lineRule="auto"/>
        <w:ind w:firstLine="601"/>
        <w:rPr>
          <w:rFonts w:ascii="Times New Roman" w:hAnsi="Times New Roman" w:eastAsia="仿宋_GB2312"/>
          <w:sz w:val="30"/>
          <w:szCs w:val="30"/>
        </w:rPr>
      </w:pPr>
      <w:r>
        <w:rPr>
          <w:rFonts w:hint="eastAsia" w:ascii="Times New Roman" w:hAnsi="Times New Roman" w:eastAsia="仿宋_GB2312"/>
          <w:sz w:val="30"/>
          <w:szCs w:val="30"/>
        </w:rPr>
        <w:t>向国家外汇管理局甘肃省分局进行咨询、办理进程查询、监督和投诉等可通过国家外汇管理局甘肃省分局官方网站的相应栏目进行。网址可通过</w:t>
      </w:r>
      <w:r>
        <w:rPr>
          <w:rStyle w:val="15"/>
          <w:rFonts w:ascii="Times New Roman" w:hAnsi="Times New Roman" w:eastAsia="仿宋_GB2312"/>
          <w:color w:val="auto"/>
          <w:sz w:val="30"/>
          <w:szCs w:val="30"/>
        </w:rPr>
        <w:t>www.safe.gov.cn/gansu/ywzn/index.html</w:t>
      </w:r>
      <w:r>
        <w:rPr>
          <w:rFonts w:hint="eastAsia" w:ascii="Times New Roman" w:hAnsi="Times New Roman" w:eastAsia="仿宋_GB2312"/>
          <w:sz w:val="30"/>
          <w:szCs w:val="30"/>
        </w:rPr>
        <w:t>进行链接，也可通过国家外汇管理局甘肃省分局官方互联网站上公布的电话进行。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（十六）事项审查类型</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即审即办。</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（十七）办公地址和时间</w:t>
      </w:r>
    </w:p>
    <w:p>
      <w:pPr>
        <w:adjustRightInd w:val="0"/>
        <w:snapToGrid w:val="0"/>
        <w:spacing w:line="360" w:lineRule="auto"/>
        <w:ind w:firstLine="31680" w:firstLineChars="500"/>
        <w:rPr>
          <w:rFonts w:ascii="Times New Roman" w:hAnsi="Times New Roman" w:eastAsia="仿宋_GB2312"/>
          <w:sz w:val="30"/>
          <w:szCs w:val="30"/>
        </w:rPr>
      </w:pPr>
      <w:r>
        <w:rPr>
          <w:rFonts w:hint="eastAsia" w:ascii="Times New Roman" w:hAnsi="Times New Roman" w:eastAsia="仿宋_GB2312"/>
          <w:sz w:val="30"/>
          <w:szCs w:val="30"/>
        </w:rPr>
        <w:t>国家外汇管理局甘肃省分局办公详情表</w:t>
      </w:r>
    </w:p>
    <w:tbl>
      <w:tblPr>
        <w:tblW w:w="808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66"/>
        <w:gridCol w:w="6119"/>
      </w:tblGrid>
      <w:tr>
        <w:tc>
          <w:tcPr>
            <w:tcW w:w="1966" w:type="dxa"/>
            <w:vAlign w:val="center"/>
          </w:tcPr>
          <w:p>
            <w:pPr>
              <w:jc w:val="center"/>
              <w:rPr>
                <w:rFonts w:ascii="仿宋_GB2312" w:eastAsia="仿宋_GB2312"/>
                <w:bCs/>
                <w:szCs w:val="21"/>
              </w:rPr>
            </w:pPr>
            <w:r>
              <w:rPr>
                <w:rFonts w:hint="eastAsia" w:ascii="仿宋_GB2312" w:eastAsia="仿宋_GB2312"/>
                <w:bCs/>
                <w:szCs w:val="21"/>
              </w:rPr>
              <w:t>承办部门</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国家外汇管理局甘肃省分局外汇管理处</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办理地点</w:t>
            </w:r>
            <w:r>
              <w:rPr>
                <w:rFonts w:ascii="仿宋_GB2312" w:eastAsia="仿宋_GB2312"/>
                <w:bCs/>
                <w:szCs w:val="21"/>
              </w:rPr>
              <w:t xml:space="preserve"> </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中国人民银行兰州中心支行甘肃金融培训中心（兰州市城关区东岗西路</w:t>
            </w:r>
            <w:r>
              <w:rPr>
                <w:rFonts w:ascii="仿宋_GB2312" w:hAnsi="宋体" w:eastAsia="仿宋_GB2312"/>
                <w:szCs w:val="21"/>
              </w:rPr>
              <w:t>700</w:t>
            </w:r>
            <w:r>
              <w:rPr>
                <w:rFonts w:hint="eastAsia" w:ascii="仿宋_GB2312" w:hAnsi="宋体" w:eastAsia="仿宋_GB2312"/>
                <w:szCs w:val="21"/>
              </w:rPr>
              <w:t>号）</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办公时间</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正常工作日</w:t>
            </w:r>
            <w:r>
              <w:rPr>
                <w:rFonts w:ascii="仿宋_GB2312" w:hAnsi="宋体" w:eastAsia="仿宋_GB2312"/>
                <w:szCs w:val="21"/>
              </w:rPr>
              <w:t>8:30-18:00</w:t>
            </w:r>
            <w:r>
              <w:rPr>
                <w:rFonts w:hint="eastAsia" w:ascii="仿宋_GB2312" w:hAnsi="宋体" w:eastAsia="仿宋_GB2312"/>
                <w:szCs w:val="21"/>
              </w:rPr>
              <w:t>（周一至周五，节假日除外）</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联系电话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0931-8800628</w:t>
            </w:r>
          </w:p>
        </w:tc>
      </w:tr>
      <w:tr>
        <w:tc>
          <w:tcPr>
            <w:tcW w:w="1966" w:type="dxa"/>
            <w:vAlign w:val="center"/>
          </w:tcPr>
          <w:p>
            <w:pPr>
              <w:jc w:val="center"/>
              <w:rPr>
                <w:rFonts w:ascii="仿宋_GB2312" w:eastAsia="仿宋_GB2312"/>
                <w:bCs/>
                <w:szCs w:val="21"/>
              </w:rPr>
            </w:pPr>
            <w:r>
              <w:rPr>
                <w:rFonts w:hint="eastAsia" w:ascii="仿宋_GB2312" w:eastAsia="仿宋_GB2312"/>
                <w:bCs/>
                <w:szCs w:val="21"/>
              </w:rPr>
              <w:t>监督电话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0931-8800737</w:t>
            </w: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（十八）示范文本及错误范例</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个人申请携带超过等值</w:t>
      </w:r>
      <w:r>
        <w:rPr>
          <w:rFonts w:ascii="Times New Roman" w:hAnsi="Times New Roman" w:eastAsia="仿宋_GB2312" w:cs="Times New Roman"/>
          <w:sz w:val="30"/>
          <w:szCs w:val="30"/>
        </w:rPr>
        <w:t>10000</w:t>
      </w:r>
      <w:r>
        <w:rPr>
          <w:rFonts w:hint="eastAsia" w:ascii="Times New Roman" w:hAnsi="Times New Roman" w:eastAsia="仿宋_GB2312" w:cs="Times New Roman"/>
          <w:sz w:val="30"/>
          <w:szCs w:val="30"/>
        </w:rPr>
        <w:t>美元外币现钞出境，应提交申请书，说明相关情况并证明其确有携带超过等值</w:t>
      </w:r>
      <w:r>
        <w:rPr>
          <w:rFonts w:ascii="Times New Roman" w:hAnsi="Times New Roman" w:eastAsia="仿宋_GB2312" w:cs="Times New Roman"/>
          <w:sz w:val="30"/>
          <w:szCs w:val="30"/>
        </w:rPr>
        <w:t>10000</w:t>
      </w:r>
      <w:r>
        <w:rPr>
          <w:rFonts w:hint="eastAsia" w:ascii="Times New Roman" w:hAnsi="Times New Roman" w:eastAsia="仿宋_GB2312" w:cs="Times New Roman"/>
          <w:sz w:val="30"/>
          <w:szCs w:val="30"/>
        </w:rPr>
        <w:t>美元外币现钞出境需求，并签字；涉及单位组团出境的，应由单位提交申请并盖单位公章。</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例：</w:t>
      </w:r>
    </w:p>
    <w:p>
      <w:pPr>
        <w:adjustRightInd w:val="0"/>
        <w:snapToGrid w:val="0"/>
        <w:spacing w:line="360" w:lineRule="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外汇局</w:t>
      </w:r>
      <w:r>
        <w:rPr>
          <w:rFonts w:ascii="Times New Roman" w:hAnsi="Times New Roman" w:eastAsia="仿宋_GB2312" w:cs="Times New Roman"/>
          <w:sz w:val="30"/>
          <w:szCs w:val="30"/>
        </w:rPr>
        <w:t>XXX</w:t>
      </w:r>
      <w:r>
        <w:rPr>
          <w:rFonts w:hint="eastAsia" w:ascii="Times New Roman" w:hAnsi="Times New Roman" w:eastAsia="仿宋_GB2312" w:cs="Times New Roman"/>
          <w:sz w:val="30"/>
          <w:szCs w:val="30"/>
        </w:rPr>
        <w:t>分支局：</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本人某某，身份证号</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护照号为</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，今因公务原因</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回国</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南北极考察</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须前往</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国</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地区，</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国</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地区系战乱</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金融管制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国家，本人须携带外币现钞</w:t>
      </w:r>
      <w:r>
        <w:rPr>
          <w:rFonts w:ascii="Times New Roman" w:hAnsi="Times New Roman" w:eastAsia="仿宋_GB2312" w:cs="Times New Roman"/>
          <w:sz w:val="30"/>
          <w:szCs w:val="30"/>
        </w:rPr>
        <w:t>XXX</w:t>
      </w:r>
      <w:r>
        <w:rPr>
          <w:rFonts w:hint="eastAsia" w:ascii="Times New Roman" w:hAnsi="Times New Roman" w:eastAsia="仿宋_GB2312" w:cs="Times New Roman"/>
          <w:sz w:val="30"/>
          <w:szCs w:val="30"/>
        </w:rPr>
        <w:t>元出境，币种为</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。本人外币现钞来源为</w:t>
      </w:r>
      <w:r>
        <w:rPr>
          <w:rFonts w:ascii="Times New Roman" w:hAnsi="Times New Roman" w:eastAsia="仿宋_GB2312" w:cs="Times New Roman"/>
          <w:sz w:val="30"/>
          <w:szCs w:val="30"/>
        </w:rPr>
        <w:t>XXX/</w:t>
      </w:r>
      <w:r>
        <w:rPr>
          <w:rFonts w:hint="eastAsia" w:ascii="Times New Roman" w:hAnsi="Times New Roman" w:eastAsia="仿宋_GB2312" w:cs="Times New Roman"/>
          <w:sz w:val="30"/>
          <w:szCs w:val="30"/>
        </w:rPr>
        <w:t>用途为</w:t>
      </w:r>
      <w:r>
        <w:rPr>
          <w:rFonts w:ascii="Times New Roman" w:hAnsi="Times New Roman" w:eastAsia="仿宋_GB2312" w:cs="Times New Roman"/>
          <w:sz w:val="30"/>
          <w:szCs w:val="30"/>
        </w:rPr>
        <w:t>XXX</w:t>
      </w:r>
      <w:r>
        <w:rPr>
          <w:rFonts w:hint="eastAsia" w:ascii="Times New Roman" w:hAnsi="Times New Roman" w:eastAsia="仿宋_GB2312" w:cs="Times New Roman"/>
          <w:sz w:val="30"/>
          <w:szCs w:val="30"/>
        </w:rPr>
        <w:t>，望批准。</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31680" w:firstLineChars="195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签名</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日期</w:t>
      </w: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外汇局</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分支局：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今我单位</w:t>
      </w:r>
      <w:r>
        <w:rPr>
          <w:rFonts w:ascii="Times New Roman" w:hAnsi="Times New Roman" w:eastAsia="仿宋_GB2312" w:cs="Times New Roman"/>
          <w:sz w:val="30"/>
          <w:szCs w:val="30"/>
        </w:rPr>
        <w:t>XXX</w:t>
      </w:r>
      <w:r>
        <w:rPr>
          <w:rFonts w:hint="eastAsia" w:ascii="Times New Roman" w:hAnsi="Times New Roman" w:eastAsia="仿宋_GB2312" w:cs="Times New Roman"/>
          <w:sz w:val="30"/>
          <w:szCs w:val="30"/>
        </w:rPr>
        <w:t>，身份证号</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护照号为</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，因南北极考察</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公务出国</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须前往</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国</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地区，</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国</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地区系战乱</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金融管制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南北极特殊地区</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须携带外币现钞</w:t>
      </w:r>
      <w:r>
        <w:rPr>
          <w:rFonts w:ascii="Times New Roman" w:hAnsi="Times New Roman" w:eastAsia="仿宋_GB2312" w:cs="Times New Roman"/>
          <w:sz w:val="30"/>
          <w:szCs w:val="30"/>
        </w:rPr>
        <w:t>XXX</w:t>
      </w:r>
      <w:r>
        <w:rPr>
          <w:rFonts w:hint="eastAsia" w:ascii="Times New Roman" w:hAnsi="Times New Roman" w:eastAsia="仿宋_GB2312" w:cs="Times New Roman"/>
          <w:sz w:val="30"/>
          <w:szCs w:val="30"/>
        </w:rPr>
        <w:t>元出境，币种为</w:t>
      </w:r>
      <w:r>
        <w:rPr>
          <w:rFonts w:ascii="Times New Roman" w:hAnsi="Times New Roman" w:eastAsia="仿宋_GB2312" w:cs="Times New Roman"/>
          <w:sz w:val="30"/>
          <w:szCs w:val="30"/>
        </w:rPr>
        <w:t>XX</w:t>
      </w:r>
      <w:r>
        <w:rPr>
          <w:rFonts w:hint="eastAsia" w:ascii="Times New Roman" w:hAnsi="Times New Roman" w:eastAsia="仿宋_GB2312" w:cs="Times New Roman"/>
          <w:sz w:val="30"/>
          <w:szCs w:val="30"/>
        </w:rPr>
        <w:t>。用途主要为</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，望你单位批准。</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单位公章</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日期</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错误范例：金额、申请人名称、携钞用途</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来源、携钞金额及币种等项目遗漏，未签章确认，或用途不符合外汇局携钞出境相关法规要求。</w:t>
      </w:r>
    </w:p>
    <w:p>
      <w:pPr>
        <w:widowControl/>
        <w:jc w:val="left"/>
        <w:rPr>
          <w:rFonts w:ascii="仿宋_GB2312" w:eastAsia="仿宋_GB2312"/>
          <w:sz w:val="30"/>
          <w:szCs w:val="30"/>
        </w:rPr>
      </w:pPr>
      <w:r>
        <w:rPr>
          <w:rFonts w:ascii="仿宋_GB2312" w:eastAsia="仿宋_GB2312"/>
          <w:sz w:val="30"/>
          <w:szCs w:val="30"/>
        </w:rPr>
        <w:br w:type="page"/>
      </w:r>
      <w:r>
        <w:rPr>
          <w:rFonts w:hint="eastAsia" w:ascii="仿宋_GB2312" w:eastAsia="仿宋_GB2312"/>
          <w:sz w:val="30"/>
          <w:szCs w:val="30"/>
        </w:rPr>
        <w:t>附录</w:t>
      </w:r>
    </w:p>
    <w:p>
      <w:pPr>
        <w:ind w:right="300"/>
        <w:rPr>
          <w:rFonts w:ascii="仿宋_GB2312" w:eastAsia="仿宋_GB2312"/>
          <w:sz w:val="30"/>
          <w:szCs w:val="30"/>
        </w:rPr>
      </w:pPr>
    </w:p>
    <w:p>
      <w:pPr>
        <w:ind w:right="300"/>
        <w:jc w:val="center"/>
        <w:rPr>
          <w:rFonts w:ascii="黑体" w:eastAsia="黑体"/>
          <w:sz w:val="30"/>
          <w:szCs w:val="30"/>
        </w:rPr>
      </w:pPr>
      <w:r>
        <w:rPr>
          <w:rFonts w:hint="eastAsia" w:ascii="黑体" w:eastAsia="黑体"/>
          <w:sz w:val="30"/>
          <w:szCs w:val="30"/>
        </w:rPr>
        <w:t>基本流程图</w:t>
      </w:r>
    </w:p>
    <w:p>
      <w:pPr>
        <w:ind w:right="300"/>
        <w:rPr>
          <w:rFonts w:ascii="仿宋_GB2312" w:eastAsia="仿宋_GB2312"/>
          <w:sz w:val="30"/>
          <w:szCs w:val="30"/>
        </w:rPr>
      </w:pPr>
    </w:p>
    <w:p>
      <w:pPr>
        <w:ind w:right="300"/>
        <w:rPr>
          <w:rFonts w:ascii="仿宋_GB2312" w:eastAsia="仿宋_GB2312"/>
          <w:sz w:val="30"/>
          <w:szCs w:val="30"/>
        </w:rPr>
      </w:pPr>
      <w:r>
        <w:rPr>
          <w:rFonts w:ascii="Calibri" w:hAnsi="Calibri" w:eastAsia="宋体" w:cs="黑体"/>
          <w:kern w:val="2"/>
          <w:sz w:val="21"/>
          <w:szCs w:val="22"/>
          <w:lang w:val="en-US" w:eastAsia="zh-CN" w:bidi="ar-SA"/>
        </w:rPr>
        <w:pict>
          <v:shape id="AutoShape 636" o:spid="_x0000_s1027" type="#_x0000_t116" style="position:absolute;left:0;margin-left:0.15pt;margin-top:5.95pt;height:58.6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shape>
        </w:pict>
      </w:r>
    </w:p>
    <w:p>
      <w:pPr>
        <w:ind w:right="300"/>
        <w:rPr>
          <w:rFonts w:ascii="仿宋_GB2312" w:eastAsia="仿宋_GB2312"/>
          <w:sz w:val="30"/>
          <w:szCs w:val="30"/>
        </w:rPr>
      </w:pPr>
      <w:r>
        <w:rPr>
          <w:rFonts w:ascii="Calibri" w:hAnsi="Calibri" w:eastAsia="宋体" w:cs="黑体"/>
          <w:kern w:val="2"/>
          <w:sz w:val="21"/>
          <w:szCs w:val="22"/>
          <w:lang w:val="en-US" w:eastAsia="zh-CN" w:bidi="ar-SA"/>
        </w:rPr>
        <w:pict>
          <v:roundrect id="AutoShape 639" o:spid="_x0000_s1028" style="position:absolute;left:0;margin-left:144.95pt;margin-top:139.3pt;height:31.5pt;width:268.1pt;rotation:0f;z-index:2516613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w:pict>
      </w:r>
      <w:r>
        <w:rPr>
          <w:rFonts w:ascii="Calibri" w:hAnsi="Calibri" w:eastAsia="宋体" w:cs="黑体"/>
          <w:kern w:val="2"/>
          <w:sz w:val="21"/>
          <w:szCs w:val="22"/>
          <w:lang w:val="en-US" w:eastAsia="zh-CN" w:bidi="ar-SA"/>
        </w:rPr>
        <w:pict>
          <v:roundrect id="AutoShape 637" o:spid="_x0000_s1029" style="position:absolute;left:0;margin-left:273.6pt;margin-top:28.3pt;height:33.7pt;width:146.45pt;rotation:0f;z-index:2516592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r>
        <w:rPr>
          <w:rFonts w:ascii="Calibri" w:hAnsi="Calibri" w:eastAsia="宋体" w:cs="黑体"/>
          <w:kern w:val="2"/>
          <w:sz w:val="21"/>
          <w:szCs w:val="22"/>
          <w:lang w:val="en-US" w:eastAsia="zh-CN" w:bidi="ar-SA"/>
        </w:rPr>
        <w:pict>
          <v:roundrect id="AutoShape 638" o:spid="_x0000_s1030" style="position:absolute;left:0;margin-left:144.95pt;margin-top:86.7pt;height:43.55pt;width:268.1pt;rotation:0f;z-index:2516602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w:pict>
      </w:r>
      <w:r>
        <w:rPr>
          <w:rFonts w:ascii="Calibri" w:hAnsi="Calibri" w:eastAsia="宋体" w:cs="黑体"/>
          <w:kern w:val="2"/>
          <w:sz w:val="21"/>
          <w:szCs w:val="22"/>
          <w:lang w:val="en-US" w:eastAsia="zh-CN" w:bidi="ar-SA"/>
        </w:rPr>
        <w:pict>
          <v:shape id="AutoShape 645" o:spid="_x0000_s1031" type="#_x0000_t110" style="position:absolute;left:0;margin-left:-33pt;margin-top:75.55pt;height:95.25pt;width:147.7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分支局受理、审查、审核</w:t>
                  </w:r>
                </w:p>
              </w:txbxContent>
            </v:textbox>
          </v:shape>
        </w:pict>
      </w:r>
      <w:r>
        <w:rPr>
          <w:rFonts w:ascii="Calibri" w:hAnsi="Calibri" w:eastAsia="宋体" w:cs="黑体"/>
          <w:kern w:val="2"/>
          <w:sz w:val="21"/>
          <w:szCs w:val="22"/>
          <w:lang w:val="en-US" w:eastAsia="zh-CN" w:bidi="ar-SA"/>
        </w:rPr>
        <w:pict>
          <v:shape id="AutoShape 644" o:spid="_x0000_s1032" type="#_x0000_t32" style="position:absolute;left:0;flip:x;margin-left:41.45pt;margin-top:47.75pt;height:0.05pt;width:232.15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Calibri" w:hAnsi="Calibri" w:eastAsia="宋体" w:cs="黑体"/>
          <w:kern w:val="2"/>
          <w:sz w:val="21"/>
          <w:szCs w:val="22"/>
          <w:lang w:val="en-US" w:eastAsia="zh-CN" w:bidi="ar-SA"/>
        </w:rPr>
        <w:pict>
          <v:shape id="AutoShape 643" o:spid="_x0000_s1033" type="#_x0000_t32" style="position:absolute;left:0;flip:y;margin-left:345.35pt;margin-top:62pt;height:24.7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Calibri" w:hAnsi="Calibri" w:eastAsia="宋体" w:cs="黑体"/>
          <w:kern w:val="2"/>
          <w:sz w:val="21"/>
          <w:szCs w:val="22"/>
          <w:lang w:val="en-US" w:eastAsia="zh-CN" w:bidi="ar-SA"/>
        </w:rPr>
        <w:pict>
          <v:shape id="AutoShape 642" o:spid="_x0000_s1034" type="#_x0000_t32" style="position:absolute;left:0;margin-left:86.35pt;margin-top:142.2pt;height:0.05pt;width:58.6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Calibri" w:hAnsi="Calibri" w:eastAsia="宋体" w:cs="黑体"/>
          <w:kern w:val="2"/>
          <w:sz w:val="21"/>
          <w:szCs w:val="22"/>
          <w:lang w:val="en-US" w:eastAsia="zh-CN" w:bidi="ar-SA"/>
        </w:rPr>
        <w:pict>
          <v:shape id="AutoShape 641" o:spid="_x0000_s1035" type="#_x0000_t32" style="position:absolute;left:0;margin-left:86.35pt;margin-top:104.7pt;height:0.05pt;width:58.6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Calibri" w:hAnsi="Calibri" w:eastAsia="宋体" w:cs="黑体"/>
          <w:kern w:val="2"/>
          <w:sz w:val="21"/>
          <w:szCs w:val="22"/>
          <w:lang w:val="en-US" w:eastAsia="zh-CN" w:bidi="ar-SA"/>
        </w:rPr>
        <w:pict>
          <v:shape id="AutoShape 640" o:spid="_x0000_s1036" type="#_x0000_t32" style="position:absolute;left:0;margin-left:40.6pt;margin-top:33.35pt;height:42.2pt;width:0.0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adjustRightInd w:val="0"/>
        <w:snapToGrid w:val="0"/>
        <w:spacing w:line="360" w:lineRule="auto"/>
        <w:ind w:firstLine="585"/>
      </w:pPr>
    </w:p>
    <w:sectPr>
      <w:footerReference r:id="rId8" w:type="default"/>
      <w:pgSz w:w="11906" w:h="16838"/>
      <w:pgMar w:top="1440" w:right="1800" w:bottom="1440" w:left="1800" w:header="851" w:footer="992" w:gutter="0"/>
      <w:cols w:space="720" w:num="1"/>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nhideWhenUsed="0" w:uiPriority="99" w:name="footnote text"/>
    <w:lsdException w:unhideWhenUsed="0" w:uiPriority="99" w:semiHidden="0" w:name="annotation text"/>
    <w:lsdException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nhideWhenUsed="0" w:uiPriority="99" w:semiHidden="0" w:name="footnote reference"/>
    <w:lsdException w:unhideWhenUsed="0" w:uiPriority="99" w:semiHidden="0" w:name="annotation reference"/>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unhideWhenUsed="0" w:uiPriority="99" w:semiHidden="0" w:name="Document Map"/>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nhideWhenUsed="0" w:uiPriority="99" w:semiHidden="0" w:name="HTML Preformatted"/>
    <w:lsdException w:uiPriority="0" w:name="HTML Sample" w:locked="1"/>
    <w:lsdException w:uiPriority="0" w:name="HTML Typewriter" w:locked="1"/>
    <w:lsdException w:uiPriority="0" w:name="HTML Variable" w:locked="1"/>
    <w:lsdException w:uiPriority="0" w:name="annotation subject" w:locked="1"/>
    <w:lsdException w:unhideWhenUsed="0"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6"/>
    <w:qFormat/>
    <w:uiPriority w:val="9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7"/>
    <w:qFormat/>
    <w:uiPriority w:val="9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8"/>
    <w:qFormat/>
    <w:uiPriority w:val="99"/>
    <w:pPr>
      <w:ind w:right="300"/>
      <w:outlineLvl w:val="2"/>
    </w:pPr>
    <w:rPr>
      <w:rFonts w:ascii="仿宋_GB2312" w:eastAsia="仿宋_GB2312" w:cs="Times New Roman"/>
      <w:sz w:val="30"/>
      <w:szCs w:val="30"/>
    </w:rPr>
  </w:style>
  <w:style w:type="character" w:default="1" w:styleId="12">
    <w:name w:val="Default Paragraph Font"/>
    <w:semiHidden/>
    <w:uiPriority w:val="99"/>
  </w:style>
  <w:style w:type="paragraph" w:styleId="5">
    <w:name w:val="Document Map"/>
    <w:basedOn w:val="1"/>
    <w:link w:val="29"/>
    <w:uiPriority w:val="99"/>
    <w:rPr>
      <w:rFonts w:ascii="宋体"/>
      <w:sz w:val="18"/>
      <w:szCs w:val="18"/>
    </w:rPr>
  </w:style>
  <w:style w:type="paragraph" w:styleId="6">
    <w:name w:val="annotation text"/>
    <w:basedOn w:val="1"/>
    <w:link w:val="30"/>
    <w:uiPriority w:val="99"/>
    <w:pPr>
      <w:jc w:val="left"/>
    </w:pPr>
    <w:rPr>
      <w:rFonts w:cs="Times New Roman"/>
    </w:rPr>
  </w:style>
  <w:style w:type="paragraph" w:styleId="7">
    <w:name w:val="Balloon Text"/>
    <w:basedOn w:val="1"/>
    <w:link w:val="31"/>
    <w:uiPriority w:val="99"/>
    <w:rPr>
      <w:sz w:val="18"/>
      <w:szCs w:val="18"/>
    </w:rPr>
  </w:style>
  <w:style w:type="paragraph" w:styleId="8">
    <w:name w:val="footer"/>
    <w:basedOn w:val="1"/>
    <w:link w:val="32"/>
    <w:uiPriority w:val="99"/>
    <w:pPr>
      <w:tabs>
        <w:tab w:val="center" w:pos="4153"/>
        <w:tab w:val="right" w:pos="8306"/>
      </w:tabs>
      <w:snapToGrid w:val="0"/>
      <w:jc w:val="left"/>
    </w:pPr>
    <w:rPr>
      <w:sz w:val="18"/>
      <w:szCs w:val="18"/>
    </w:rPr>
  </w:style>
  <w:style w:type="paragraph" w:styleId="9">
    <w:name w:val="header"/>
    <w:basedOn w:val="1"/>
    <w:link w:val="33"/>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uiPriority w:val="99"/>
    <w:pPr>
      <w:snapToGrid w:val="0"/>
      <w:jc w:val="left"/>
    </w:pPr>
    <w:rPr>
      <w:rFonts w:cs="Times New Roman"/>
      <w:kern w:val="2"/>
      <w:sz w:val="18"/>
      <w:szCs w:val="18"/>
    </w:rPr>
  </w:style>
  <w:style w:type="character" w:customStyle="1" w:styleId="11">
    <w:name w:val="脚注文本 Char"/>
    <w:basedOn w:val="12"/>
    <w:semiHidden/>
    <w:uiPriority w:val="99"/>
    <w:rPr>
      <w:rFonts w:cs="Times New Roman"/>
      <w:kern w:val="2"/>
      <w:sz w:val="18"/>
      <w:szCs w:val="18"/>
    </w:rPr>
  </w:style>
  <w:style w:type="paragraph" w:styleId="13">
    <w:name w:val="HTML Preformatted"/>
    <w:basedOn w:val="1"/>
    <w:link w:val="35"/>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iPriority w:val="99"/>
    <w:rPr>
      <w:rFonts w:ascii="??" w:hAnsi="??" w:cs="Times New Roman"/>
      <w:color w:val="0453CC"/>
      <w:sz w:val="20"/>
      <w:szCs w:val="20"/>
      <w:u w:val="none"/>
    </w:rPr>
  </w:style>
  <w:style w:type="character" w:styleId="16">
    <w:name w:val="annotation reference"/>
    <w:basedOn w:val="12"/>
    <w:uiPriority w:val="99"/>
    <w:rPr>
      <w:rFonts w:cs="Times New Roman"/>
      <w:sz w:val="21"/>
      <w:szCs w:val="21"/>
    </w:rPr>
  </w:style>
  <w:style w:type="character" w:styleId="17">
    <w:name w:val="footnote reference"/>
    <w:basedOn w:val="12"/>
    <w:uiPriority w:val="99"/>
    <w:rPr>
      <w:rFonts w:ascii="Times New Roman" w:hAnsi="Times New Roman" w:cs="Times New Roman"/>
      <w:vertAlign w:val="superscript"/>
    </w:rPr>
  </w:style>
  <w:style w:type="paragraph" w:customStyle="1" w:styleId="18">
    <w:name w:val="列出段落1"/>
    <w:basedOn w:val="1"/>
    <w:uiPriority w:val="99"/>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rPr>
  </w:style>
  <w:style w:type="paragraph" w:customStyle="1" w:styleId="20">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uiPriority w:val="99"/>
    <w:rPr>
      <w:rFonts w:ascii="Calibri" w:hAnsi="Calibri" w:cs="黑体"/>
    </w:rPr>
  </w:style>
  <w:style w:type="paragraph" w:customStyle="1" w:styleId="22">
    <w:name w:val="列出段落11"/>
    <w:basedOn w:val="1"/>
    <w:uiPriority w:val="99"/>
    <w:pPr>
      <w:ind w:firstLine="420" w:firstLineChars="200"/>
    </w:pPr>
    <w:rPr>
      <w:rFonts w:cs="Times New Roman"/>
    </w:rPr>
  </w:style>
  <w:style w:type="paragraph" w:customStyle="1" w:styleId="23">
    <w:name w:val="列出段落4"/>
    <w:basedOn w:val="1"/>
    <w:uiPriority w:val="99"/>
    <w:pPr>
      <w:ind w:firstLine="200" w:firstLineChars="200"/>
    </w:pPr>
    <w:rPr>
      <w:rFonts w:cs="Times New Roman"/>
    </w:rPr>
  </w:style>
  <w:style w:type="paragraph" w:customStyle="1" w:styleId="24">
    <w:name w:val="列出段落3"/>
    <w:basedOn w:val="1"/>
    <w:uiPriority w:val="99"/>
    <w:pPr>
      <w:ind w:firstLine="420" w:firstLineChars="200"/>
    </w:pPr>
    <w:rPr>
      <w:rFonts w:ascii="Times New Roman" w:hAnsi="Times New Roman" w:cs="Times New Roman"/>
      <w:szCs w:val="24"/>
    </w:rPr>
  </w:style>
  <w:style w:type="paragraph" w:customStyle="1" w:styleId="25">
    <w:name w:val="p0"/>
    <w:basedOn w:val="1"/>
    <w:uiPriority w:val="99"/>
    <w:pPr>
      <w:widowControl/>
    </w:pPr>
    <w:rPr>
      <w:rFonts w:cs="宋体"/>
      <w:kern w:val="0"/>
      <w:szCs w:val="21"/>
    </w:rPr>
  </w:style>
  <w:style w:type="character" w:customStyle="1" w:styleId="26">
    <w:name w:val="Heading 1 Char"/>
    <w:basedOn w:val="12"/>
    <w:link w:val="2"/>
    <w:uiPriority w:val="99"/>
    <w:rPr>
      <w:rFonts w:ascii="黑体" w:hAnsi="黑体" w:eastAsia="黑体" w:cs="宋体"/>
      <w:color w:val="000000"/>
      <w:kern w:val="0"/>
      <w:sz w:val="30"/>
      <w:szCs w:val="30"/>
    </w:rPr>
  </w:style>
  <w:style w:type="character" w:customStyle="1" w:styleId="27">
    <w:name w:val="Heading 2 Char"/>
    <w:basedOn w:val="12"/>
    <w:link w:val="3"/>
    <w:uiPriority w:val="99"/>
    <w:rPr>
      <w:rFonts w:ascii="Cambria" w:hAnsi="Cambria" w:eastAsia="宋体" w:cs="Times New Roman"/>
      <w:b/>
      <w:bCs/>
      <w:sz w:val="32"/>
      <w:szCs w:val="32"/>
    </w:rPr>
  </w:style>
  <w:style w:type="character" w:customStyle="1" w:styleId="28">
    <w:name w:val="Heading 3 Char"/>
    <w:basedOn w:val="12"/>
    <w:link w:val="4"/>
    <w:uiPriority w:val="99"/>
    <w:rPr>
      <w:rFonts w:ascii="仿宋_GB2312" w:hAnsi="Calibri" w:eastAsia="仿宋_GB2312" w:cs="Times New Roman"/>
      <w:sz w:val="30"/>
      <w:szCs w:val="30"/>
    </w:rPr>
  </w:style>
  <w:style w:type="character" w:customStyle="1" w:styleId="29">
    <w:name w:val="Document Map Char Char"/>
    <w:basedOn w:val="12"/>
    <w:link w:val="5"/>
    <w:uiPriority w:val="99"/>
    <w:rPr>
      <w:rFonts w:ascii="宋体" w:cs="Times New Roman"/>
      <w:sz w:val="18"/>
      <w:szCs w:val="18"/>
    </w:rPr>
  </w:style>
  <w:style w:type="character" w:customStyle="1" w:styleId="30">
    <w:name w:val="Comment Text Char"/>
    <w:basedOn w:val="12"/>
    <w:link w:val="6"/>
    <w:uiPriority w:val="99"/>
    <w:rPr>
      <w:rFonts w:ascii="Calibri" w:hAnsi="Calibri" w:eastAsia="宋体" w:cs="Times New Roman"/>
    </w:rPr>
  </w:style>
  <w:style w:type="character" w:customStyle="1" w:styleId="31">
    <w:name w:val="Balloon Text Char Char"/>
    <w:basedOn w:val="12"/>
    <w:link w:val="7"/>
    <w:uiPriority w:val="99"/>
    <w:rPr>
      <w:rFonts w:cs="Times New Roman"/>
      <w:sz w:val="18"/>
      <w:szCs w:val="18"/>
    </w:rPr>
  </w:style>
  <w:style w:type="character" w:customStyle="1" w:styleId="32">
    <w:name w:val="Footer Char"/>
    <w:basedOn w:val="12"/>
    <w:link w:val="8"/>
    <w:uiPriority w:val="99"/>
    <w:rPr>
      <w:rFonts w:cs="Times New Roman"/>
      <w:sz w:val="18"/>
      <w:szCs w:val="18"/>
    </w:rPr>
  </w:style>
  <w:style w:type="character" w:customStyle="1" w:styleId="33">
    <w:name w:val="Header Char"/>
    <w:basedOn w:val="12"/>
    <w:link w:val="9"/>
    <w:uiPriority w:val="99"/>
    <w:rPr>
      <w:rFonts w:cs="Times New Roman"/>
      <w:sz w:val="18"/>
      <w:szCs w:val="18"/>
    </w:rPr>
  </w:style>
  <w:style w:type="character" w:customStyle="1" w:styleId="34">
    <w:name w:val="Footnote Text Char"/>
    <w:basedOn w:val="12"/>
    <w:link w:val="10"/>
    <w:uiPriority w:val="99"/>
    <w:rPr>
      <w:rFonts w:ascii="Times New Roman" w:hAnsi="Times New Roman" w:cs="Times New Roman"/>
      <w:sz w:val="18"/>
      <w:szCs w:val="18"/>
    </w:rPr>
  </w:style>
  <w:style w:type="character" w:customStyle="1" w:styleId="35">
    <w:name w:val="HTML Preformatted Char Char"/>
    <w:basedOn w:val="12"/>
    <w:link w:val="13"/>
    <w:uiPriority w:val="99"/>
    <w:rPr>
      <w:rFonts w:ascii="宋体" w:hAnsi="宋体" w:eastAsia="宋体" w:cs="宋体"/>
      <w:kern w:val="0"/>
      <w:sz w:val="24"/>
      <w:szCs w:val="24"/>
    </w:rPr>
  </w:style>
  <w:style w:type="character" w:customStyle="1" w:styleId="36">
    <w:name w:val="标题 4 Char Char"/>
    <w:uiPriority w:val="99"/>
    <w:rPr>
      <w:rFonts w:ascii="Calibri" w:hAnsi="Calibri"/>
      <w:b/>
      <w:sz w:val="28"/>
      <w:lang w:eastAsia="en-US"/>
    </w:rPr>
  </w:style>
  <w:style w:type="character" w:customStyle="1" w:styleId="37">
    <w:name w:val="批注文字 Char1"/>
    <w:basedOn w:val="12"/>
    <w:semiHidden/>
    <w:uiPriority w:val="99"/>
    <w:rPr>
      <w:rFonts w:cs="Times New Roman"/>
      <w:kern w:val="2"/>
      <w:sz w:val="22"/>
      <w:szCs w:val="22"/>
    </w:rPr>
  </w:style>
  <w:style w:type="character" w:customStyle="1" w:styleId="38">
    <w:name w:val="明显强调1"/>
    <w:basedOn w:val="12"/>
    <w:uiPriority w:val="99"/>
    <w:rPr>
      <w:rFonts w:cs="Times New Roman"/>
      <w:b/>
      <w:bCs/>
      <w:i/>
      <w:iCs/>
      <w:color w:val="4F81BD"/>
    </w:rPr>
  </w:style>
  <w:style w:type="character" w:customStyle="1" w:styleId="39">
    <w:name w:val="文档结构图 Char1"/>
    <w:basedOn w:val="12"/>
    <w:semiHidden/>
    <w:uiPriority w:val="99"/>
    <w:rPr>
      <w:rFonts w:ascii="宋体" w:eastAsia="宋体" w:cs="Times New Roman"/>
      <w:sz w:val="18"/>
      <w:szCs w:val="18"/>
    </w:rPr>
  </w:style>
  <w:style w:type="character" w:customStyle="1" w:styleId="40">
    <w:name w:val="脚注文本 Char2"/>
    <w:basedOn w:val="12"/>
    <w:semiHidden/>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1.jpe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387</Words>
  <Characters>2211</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2021-02-02T03:19:00Z</dcterms:created>
  <dc:creator>裴建君2</dc:creator>
  <cp:lastModifiedBy>张乃丹</cp:lastModifiedBy>
  <cp:lastPrinted>2021-02-02T06:20:00Z</cp:lastPrinted>
  <dcterms:modified xsi:type="dcterms:W3CDTF">2021-09-13T08:16:14Z</dcterms:modified>
  <dc:title>编号：57016               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