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黑体" w:cs="Times New Roman"/>
          <w:sz w:val="48"/>
          <w:szCs w:val="48"/>
        </w:rPr>
      </w:pPr>
      <w:bookmarkStart w:id="5" w:name="_GoBack"/>
      <w:bookmarkEnd w:id="5"/>
      <w:r>
        <w:rPr>
          <w:rFonts w:ascii="Times New Roman" w:hAnsi="Times New Roman" w:eastAsia="黑体" w:cs="Times New Roman"/>
          <w:sz w:val="48"/>
          <w:szCs w:val="48"/>
        </w:rPr>
        <w:t>编号：57004</w:t>
      </w:r>
      <w:r>
        <w:rPr>
          <w:rFonts w:hint="eastAsia" w:ascii="Times New Roman" w:hAnsi="Times New Roman" w:eastAsia="黑体" w:cs="Times New Roman"/>
          <w:sz w:val="48"/>
          <w:szCs w:val="48"/>
        </w:rPr>
        <w:t xml:space="preserve">                 </w:t>
      </w:r>
      <w:r>
        <w:rPr>
          <w:rFonts w:ascii="Times New Roman" w:hAnsi="Times New Roman" w:eastAsia="黑体" w:cs="Times New Roman"/>
          <w:sz w:val="48"/>
          <w:szCs w:val="48"/>
        </w:rPr>
        <w:drawing>
          <wp:inline distT="0" distB="0" distL="0" distR="0">
            <wp:extent cx="1105535" cy="885825"/>
            <wp:effectExtent l="19050" t="0" r="0" b="0"/>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noChangeArrowheads="1"/>
                    </pic:cNvPicPr>
                  </pic:nvPicPr>
                  <pic:blipFill>
                    <a:blip r:embed="rId6"/>
                    <a:srcRect/>
                    <a:stretch>
                      <a:fillRect/>
                    </a:stretch>
                  </pic:blipFill>
                  <pic:spPr>
                    <a:xfrm>
                      <a:off x="0" y="0"/>
                      <a:ext cx="1106431" cy="886438"/>
                    </a:xfrm>
                    <a:prstGeom prst="rect">
                      <a:avLst/>
                    </a:prstGeom>
                    <a:noFill/>
                    <a:ln w="9525">
                      <a:noFill/>
                      <a:miter lim="800000"/>
                      <a:headEnd/>
                      <a:tailEnd/>
                    </a:ln>
                  </pic:spPr>
                </pic:pic>
              </a:graphicData>
            </a:graphic>
          </wp:inline>
        </w:drawing>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“跨境从事有价证券、衍生产品发行、交易外汇登记”行政审批服务指南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实施日期：2020年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发布机构：国家外汇管理局</w: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sectPr>
          <w:footerReference r:id="rId3"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一、项目信息</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项目名称：跨境从事有价证券、衍生产品发行、交易外汇登记；</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项目编号：57004；</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本指南适用于“跨境从事有价证券、衍生产品发行、交易外汇登记”的申请和办理。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一）《中华人民共和国外汇管理条例》（国务院令第532号）第十六条：“……境外机构、境外个人在境内从事有价证券或者衍生产品发行、交易，应当遵守国家关于市场准入的规定，并按照国务院外汇管理部门的规定办理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二）《中华人民共和国外汇管理条例》（国务院令第532号）第十七条：“境内机构、境内个人向境外直接投资或者从事境外有价证券、衍生产品发行、交易，应当按照国务院外汇管理部门的规定办理登记。国家规定需要事先经有关主管部门批准或者备案的，应当在外汇登记前办理批准或者备案手续”。</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四、境外上市公司境内股东持股登记及变更登记</w:t>
      </w:r>
    </w:p>
    <w:p>
      <w:pPr>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2</w:t>
      </w:r>
      <w:r>
        <w:rPr>
          <w:rFonts w:ascii="Times New Roman" w:hAnsi="Times New Roman" w:eastAsia="仿宋_GB2312" w:cs="Times New Roman"/>
          <w:sz w:val="30"/>
          <w:szCs w:val="30"/>
        </w:rPr>
        <w:t>.《国家外汇管理局关于境外上市外汇管理有关问题的通知》（汇发</w:t>
      </w:r>
      <w:r>
        <w:rPr>
          <w:rFonts w:hint="eastAsia" w:ascii="Times New Roman" w:hAnsi="Times New Roman" w:eastAsia="仿宋_GB2312" w:cs="Times New Roman"/>
          <w:sz w:val="30"/>
          <w:szCs w:val="30"/>
        </w:rPr>
        <w:t>〔2014〕</w:t>
      </w:r>
      <w:r>
        <w:rPr>
          <w:rFonts w:ascii="Times New Roman" w:hAnsi="Times New Roman" w:eastAsia="仿宋_GB2312" w:cs="Times New Roman"/>
          <w:sz w:val="30"/>
          <w:szCs w:val="30"/>
        </w:rPr>
        <w:t>54号）；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3. 《H股公司境内未上市股份申请“全流通”业务指引》（证监会公告〔2019〕22号）；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4.《国家外汇管理局关于全面推开H股“全流通”改革所涉及外汇管理工作的批复》（汇复〔2020〕1号）。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申请人为持有境外上市公司股份的境内股东，应在拟增持或减持前20个工作日内，到境内股东所在地外汇局办理境外持股登记。</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仿宋_GB2312" w:eastAsia="仿宋_GB2312"/>
          <w:sz w:val="30"/>
          <w:szCs w:val="30"/>
        </w:rPr>
        <w:t>禁止性要求：</w:t>
      </w:r>
      <w:r>
        <w:rPr>
          <w:rFonts w:ascii="Times New Roman" w:hAnsi="Times New Roman" w:eastAsia="仿宋_GB2312" w:cs="Times New Roman"/>
          <w:sz w:val="30"/>
          <w:szCs w:val="30"/>
        </w:rPr>
        <w:t>如符合上述条件，不存在不予许可的情况。</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（六）申请材料</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1、境外上市公司境内股东持股登记申请材料</w:t>
      </w:r>
    </w:p>
    <w:tbl>
      <w:tblPr>
        <w:tblStyle w:val="1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402"/>
        <w:gridCol w:w="1275"/>
        <w:gridCol w:w="457"/>
        <w:gridCol w:w="960"/>
        <w:gridCol w:w="457"/>
        <w:gridCol w:w="1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9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52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40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书面申请，并附《境外持股登记表》</w:t>
            </w:r>
          </w:p>
        </w:tc>
        <w:tc>
          <w:tcPr>
            <w:tcW w:w="1275"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p>
        </w:tc>
        <w:tc>
          <w:tcPr>
            <w:tcW w:w="1528"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40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关于增持或减持事项的董事会或股东大会决议（如有）</w:t>
            </w:r>
          </w:p>
        </w:tc>
        <w:tc>
          <w:tcPr>
            <w:tcW w:w="1275"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p>
        </w:tc>
        <w:tc>
          <w:tcPr>
            <w:tcW w:w="1528"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340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相关部门的批准文件（需经财政部门、国有资产管理部门等相关部门批准的提供）</w:t>
            </w:r>
          </w:p>
        </w:tc>
        <w:tc>
          <w:tcPr>
            <w:tcW w:w="1275"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p>
        </w:tc>
        <w:tc>
          <w:tcPr>
            <w:tcW w:w="1528"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bl>
    <w:p>
      <w:pPr>
        <w:ind w:firstLine="600" w:firstLineChars="200"/>
        <w:rPr>
          <w:rFonts w:ascii="Times New Roman" w:hAnsi="Times New Roman" w:eastAsia="黑体" w:cs="Times New Roman"/>
          <w:sz w:val="30"/>
          <w:szCs w:val="30"/>
        </w:rPr>
      </w:pPr>
    </w:p>
    <w:p>
      <w:pPr>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2、境外上市公司境内股东持股变更登记申请材料</w:t>
      </w:r>
    </w:p>
    <w:tbl>
      <w:tblPr>
        <w:tblStyle w:val="17"/>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402"/>
        <w:gridCol w:w="1275"/>
        <w:gridCol w:w="457"/>
        <w:gridCol w:w="960"/>
        <w:gridCol w:w="457"/>
        <w:gridCol w:w="1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序号</w:t>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提交材料名称</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原件/复印件</w:t>
            </w:r>
          </w:p>
        </w:tc>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份数</w:t>
            </w:r>
          </w:p>
        </w:tc>
        <w:tc>
          <w:tcPr>
            <w:tcW w:w="9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纸质/电子</w:t>
            </w:r>
          </w:p>
        </w:tc>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要求</w:t>
            </w:r>
          </w:p>
        </w:tc>
        <w:tc>
          <w:tcPr>
            <w:tcW w:w="138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340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书面申请</w:t>
            </w:r>
            <w:r>
              <w:rPr>
                <w:rFonts w:hint="eastAsia" w:ascii="Times New Roman" w:hAnsi="Times New Roman" w:eastAsia="仿宋_GB2312" w:cs="Times New Roman"/>
                <w:kern w:val="0"/>
                <w:sz w:val="24"/>
                <w:szCs w:val="24"/>
              </w:rPr>
              <w:t>，并附《境外持股登记表》</w:t>
            </w:r>
          </w:p>
        </w:tc>
        <w:tc>
          <w:tcPr>
            <w:tcW w:w="1275" w:type="dxa"/>
            <w:tcBorders>
              <w:top w:val="single" w:color="auto" w:sz="4" w:space="0"/>
              <w:left w:val="single" w:color="auto" w:sz="4" w:space="0"/>
              <w:bottom w:val="single" w:color="auto" w:sz="4" w:space="0"/>
              <w:right w:val="single" w:color="auto" w:sz="4" w:space="0"/>
            </w:tcBorders>
            <w:vAlign w:val="center"/>
          </w:tcPr>
          <w:p>
            <w:pPr>
              <w:ind w:right="31" w:rightChars="15"/>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加盖公章的原件</w:t>
            </w:r>
          </w:p>
        </w:tc>
        <w:tc>
          <w:tcPr>
            <w:tcW w:w="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p>
        </w:tc>
        <w:tc>
          <w:tcPr>
            <w:tcW w:w="138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2</w:t>
            </w:r>
          </w:p>
        </w:tc>
        <w:tc>
          <w:tcPr>
            <w:tcW w:w="340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相关交易真实性证明材料</w:t>
            </w:r>
          </w:p>
        </w:tc>
        <w:tc>
          <w:tcPr>
            <w:tcW w:w="1275"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p>
        </w:tc>
        <w:tc>
          <w:tcPr>
            <w:tcW w:w="138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验原件，留存加盖公章的复印件</w:t>
            </w:r>
          </w:p>
        </w:tc>
      </w:tr>
    </w:tbl>
    <w:p>
      <w:pPr>
        <w:adjustRightInd w:val="0"/>
        <w:snapToGrid w:val="0"/>
        <w:spacing w:line="360" w:lineRule="auto"/>
        <w:ind w:firstLine="600" w:firstLineChars="200"/>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highlight w:val="yellow"/>
        </w:rPr>
      </w:pPr>
      <w:r>
        <w:rPr>
          <w:rFonts w:ascii="Times New Roman" w:hAnsi="Times New Roman" w:eastAsia="仿宋_GB2312" w:cs="Times New Roman"/>
          <w:sz w:val="30"/>
          <w:szCs w:val="30"/>
        </w:rPr>
        <w:t>申请人可通过所在地外汇局业务窗口</w:t>
      </w:r>
      <w:r>
        <w:rPr>
          <w:rFonts w:hint="eastAsia" w:ascii="Times New Roman" w:hAnsi="Times New Roman" w:eastAsia="仿宋_GB2312" w:cs="Times New Roman"/>
          <w:sz w:val="30"/>
          <w:szCs w:val="30"/>
        </w:rPr>
        <w:t>或国家外汇管理局政务服务网上办理系统</w:t>
      </w:r>
      <w:r>
        <w:rPr>
          <w:rFonts w:ascii="Times New Roman" w:hAnsi="Times New Roman" w:eastAsia="仿宋_GB2312" w:cs="Times New Roman"/>
          <w:sz w:val="30"/>
          <w:szCs w:val="30"/>
        </w:rPr>
        <w:t>提交材料。</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tabs>
          <w:tab w:val="left" w:pos="615"/>
        </w:tabs>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ab/>
      </w:r>
      <w:r>
        <w:rPr>
          <w:rFonts w:ascii="Times New Roman" w:hAnsi="Times New Roman" w:eastAsia="仿宋_GB2312" w:cs="Times New Roman"/>
          <w:sz w:val="30"/>
          <w:szCs w:val="30"/>
        </w:rPr>
        <w:t>1.申请人提交申请；</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jc w:val="left"/>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jc w:val="left"/>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（十一）审批收费依据及标准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（十二）审批结果</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通过现场告知或电话通知申请人，并通过现场领取或通过邮寄方式将结果送达。</w:t>
      </w:r>
    </w:p>
    <w:p>
      <w:pPr>
        <w:adjustRightInd w:val="0"/>
        <w:snapToGrid w:val="0"/>
        <w:spacing w:line="360" w:lineRule="auto"/>
        <w:ind w:firstLine="600"/>
        <w:outlineLvl w:val="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（十五）咨询途径、监督和投诉、办公地址和时间、公开查询方式等由所在地分局（外汇管理部）另行公布</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向各地外汇局进行咨询、办理进程查询、监督和投诉等可通过各地外汇局官方互联网站的相应栏目进行。网址可通过</w:t>
      </w:r>
      <w:r>
        <w:fldChar w:fldCharType="begin"/>
      </w:r>
      <w:r>
        <w:instrText xml:space="preserve"> HYPERLINK "http://www.safe.gov.cn" </w:instrText>
      </w:r>
      <w:r>
        <w:fldChar w:fldCharType="separate"/>
      </w:r>
      <w:r>
        <w:rPr>
          <w:rFonts w:ascii="Times New Roman" w:hAnsi="Times New Roman" w:eastAsia="仿宋_GB2312" w:cs="Times New Roman"/>
          <w:sz w:val="30"/>
        </w:rPr>
        <w:t>www.safe.gov.cn</w:t>
      </w:r>
      <w:r>
        <w:rPr>
          <w:rFonts w:ascii="Times New Roman" w:hAnsi="Times New Roman" w:eastAsia="仿宋_GB2312" w:cs="Times New Roman"/>
          <w:sz w:val="30"/>
        </w:rPr>
        <w:fldChar w:fldCharType="end"/>
      </w:r>
      <w:r>
        <w:rPr>
          <w:rFonts w:ascii="Times New Roman" w:hAnsi="Times New Roman" w:eastAsia="仿宋_GB2312" w:cs="Times New Roman"/>
          <w:sz w:val="30"/>
          <w:szCs w:val="30"/>
        </w:rPr>
        <w:t>进行链接，也可通过各外汇局官方互联网站上公布的电话进行。</w:t>
      </w:r>
    </w:p>
    <w:p>
      <w:pPr>
        <w:rPr>
          <w:rFonts w:ascii="Times New Roman" w:hAnsi="Times New Roman" w:cs="Times New Roman"/>
        </w:rPr>
      </w:pPr>
      <w:bookmarkStart w:id="0" w:name="_Toc492328428"/>
      <w:bookmarkStart w:id="1" w:name="_Toc487492186"/>
      <w:bookmarkStart w:id="2" w:name="_Toc428779974"/>
      <w:bookmarkStart w:id="3" w:name="_Toc485285483"/>
      <w:bookmarkStart w:id="4" w:name="_Toc495992545"/>
    </w:p>
    <w:p>
      <w:pPr>
        <w:ind w:right="300"/>
        <w:rPr>
          <w:rFonts w:ascii="仿宋_GB2312" w:eastAsia="仿宋_GB2312"/>
          <w:sz w:val="30"/>
          <w:szCs w:val="30"/>
        </w:rPr>
      </w:pPr>
      <w:r>
        <w:rPr>
          <w:rFonts w:ascii="Times New Roman" w:hAnsi="Times New Roman" w:cs="Times New Roman"/>
        </w:rPr>
        <w:br w:type="page"/>
      </w:r>
      <w:r>
        <w:rPr>
          <w:rFonts w:hint="eastAsia" w:ascii="仿宋_GB2312" w:eastAsia="仿宋_GB2312"/>
          <w:sz w:val="30"/>
          <w:szCs w:val="30"/>
        </w:rPr>
        <w:t>附录一</w:t>
      </w:r>
    </w:p>
    <w:p>
      <w:pPr>
        <w:ind w:right="300"/>
        <w:jc w:val="center"/>
        <w:rPr>
          <w:rFonts w:ascii="黑体" w:eastAsia="黑体"/>
          <w:sz w:val="30"/>
          <w:szCs w:val="30"/>
        </w:rPr>
      </w:pPr>
      <w:r>
        <w:rPr>
          <w:rFonts w:hint="eastAsia" w:ascii="黑体" w:eastAsia="黑体"/>
          <w:sz w:val="30"/>
          <w:szCs w:val="30"/>
        </w:rPr>
        <w:t>基本流程图</w:t>
      </w:r>
    </w:p>
    <w:p>
      <w:pPr>
        <w:ind w:right="300"/>
        <w:jc w:val="center"/>
        <w:rPr>
          <w:rFonts w:ascii="黑体" w:eastAsia="黑体"/>
          <w:sz w:val="30"/>
          <w:szCs w:val="30"/>
        </w:rPr>
      </w:pPr>
      <w:r>
        <w:rPr>
          <w:rFonts w:ascii="黑体" w:eastAsia="黑体"/>
          <w:sz w:val="30"/>
          <w:szCs w:val="30"/>
        </w:rPr>
        <mc:AlternateContent>
          <mc:Choice Requires="wpg">
            <w:drawing>
              <wp:anchor distT="0" distB="0" distL="114300" distR="114300" simplePos="0" relativeHeight="251664384" behindDoc="0" locked="0" layoutInCell="1" allowOverlap="1">
                <wp:simplePos x="0" y="0"/>
                <wp:positionH relativeFrom="column">
                  <wp:posOffset>-266700</wp:posOffset>
                </wp:positionH>
                <wp:positionV relativeFrom="paragraph">
                  <wp:posOffset>188595</wp:posOffset>
                </wp:positionV>
                <wp:extent cx="5779135" cy="7442835"/>
                <wp:effectExtent l="8255" t="4445" r="22860" b="20320"/>
                <wp:wrapNone/>
                <wp:docPr id="156" name="Group 680"/>
                <wp:cNvGraphicFramePr/>
                <a:graphic xmlns:a="http://schemas.openxmlformats.org/drawingml/2006/main">
                  <a:graphicData uri="http://schemas.microsoft.com/office/word/2010/wordprocessingGroup">
                    <wpg:wgp>
                      <wpg:cNvGrpSpPr/>
                      <wpg:grpSpPr>
                        <a:xfrm>
                          <a:off x="0" y="0"/>
                          <a:ext cx="5779135" cy="7442835"/>
                          <a:chOff x="-180" y="0"/>
                          <a:chExt cx="9101" cy="11721"/>
                        </a:xfrm>
                        <a:effectLst/>
                      </wpg:grpSpPr>
                      <wps:wsp>
                        <wps:cNvPr id="157" name="Rectangle 681"/>
                        <wps:cNvSpPr>
                          <a:spLocks noChangeArrowheads="1"/>
                        </wps:cNvSpPr>
                        <wps:spPr bwMode="auto">
                          <a:xfrm>
                            <a:off x="2908" y="8319"/>
                            <a:ext cx="2985" cy="534"/>
                          </a:xfrm>
                          <a:prstGeom prst="rect">
                            <a:avLst/>
                          </a:prstGeom>
                          <a:solidFill>
                            <a:srgbClr val="FFFFFF"/>
                          </a:solidFill>
                          <a:ln w="9525">
                            <a:solidFill>
                              <a:srgbClr val="000000"/>
                            </a:solidFill>
                            <a:miter lim="800000"/>
                          </a:ln>
                          <a:effectLst/>
                        </wps:spPr>
                        <wps:txbx>
                          <w:txbxContent>
                            <w:p>
                              <w:pPr>
                                <w:jc w:val="center"/>
                              </w:pPr>
                              <w:r>
                                <w:t>审核</w:t>
                              </w:r>
                            </w:p>
                          </w:txbxContent>
                        </wps:txbx>
                        <wps:bodyPr rot="0" vert="horz" wrap="square" lIns="91440" tIns="45720" rIns="91440" bIns="45720" anchor="t" anchorCtr="0" upright="1">
                          <a:noAutofit/>
                        </wps:bodyPr>
                      </wps:wsp>
                      <wps:wsp>
                        <wps:cNvPr id="158" name="AutoShape 682"/>
                        <wps:cNvSpPr>
                          <a:spLocks noChangeArrowheads="1"/>
                        </wps:cNvSpPr>
                        <wps:spPr bwMode="auto">
                          <a:xfrm>
                            <a:off x="4420" y="10681"/>
                            <a:ext cx="3675" cy="1037"/>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依法作出不予许可决定，</w:t>
                              </w:r>
                            </w:p>
                            <w:p>
                              <w:pPr>
                                <w:jc w:val="center"/>
                              </w:pPr>
                              <w:r>
                                <w:rPr>
                                  <w:rFonts w:hint="eastAsia"/>
                                </w:rPr>
                                <w:t>并送达</w:t>
                              </w:r>
                            </w:p>
                          </w:txbxContent>
                        </wps:txbx>
                        <wps:bodyPr rot="0" vert="horz" wrap="square" lIns="91440" tIns="45720" rIns="91440" bIns="45720" anchor="t" anchorCtr="0" upright="1">
                          <a:noAutofit/>
                        </wps:bodyPr>
                      </wps:wsp>
                      <wps:wsp>
                        <wps:cNvPr id="159" name="AutoShape 683"/>
                        <wps:cNvSpPr>
                          <a:spLocks noChangeArrowheads="1"/>
                        </wps:cNvSpPr>
                        <wps:spPr bwMode="auto">
                          <a:xfrm>
                            <a:off x="695" y="10663"/>
                            <a:ext cx="3461" cy="1058"/>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依法予以许可，出具相关</w:t>
                              </w:r>
                            </w:p>
                            <w:p>
                              <w:pPr>
                                <w:jc w:val="center"/>
                              </w:pPr>
                              <w:r>
                                <w:rPr>
                                  <w:rFonts w:hint="eastAsia"/>
                                </w:rPr>
                                <w:t>业务办理凭证，并送达</w:t>
                              </w:r>
                            </w:p>
                          </w:txbxContent>
                        </wps:txbx>
                        <wps:bodyPr rot="0" vert="horz" wrap="square" lIns="91440" tIns="45720" rIns="91440" bIns="45720" anchor="t" anchorCtr="0" upright="1">
                          <a:noAutofit/>
                        </wps:bodyPr>
                      </wps:wsp>
                      <wps:wsp>
                        <wps:cNvPr id="160" name="AutoShape 684"/>
                        <wps:cNvCnPr>
                          <a:cxnSpLocks noChangeShapeType="1"/>
                        </wps:cNvCnPr>
                        <wps:spPr bwMode="auto">
                          <a:xfrm>
                            <a:off x="4382" y="7693"/>
                            <a:ext cx="1" cy="626"/>
                          </a:xfrm>
                          <a:prstGeom prst="straightConnector1">
                            <a:avLst/>
                          </a:prstGeom>
                          <a:noFill/>
                          <a:ln w="9525">
                            <a:solidFill>
                              <a:srgbClr val="000000"/>
                            </a:solidFill>
                            <a:round/>
                            <a:tailEnd type="triangle" w="med" len="med"/>
                          </a:ln>
                          <a:effectLst/>
                        </wps:spPr>
                        <wps:bodyPr/>
                      </wps:wsp>
                      <wps:wsp>
                        <wps:cNvPr id="161" name="AutoShape 685"/>
                        <wps:cNvCnPr>
                          <a:cxnSpLocks noChangeShapeType="1"/>
                        </wps:cNvCnPr>
                        <wps:spPr bwMode="auto">
                          <a:xfrm>
                            <a:off x="6331" y="9568"/>
                            <a:ext cx="17" cy="1095"/>
                          </a:xfrm>
                          <a:prstGeom prst="straightConnector1">
                            <a:avLst/>
                          </a:prstGeom>
                          <a:noFill/>
                          <a:ln w="9525">
                            <a:solidFill>
                              <a:srgbClr val="000000"/>
                            </a:solidFill>
                            <a:round/>
                            <a:tailEnd type="triangle" w="med" len="med"/>
                          </a:ln>
                          <a:effectLst/>
                        </wps:spPr>
                        <wps:bodyPr/>
                      </wps:wsp>
                      <wps:wsp>
                        <wps:cNvPr id="162" name="AutoShape 686"/>
                        <wps:cNvCnPr>
                          <a:cxnSpLocks noChangeShapeType="1"/>
                        </wps:cNvCnPr>
                        <wps:spPr bwMode="auto">
                          <a:xfrm>
                            <a:off x="2358" y="9568"/>
                            <a:ext cx="1" cy="1035"/>
                          </a:xfrm>
                          <a:prstGeom prst="straightConnector1">
                            <a:avLst/>
                          </a:prstGeom>
                          <a:noFill/>
                          <a:ln w="9525">
                            <a:solidFill>
                              <a:srgbClr val="000000"/>
                            </a:solidFill>
                            <a:round/>
                            <a:tailEnd type="triangle" w="med" len="med"/>
                          </a:ln>
                          <a:effectLst/>
                        </wps:spPr>
                        <wps:bodyPr/>
                      </wps:wsp>
                      <wps:wsp>
                        <wps:cNvPr id="163" name="AutoShape 687"/>
                        <wps:cNvCnPr>
                          <a:cxnSpLocks noChangeShapeType="1"/>
                        </wps:cNvCnPr>
                        <wps:spPr bwMode="auto">
                          <a:xfrm>
                            <a:off x="4383" y="8853"/>
                            <a:ext cx="1" cy="715"/>
                          </a:xfrm>
                          <a:prstGeom prst="straightConnector1">
                            <a:avLst/>
                          </a:prstGeom>
                          <a:noFill/>
                          <a:ln w="9525">
                            <a:solidFill>
                              <a:srgbClr val="000000"/>
                            </a:solidFill>
                            <a:round/>
                          </a:ln>
                          <a:effectLst/>
                        </wps:spPr>
                        <wps:bodyPr/>
                      </wps:wsp>
                      <wps:wsp>
                        <wps:cNvPr id="164" name="AutoShape 688"/>
                        <wps:cNvCnPr>
                          <a:cxnSpLocks noChangeShapeType="1"/>
                        </wps:cNvCnPr>
                        <wps:spPr bwMode="auto">
                          <a:xfrm>
                            <a:off x="2359" y="9568"/>
                            <a:ext cx="3972" cy="0"/>
                          </a:xfrm>
                          <a:prstGeom prst="straightConnector1">
                            <a:avLst/>
                          </a:prstGeom>
                          <a:noFill/>
                          <a:ln w="9525">
                            <a:solidFill>
                              <a:srgbClr val="000000"/>
                            </a:solidFill>
                            <a:round/>
                          </a:ln>
                          <a:effectLst/>
                        </wps:spPr>
                        <wps:bodyPr/>
                      </wps:wsp>
                      <wpg:grpSp>
                        <wpg:cNvPr id="165" name="Group 689"/>
                        <wpg:cNvGrpSpPr/>
                        <wpg:grpSpPr>
                          <a:xfrm>
                            <a:off x="-180" y="0"/>
                            <a:ext cx="9101" cy="7693"/>
                            <a:chOff x="-180" y="0"/>
                            <a:chExt cx="9101" cy="7693"/>
                          </a:xfrm>
                          <a:effectLst/>
                        </wpg:grpSpPr>
                        <wps:wsp>
                          <wps:cNvPr id="166" name="AutoShape 690"/>
                          <wps:cNvCnPr>
                            <a:cxnSpLocks noChangeShapeType="1"/>
                          </wps:cNvCnPr>
                          <wps:spPr bwMode="auto">
                            <a:xfrm>
                              <a:off x="5893" y="6566"/>
                              <a:ext cx="0" cy="608"/>
                            </a:xfrm>
                            <a:prstGeom prst="straightConnector1">
                              <a:avLst/>
                            </a:prstGeom>
                            <a:noFill/>
                            <a:ln w="9525">
                              <a:solidFill>
                                <a:srgbClr val="000000"/>
                              </a:solidFill>
                              <a:round/>
                              <a:tailEnd type="triangle" w="med" len="med"/>
                            </a:ln>
                            <a:effectLst/>
                          </wps:spPr>
                          <wps:bodyPr/>
                        </wps:wsp>
                        <wpg:grpSp>
                          <wpg:cNvPr id="167" name="Group 691"/>
                          <wpg:cNvGrpSpPr/>
                          <wpg:grpSpPr>
                            <a:xfrm>
                              <a:off x="-180" y="0"/>
                              <a:ext cx="9101" cy="7693"/>
                              <a:chOff x="-180" y="0"/>
                              <a:chExt cx="9101" cy="7693"/>
                            </a:xfrm>
                            <a:effectLst/>
                          </wpg:grpSpPr>
                          <wps:wsp>
                            <wps:cNvPr id="168" name="AutoShape 692"/>
                            <wps:cNvCnPr>
                              <a:cxnSpLocks noChangeShapeType="1"/>
                            </wps:cNvCnPr>
                            <wps:spPr bwMode="auto">
                              <a:xfrm rot="16200000">
                                <a:off x="6366" y="3154"/>
                                <a:ext cx="3823" cy="1285"/>
                              </a:xfrm>
                              <a:prstGeom prst="bentConnector3">
                                <a:avLst>
                                  <a:gd name="adj1" fmla="val 153"/>
                                </a:avLst>
                              </a:prstGeom>
                              <a:noFill/>
                              <a:ln w="9525">
                                <a:solidFill>
                                  <a:srgbClr val="000000"/>
                                </a:solidFill>
                                <a:miter lim="800000"/>
                              </a:ln>
                              <a:effectLst/>
                            </wps:spPr>
                            <wps:bodyPr/>
                          </wps:wsp>
                          <wps:wsp>
                            <wps:cNvPr id="169" name="Text Box 693"/>
                            <wps:cNvSpPr txBox="1">
                              <a:spLocks noChangeArrowheads="1"/>
                            </wps:cNvSpPr>
                            <wps:spPr bwMode="auto">
                              <a:xfrm>
                                <a:off x="7996" y="2297"/>
                                <a:ext cx="754" cy="2553"/>
                              </a:xfrm>
                              <a:prstGeom prst="rect">
                                <a:avLst/>
                              </a:prstGeom>
                              <a:solidFill>
                                <a:srgbClr val="FFFFFF"/>
                              </a:solidFill>
                              <a:ln w="9525">
                                <a:solidFill>
                                  <a:srgbClr val="FFFFFF"/>
                                </a:solidFill>
                                <a:miter lim="800000"/>
                              </a:ln>
                              <a:effectLst/>
                            </wps:spPr>
                            <wps:txbx>
                              <w:txbxContent>
                                <w:p>
                                  <w:pPr>
                                    <w:jc w:val="center"/>
                                  </w:pPr>
                                  <w:r>
                                    <w:rPr>
                                      <w:rFonts w:hint="eastAsia"/>
                                    </w:rPr>
                                    <w:t>不能提供符合受理要求的材料</w:t>
                                  </w:r>
                                </w:p>
                              </w:txbxContent>
                            </wps:txbx>
                            <wps:bodyPr rot="0" vert="horz" wrap="square" lIns="91440" tIns="45720" rIns="91440" bIns="45720" anchor="t" anchorCtr="0" upright="1">
                              <a:noAutofit/>
                            </wps:bodyPr>
                          </wps:wsp>
                          <wps:wsp>
                            <wps:cNvPr id="170" name="AutoShape 694"/>
                            <wps:cNvCnPr>
                              <a:cxnSpLocks noChangeShapeType="1"/>
                            </wps:cNvCnPr>
                            <wps:spPr bwMode="auto">
                              <a:xfrm>
                                <a:off x="5893" y="4472"/>
                                <a:ext cx="0" cy="378"/>
                              </a:xfrm>
                              <a:prstGeom prst="straightConnector1">
                                <a:avLst/>
                              </a:prstGeom>
                              <a:noFill/>
                              <a:ln w="9525">
                                <a:solidFill>
                                  <a:srgbClr val="000000"/>
                                </a:solidFill>
                                <a:round/>
                                <a:tailEnd type="triangle" w="med" len="med"/>
                              </a:ln>
                              <a:effectLst/>
                            </wps:spPr>
                            <wps:bodyPr/>
                          </wps:wsp>
                          <wps:wsp>
                            <wps:cNvPr id="171" name="Text Box 695"/>
                            <wps:cNvSpPr txBox="1">
                              <a:spLocks noChangeArrowheads="1"/>
                            </wps:cNvSpPr>
                            <wps:spPr bwMode="auto">
                              <a:xfrm>
                                <a:off x="2568" y="6566"/>
                                <a:ext cx="2737" cy="477"/>
                              </a:xfrm>
                              <a:prstGeom prst="rect">
                                <a:avLst/>
                              </a:prstGeom>
                              <a:solidFill>
                                <a:srgbClr val="FFFFFF"/>
                              </a:solidFill>
                              <a:ln w="9525">
                                <a:solidFill>
                                  <a:srgbClr val="FFFFFF"/>
                                </a:solidFill>
                                <a:miter lim="800000"/>
                              </a:ln>
                              <a:effectLst/>
                            </wps:spPr>
                            <wps:txbx>
                              <w:txbxContent>
                                <w:p>
                                  <w:pPr>
                                    <w:jc w:val="center"/>
                                  </w:pPr>
                                  <w:r>
                                    <w:rPr>
                                      <w:rFonts w:hint="eastAsia"/>
                                    </w:rPr>
                                    <w:t>材料齐全并符合受理要求</w:t>
                                  </w:r>
                                </w:p>
                              </w:txbxContent>
                            </wps:txbx>
                            <wps:bodyPr rot="0" vert="horz" wrap="square" lIns="91440" tIns="45720" rIns="91440" bIns="45720" anchor="t" anchorCtr="0" upright="1">
                              <a:noAutofit/>
                            </wps:bodyPr>
                          </wps:wsp>
                          <wps:wsp>
                            <wps:cNvPr id="172" name="AutoShape 696"/>
                            <wps:cNvSpPr>
                              <a:spLocks noChangeArrowheads="1"/>
                            </wps:cNvSpPr>
                            <wps:spPr bwMode="auto">
                              <a:xfrm>
                                <a:off x="4156" y="4833"/>
                                <a:ext cx="3480" cy="1733"/>
                              </a:xfrm>
                              <a:prstGeom prst="diamond">
                                <a:avLst/>
                              </a:prstGeom>
                              <a:solidFill>
                                <a:srgbClr val="FFFFFF"/>
                              </a:solidFill>
                              <a:ln w="9525">
                                <a:solidFill>
                                  <a:srgbClr val="000000"/>
                                </a:solidFill>
                                <a:miter lim="800000"/>
                              </a:ln>
                              <a:effectLst/>
                            </wps:spPr>
                            <wps:txbx>
                              <w:txbxContent>
                                <w:p>
                                  <w:r>
                                    <w:rPr>
                                      <w:rFonts w:hint="eastAsia"/>
                                    </w:rPr>
                                    <w:t>申请人补充材料</w:t>
                                  </w:r>
                                </w:p>
                              </w:txbxContent>
                            </wps:txbx>
                            <wps:bodyPr rot="0" vert="horz" wrap="square" lIns="91440" tIns="45720" rIns="91440" bIns="45720" anchor="t" anchorCtr="0" upright="1">
                              <a:noAutofit/>
                            </wps:bodyPr>
                          </wps:wsp>
                          <wps:wsp>
                            <wps:cNvPr id="173" name="Rectangle 697"/>
                            <wps:cNvSpPr>
                              <a:spLocks noChangeArrowheads="1"/>
                            </wps:cNvSpPr>
                            <wps:spPr bwMode="auto">
                              <a:xfrm>
                                <a:off x="2568" y="7174"/>
                                <a:ext cx="4816" cy="519"/>
                              </a:xfrm>
                              <a:prstGeom prst="rect">
                                <a:avLst/>
                              </a:prstGeom>
                              <a:solidFill>
                                <a:srgbClr val="FFFFFF"/>
                              </a:solidFill>
                              <a:ln w="9525">
                                <a:solidFill>
                                  <a:srgbClr val="000000"/>
                                </a:solidFill>
                                <a:miter lim="800000"/>
                              </a:ln>
                              <a:effectLst/>
                            </wps:spPr>
                            <wps:txbx>
                              <w:txbxContent>
                                <w:p>
                                  <w:pPr>
                                    <w:jc w:val="center"/>
                                  </w:pPr>
                                  <w:r>
                                    <w:rPr>
                                      <w:rFonts w:hint="eastAsia"/>
                                    </w:rPr>
                                    <w:t>依法应予受理，出具行政审批受理单</w:t>
                                  </w:r>
                                </w:p>
                                <w:p>
                                  <w:pPr>
                                    <w:jc w:val="center"/>
                                  </w:pPr>
                                </w:p>
                              </w:txbxContent>
                            </wps:txbx>
                            <wps:bodyPr rot="0" vert="horz" wrap="square" lIns="91440" tIns="45720" rIns="91440" bIns="45720" anchor="t" anchorCtr="0" upright="1">
                              <a:noAutofit/>
                            </wps:bodyPr>
                          </wps:wsp>
                          <wps:wsp>
                            <wps:cNvPr id="174" name="Rectangle 698"/>
                            <wps:cNvSpPr>
                              <a:spLocks noChangeArrowheads="1"/>
                            </wps:cNvSpPr>
                            <wps:spPr bwMode="auto">
                              <a:xfrm>
                                <a:off x="4566" y="3341"/>
                                <a:ext cx="3190" cy="1114"/>
                              </a:xfrm>
                              <a:prstGeom prst="rect">
                                <a:avLst/>
                              </a:prstGeom>
                              <a:solidFill>
                                <a:srgbClr val="FFFFFF"/>
                              </a:solidFill>
                              <a:ln w="9525">
                                <a:solidFill>
                                  <a:srgbClr val="000000"/>
                                </a:solidFill>
                                <a:miter lim="800000"/>
                              </a:ln>
                              <a:effectLst/>
                            </wps:spPr>
                            <wps:txb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wps:txbx>
                            <wps:bodyPr rot="0" vert="horz" wrap="square" lIns="91440" tIns="45720" rIns="91440" bIns="45720" anchor="t" anchorCtr="0" upright="1">
                              <a:noAutofit/>
                            </wps:bodyPr>
                          </wps:wsp>
                          <wps:wsp>
                            <wps:cNvPr id="175" name="AutoShape 699"/>
                            <wps:cNvSpPr>
                              <a:spLocks noChangeArrowheads="1"/>
                            </wps:cNvSpPr>
                            <wps:spPr bwMode="auto">
                              <a:xfrm>
                                <a:off x="4566" y="1337"/>
                                <a:ext cx="2818" cy="1423"/>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依法不予受理的，作出不予受理决定，出具不予受理行政审批申请通知书</w:t>
                                  </w:r>
                                </w:p>
                                <w:p>
                                  <w:pPr>
                                    <w:jc w:val="center"/>
                                  </w:pPr>
                                </w:p>
                              </w:txbxContent>
                            </wps:txbx>
                            <wps:bodyPr rot="0" vert="horz" wrap="square" lIns="91440" tIns="45720" rIns="91440" bIns="45720" anchor="t" anchorCtr="0" upright="1">
                              <a:noAutofit/>
                            </wps:bodyPr>
                          </wps:wsp>
                          <wpg:grpSp>
                            <wpg:cNvPr id="176" name="Group 700"/>
                            <wpg:cNvGrpSpPr/>
                            <wpg:grpSpPr>
                              <a:xfrm>
                                <a:off x="-180" y="0"/>
                                <a:ext cx="4774" cy="7424"/>
                                <a:chOff x="-180" y="0"/>
                                <a:chExt cx="4774" cy="7424"/>
                              </a:xfrm>
                              <a:effectLst/>
                            </wpg:grpSpPr>
                            <wps:wsp>
                              <wps:cNvPr id="177" name="AutoShape 701"/>
                              <wps:cNvCnPr>
                                <a:cxnSpLocks noChangeShapeType="1"/>
                              </wps:cNvCnPr>
                              <wps:spPr bwMode="auto">
                                <a:xfrm>
                                  <a:off x="3663" y="3910"/>
                                  <a:ext cx="931" cy="0"/>
                                </a:xfrm>
                                <a:prstGeom prst="straightConnector1">
                                  <a:avLst/>
                                </a:prstGeom>
                                <a:noFill/>
                                <a:ln w="9525">
                                  <a:solidFill>
                                    <a:srgbClr val="000000"/>
                                  </a:solidFill>
                                  <a:round/>
                                  <a:tailEnd type="triangle" w="med" len="med"/>
                                </a:ln>
                                <a:effectLst/>
                              </wps:spPr>
                              <wps:bodyPr/>
                            </wps:wsp>
                            <wps:wsp>
                              <wps:cNvPr id="178" name="AutoShape 702"/>
                              <wps:cNvCnPr>
                                <a:cxnSpLocks noChangeShapeType="1"/>
                              </wps:cNvCnPr>
                              <wps:spPr bwMode="auto">
                                <a:xfrm>
                                  <a:off x="1355" y="3986"/>
                                  <a:ext cx="1" cy="3437"/>
                                </a:xfrm>
                                <a:prstGeom prst="straightConnector1">
                                  <a:avLst/>
                                </a:prstGeom>
                                <a:noFill/>
                                <a:ln w="9525">
                                  <a:solidFill>
                                    <a:srgbClr val="000000"/>
                                  </a:solidFill>
                                  <a:round/>
                                </a:ln>
                                <a:effectLst/>
                              </wps:spPr>
                              <wps:bodyPr/>
                            </wps:wsp>
                            <wpg:grpSp>
                              <wpg:cNvPr id="179" name="Group 703"/>
                              <wpg:cNvGrpSpPr/>
                              <wpg:grpSpPr>
                                <a:xfrm>
                                  <a:off x="-180" y="0"/>
                                  <a:ext cx="3809" cy="4020"/>
                                  <a:chOff x="-180" y="0"/>
                                  <a:chExt cx="3809" cy="4020"/>
                                </a:xfrm>
                                <a:effectLst/>
                              </wpg:grpSpPr>
                              <wps:wsp>
                                <wps:cNvPr id="180" name="AutoShape 704"/>
                                <wps:cNvCnPr>
                                  <a:cxnSpLocks noChangeShapeType="1"/>
                                </wps:cNvCnPr>
                                <wps:spPr bwMode="auto">
                                  <a:xfrm>
                                    <a:off x="1396" y="1172"/>
                                    <a:ext cx="1" cy="764"/>
                                  </a:xfrm>
                                  <a:prstGeom prst="straightConnector1">
                                    <a:avLst/>
                                  </a:prstGeom>
                                  <a:noFill/>
                                  <a:ln w="9525">
                                    <a:solidFill>
                                      <a:srgbClr val="000000"/>
                                    </a:solidFill>
                                    <a:round/>
                                    <a:tailEnd type="triangle" w="med" len="med"/>
                                  </a:ln>
                                  <a:effectLst/>
                                </wps:spPr>
                                <wps:bodyPr/>
                              </wps:wsp>
                              <wps:wsp>
                                <wps:cNvPr id="181" name="AutoShape 705"/>
                                <wps:cNvCnPr>
                                  <a:cxnSpLocks noChangeShapeType="1"/>
                                </wps:cNvCnPr>
                                <wps:spPr bwMode="auto">
                                  <a:xfrm>
                                    <a:off x="2400" y="2967"/>
                                    <a:ext cx="1229" cy="0"/>
                                  </a:xfrm>
                                  <a:prstGeom prst="straightConnector1">
                                    <a:avLst/>
                                  </a:prstGeom>
                                  <a:noFill/>
                                  <a:ln w="9525">
                                    <a:solidFill>
                                      <a:srgbClr val="000000"/>
                                    </a:solidFill>
                                    <a:round/>
                                  </a:ln>
                                  <a:effectLst/>
                                </wps:spPr>
                                <wps:bodyPr/>
                              </wps:wsp>
                              <wps:wsp>
                                <wps:cNvPr id="182" name="AutoShape 706"/>
                                <wps:cNvSpPr>
                                  <a:spLocks noChangeArrowheads="1"/>
                                </wps:cNvSpPr>
                                <wps:spPr bwMode="auto">
                                  <a:xfrm>
                                    <a:off x="-180" y="1936"/>
                                    <a:ext cx="2953" cy="2084"/>
                                  </a:xfrm>
                                  <a:prstGeom prst="diamond">
                                    <a:avLst/>
                                  </a:prstGeom>
                                  <a:solidFill>
                                    <a:srgbClr val="FFFFFF"/>
                                  </a:solidFill>
                                  <a:ln w="9525">
                                    <a:solidFill>
                                      <a:srgbClr val="000000"/>
                                    </a:solidFill>
                                    <a:miter lim="800000"/>
                                  </a:ln>
                                  <a:effectLst/>
                                </wps:spPr>
                                <wps:txbx>
                                  <w:txbxContent>
                                    <w:p>
                                      <w:r>
                                        <w:rPr>
                                          <w:rFonts w:hint="eastAsia"/>
                                        </w:rPr>
                                        <w:t>接件（</w:t>
                                      </w:r>
                                      <w:r>
                                        <w:t>5</w:t>
                                      </w:r>
                                      <w:r>
                                        <w:rPr>
                                          <w:rFonts w:hint="eastAsia"/>
                                        </w:rPr>
                                        <w:t>个工作日）作出是否受理决定</w:t>
                                      </w:r>
                                    </w:p>
                                    <w:p/>
                                  </w:txbxContent>
                                </wps:txbx>
                                <wps:bodyPr rot="0" vert="horz" wrap="square" lIns="91440" tIns="45720" rIns="91440" bIns="45720" anchor="t" anchorCtr="0" upright="1">
                                  <a:noAutofit/>
                                </wps:bodyPr>
                              </wps:wsp>
                              <wps:wsp>
                                <wps:cNvPr id="183" name="AutoShape 707"/>
                                <wps:cNvSpPr>
                                  <a:spLocks noChangeArrowheads="1"/>
                                </wps:cNvSpPr>
                                <wps:spPr bwMode="auto">
                                  <a:xfrm>
                                    <a:off x="184" y="0"/>
                                    <a:ext cx="2724" cy="1172"/>
                                  </a:xfrm>
                                  <a:prstGeom prst="flowChartTerminator">
                                    <a:avLst/>
                                  </a:prstGeom>
                                  <a:solidFill>
                                    <a:srgbClr val="FFFFFF"/>
                                  </a:solidFill>
                                  <a:ln w="9525">
                                    <a:solidFill>
                                      <a:srgbClr val="000000"/>
                                    </a:solidFill>
                                    <a:miter lim="800000"/>
                                  </a:ln>
                                  <a:effectLst/>
                                </wps:spPr>
                                <wps:txbx>
                                  <w:txbxContent>
                                    <w:p>
                                      <w:pPr>
                                        <w:jc w:val="center"/>
                                      </w:pPr>
                                      <w:r>
                                        <w:rPr>
                                          <w:rFonts w:hint="eastAsia"/>
                                        </w:rPr>
                                        <w:t>申请人提出书面申请，并提交材料</w:t>
                                      </w:r>
                                    </w:p>
                                  </w:txbxContent>
                                </wps:txbx>
                                <wps:bodyPr rot="0" vert="horz" wrap="square" lIns="91440" tIns="45720" rIns="91440" bIns="45720" anchor="t" anchorCtr="0" upright="1">
                                  <a:noAutofit/>
                                </wps:bodyPr>
                              </wps:wsp>
                            </wpg:grpSp>
                            <wps:wsp>
                              <wps:cNvPr id="184" name="AutoShape 708"/>
                              <wps:cNvCnPr>
                                <a:cxnSpLocks noChangeShapeType="1"/>
                              </wps:cNvCnPr>
                              <wps:spPr bwMode="auto">
                                <a:xfrm>
                                  <a:off x="1355" y="7423"/>
                                  <a:ext cx="1213" cy="1"/>
                                </a:xfrm>
                                <a:prstGeom prst="straightConnector1">
                                  <a:avLst/>
                                </a:prstGeom>
                                <a:noFill/>
                                <a:ln w="9525">
                                  <a:solidFill>
                                    <a:srgbClr val="000000"/>
                                  </a:solidFill>
                                  <a:round/>
                                  <a:tailEnd type="triangle" w="med" len="med"/>
                                </a:ln>
                                <a:effectLst/>
                              </wps:spPr>
                              <wps:bodyPr/>
                            </wps:wsp>
                            <wps:wsp>
                              <wps:cNvPr id="185" name="AutoShape 709"/>
                              <wps:cNvCnPr>
                                <a:cxnSpLocks noChangeShapeType="1"/>
                              </wps:cNvCnPr>
                              <wps:spPr bwMode="auto">
                                <a:xfrm>
                                  <a:off x="3663" y="1999"/>
                                  <a:ext cx="0" cy="1921"/>
                                </a:xfrm>
                                <a:prstGeom prst="straightConnector1">
                                  <a:avLst/>
                                </a:prstGeom>
                                <a:noFill/>
                                <a:ln w="9525">
                                  <a:solidFill>
                                    <a:srgbClr val="000000"/>
                                  </a:solidFill>
                                  <a:round/>
                                </a:ln>
                                <a:effectLst/>
                              </wps:spPr>
                              <wps:bodyPr/>
                            </wps:wsp>
                            <wps:wsp>
                              <wps:cNvPr id="186" name="AutoShape 710"/>
                              <wps:cNvCnPr>
                                <a:cxnSpLocks noChangeShapeType="1"/>
                              </wps:cNvCnPr>
                              <wps:spPr bwMode="auto">
                                <a:xfrm>
                                  <a:off x="3663" y="1989"/>
                                  <a:ext cx="903" cy="1"/>
                                </a:xfrm>
                                <a:prstGeom prst="straightConnector1">
                                  <a:avLst/>
                                </a:prstGeom>
                                <a:noFill/>
                                <a:ln w="9525">
                                  <a:solidFill>
                                    <a:srgbClr val="000000"/>
                                  </a:solidFill>
                                  <a:round/>
                                  <a:tailEnd type="triangle" w="med" len="med"/>
                                </a:ln>
                                <a:effectLst/>
                              </wps:spPr>
                              <wps:bodyPr/>
                            </wps:wsp>
                            <wps:wsp>
                              <wps:cNvPr id="187" name="Text Box 711"/>
                              <wps:cNvSpPr txBox="1">
                                <a:spLocks noChangeArrowheads="1"/>
                              </wps:cNvSpPr>
                              <wps:spPr bwMode="auto">
                                <a:xfrm>
                                  <a:off x="597" y="5280"/>
                                  <a:ext cx="508" cy="1152"/>
                                </a:xfrm>
                                <a:prstGeom prst="rect">
                                  <a:avLst/>
                                </a:prstGeom>
                                <a:solidFill>
                                  <a:srgbClr val="FFFFFF"/>
                                </a:solidFill>
                                <a:ln w="9525">
                                  <a:solidFill>
                                    <a:srgbClr val="FFFFFF"/>
                                  </a:solidFill>
                                  <a:miter lim="800000"/>
                                </a:ln>
                                <a:effectLst/>
                              </wps:spPr>
                              <wps:txbx>
                                <w:txbxContent>
                                  <w:p>
                                    <w:r>
                                      <w:rPr>
                                        <w:rFonts w:hint="eastAsia"/>
                                      </w:rPr>
                                      <w:t>是</w:t>
                                    </w:r>
                                  </w:p>
                                </w:txbxContent>
                              </wps:txbx>
                              <wps:bodyPr rot="0" vert="horz" wrap="square" lIns="91440" tIns="45720" rIns="91440" bIns="45720" anchor="t" anchorCtr="0" upright="1">
                                <a:noAutofit/>
                              </wps:bodyPr>
                            </wps:wsp>
                            <wps:wsp>
                              <wps:cNvPr id="188" name="Text Box 712"/>
                              <wps:cNvSpPr txBox="1">
                                <a:spLocks noChangeArrowheads="1"/>
                              </wps:cNvSpPr>
                              <wps:spPr bwMode="auto">
                                <a:xfrm>
                                  <a:off x="2799" y="2220"/>
                                  <a:ext cx="508" cy="471"/>
                                </a:xfrm>
                                <a:prstGeom prst="rect">
                                  <a:avLst/>
                                </a:prstGeom>
                                <a:solidFill>
                                  <a:srgbClr val="FFFFFF"/>
                                </a:solidFill>
                                <a:ln w="9525">
                                  <a:solidFill>
                                    <a:srgbClr val="FFFFFF"/>
                                  </a:solidFill>
                                  <a:miter lim="800000"/>
                                </a:ln>
                                <a:effectLst/>
                              </wps:spPr>
                              <wps:txbx>
                                <w:txbxContent>
                                  <w:p>
                                    <w:r>
                                      <w:rPr>
                                        <w:rFonts w:hint="eastAsia"/>
                                      </w:rPr>
                                      <w:t>否</w:t>
                                    </w:r>
                                  </w:p>
                                </w:txbxContent>
                              </wps:txbx>
                              <wps:bodyPr rot="0" vert="horz" wrap="square" lIns="91440" tIns="45720" rIns="91440" bIns="45720" anchor="t" anchorCtr="0" upright="1">
                                <a:spAutoFit/>
                              </wps:bodyPr>
                            </wps:wsp>
                          </wpg:grpSp>
                          <wps:wsp>
                            <wps:cNvPr id="189" name="AutoShape 713"/>
                            <wps:cNvCnPr>
                              <a:cxnSpLocks noChangeShapeType="1"/>
                            </wps:cNvCnPr>
                            <wps:spPr bwMode="auto">
                              <a:xfrm flipH="1">
                                <a:off x="7384" y="1886"/>
                                <a:ext cx="1537" cy="0"/>
                              </a:xfrm>
                              <a:prstGeom prst="straightConnector1">
                                <a:avLst/>
                              </a:prstGeom>
                              <a:noFill/>
                              <a:ln w="9525">
                                <a:solidFill>
                                  <a:srgbClr val="000000"/>
                                </a:solidFill>
                                <a:round/>
                                <a:tailEnd type="triangle" w="med" len="med"/>
                              </a:ln>
                              <a:effectLst/>
                            </wps:spPr>
                            <wps:bodyPr/>
                          </wps:wsp>
                        </wpg:grpSp>
                      </wpg:grpSp>
                    </wpg:wgp>
                  </a:graphicData>
                </a:graphic>
              </wp:anchor>
            </w:drawing>
          </mc:Choice>
          <mc:Fallback>
            <w:pict>
              <v:group id="Group 680" o:spid="_x0000_s1026" o:spt="203" style="position:absolute;left:0pt;margin-left:-21pt;margin-top:14.85pt;height:586.05pt;width:455.05pt;z-index:251664384;mso-width-relative:page;mso-height-relative:page;" coordorigin="-180,0" coordsize="9101,11721" o:gfxdata="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">
                <o:lock v:ext="edit" aspectratio="f"/>
                <v:rect id="Rectangle 681" o:spid="_x0000_s1026" o:spt="1" style="position:absolute;left:2908;top:8319;height:534;width:2985;"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XI+8MA&#10;AADcAAAADwAAAGRycy9kb3ducmV2LnhtbERPS2vCQBC+C/6HZQRvuqnFPqIbEUukPWq89DZmp0na&#10;7GzIbkzsr3eFQm/z8T1nvRlMLS7Uusqygod5BII4t7riQsEpS2cvIJxH1lhbJgVXcrBJxqM1xtr2&#10;fKDL0RcihLCLUUHpfRNL6fKSDLq5bYgD92Vbgz7AtpC6xT6Em1ououhJGqw4NJTY0K6k/OfYGQXn&#10;anHC30O2j8xr+ug/huy7+3xTajoZtisQngb/L/5zv+swf/kM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vXI+8MAAADcAAAADwAAAAAAAAAAAAAAAACYAgAAZHJzL2Rv&#10;d25yZXYueG1sUEsFBgAAAAAEAAQA9QAAAIgDAAAAAA==&#10;">
                  <v:fill on="t" focussize="0,0"/>
                  <v:stroke color="#000000" miterlimit="8" joinstyle="miter"/>
                  <v:imagedata o:title=""/>
                  <o:lock v:ext="edit" aspectratio="f"/>
                  <v:textbox>
                    <w:txbxContent>
                      <w:p>
                        <w:pPr>
                          <w:jc w:val="center"/>
                        </w:pPr>
                        <w:r>
                          <w:t>审核</w:t>
                        </w:r>
                      </w:p>
                    </w:txbxContent>
                  </v:textbox>
                </v:rect>
                <v:shape id="AutoShape 682" o:spid="_x0000_s1026" o:spt="116" type="#_x0000_t116" style="position:absolute;left:4420;top:10681;height:1037;width:3675;"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fAqcUA&#10;AADcAAAADwAAAGRycy9kb3ducmV2LnhtbESPT2vDMAzF74N+B6PBLqN1OrZSsrolBMZ6KIz1z13E&#10;WhJmy8H2mvTbT4fBbhLv6b2fNrvJO3WlmPrABpaLAhRxE2zPrYHz6W2+BpUyskUXmAzcKMFuO7vb&#10;YGnDyJ90PeZWSQinEg10OQ+l1qnpyGNahIFYtK8QPWZZY6ttxFHCvdNPRbHSHnuWhg4Hqjtqvo8/&#10;3sDHwdXR1TS+17fL/nx5rh4Pq8qYh/upegWVacr/5r/rvRX8F6GVZ2QCv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h8CpxQAAANwAAAAPAAAAAAAAAAAAAAAAAJgCAABkcnMv&#10;ZG93bnJldi54bWxQSwUGAAAAAAQABAD1AAAAigMAAAAA&#10;">
                  <v:fill on="t" focussize="0,0"/>
                  <v:stroke color="#000000" miterlimit="8" joinstyle="miter"/>
                  <v:imagedata o:title=""/>
                  <o:lock v:ext="edit" aspectratio="f"/>
                  <v:textbox>
                    <w:txbxContent>
                      <w:p>
                        <w:pPr>
                          <w:jc w:val="center"/>
                        </w:pPr>
                        <w:r>
                          <w:rPr>
                            <w:rFonts w:hint="eastAsia"/>
                          </w:rPr>
                          <w:t>依法作出不予许可决定，</w:t>
                        </w:r>
                      </w:p>
                      <w:p>
                        <w:pPr>
                          <w:jc w:val="center"/>
                        </w:pPr>
                        <w:r>
                          <w:rPr>
                            <w:rFonts w:hint="eastAsia"/>
                          </w:rPr>
                          <w:t>并送达</w:t>
                        </w:r>
                      </w:p>
                    </w:txbxContent>
                  </v:textbox>
                </v:shape>
                <v:shape id="AutoShape 683" o:spid="_x0000_s1026" o:spt="116" type="#_x0000_t116" style="position:absolute;left:695;top:10663;height:1058;width:3461;"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tlMsIA&#10;AADcAAAADwAAAGRycy9kb3ducmV2LnhtbERP32vCMBB+H/g/hBvsZWjq2GRWo5SCzAdh6PT9aM62&#10;LLmUJNr63y8Dwbf7+H7ecj1YI67kQ+tYwXSSgSCunG65VnD82Yw/QYSIrNE4JgU3CrBejZ6WmGvX&#10;856uh1iLFMIhRwVNjF0uZagashgmriNO3Nl5izFBX0vtsU/h1si3LJtJiy2nhgY7Khuqfg8Xq+B7&#10;Z0pvSuq/yttpezy9F6+7WaHUy/NQLEBEGuJDfHdvdZr/MYf/Z9IF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y2UywgAAANw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684" o:spid="_x0000_s1026" o:spt="32" type="#_x0000_t32" style="position:absolute;left:4382;top:7693;height:626;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DLNMYAAADcAAAADwAAAGRycy9kb3ducmV2LnhtbESPQWvCQBCF70L/wzKF3nRjD6LRVaTQ&#10;UiweqhL0NmTHJJidDburxv76zqHQ2wzvzXvfLFa9a9WNQmw8GxiPMlDEpbcNVwYO+/fhFFRMyBZb&#10;z2TgQRFWy6fBAnPr7/xNt12qlIRwzNFAnVKXax3LmhzGke+IRTv74DDJGiptA94l3LX6Ncsm2mHD&#10;0lBjR281lZfd1Rk4fs2uxaPY0qYYzzYnDC7+7D+MeXnu13NQifr0b/67/rSCPxF8eUYm0M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pgyzTGAAAA3AAAAA8AAAAAAAAA&#10;AAAAAAAAoQIAAGRycy9kb3ducmV2LnhtbFBLBQYAAAAABAAEAPkAAACUAwAAAAA=&#10;">
                  <v:fill on="f" focussize="0,0"/>
                  <v:stroke color="#000000" joinstyle="round" endarrow="block"/>
                  <v:imagedata o:title=""/>
                  <o:lock v:ext="edit" aspectratio="f"/>
                </v:shape>
                <v:shape id="AutoShape 685" o:spid="_x0000_s1026" o:spt="32" type="#_x0000_t32" style="position:absolute;left:6331;top:9568;height:1095;width:17;"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xur8QAAADcAAAADwAAAGRycy9kb3ducmV2LnhtbERPTWvCQBC9F/oflil4azbpIdTUNUih&#10;RSw9VCXU25Adk2B2NuyuGvvru4LgbR7vc2blaHpxIuc7ywqyJAVBXFvdcaNgu/l4fgXhA7LG3jIp&#10;uJCHcv74MMNC2zP/0GkdGhFD2BeooA1hKKT0dUsGfWIH4sjtrTMYInSN1A7PMdz08iVNc2mw49jQ&#10;4kDvLdWH9dEo+P2aHqtL9U2rKpuuduiM/9t8KjV5GhdvIAKN4S6+uZc6zs8zuD4TL5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LG6vxAAAANwAAAAPAAAAAAAAAAAA&#10;AAAAAKECAABkcnMvZG93bnJldi54bWxQSwUGAAAAAAQABAD5AAAAkgMAAAAA&#10;">
                  <v:fill on="f" focussize="0,0"/>
                  <v:stroke color="#000000" joinstyle="round" endarrow="block"/>
                  <v:imagedata o:title=""/>
                  <o:lock v:ext="edit" aspectratio="f"/>
                </v:shape>
                <v:shape id="AutoShape 686" o:spid="_x0000_s1026" o:spt="32" type="#_x0000_t32" style="position:absolute;left:2358;top:9568;height:1035;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7w2MIAAADcAAAADwAAAGRycy9kb3ducmV2LnhtbERPTYvCMBC9C/6HMII3TfUgWo2yLCji&#10;4mF1KettaMa22ExKErXur98Igrd5vM9ZrFpTixs5X1lWMBomIIhzqysuFPwc14MpCB+QNdaWScGD&#10;PKyW3c4CU23v/E23QyhEDGGfooIyhCaV0uclGfRD2xBH7mydwRChK6R2eI/hppbjJJlIgxXHhhIb&#10;+iwpvxyuRsHv1+yaPbI97bLRbHdCZ/zfcaNUv9d+zEEEasNb/HJvdZw/GcP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f7w2MIAAADcAAAADwAAAAAAAAAAAAAA&#10;AAChAgAAZHJzL2Rvd25yZXYueG1sUEsFBgAAAAAEAAQA+QAAAJADAAAAAA==&#10;">
                  <v:fill on="f" focussize="0,0"/>
                  <v:stroke color="#000000" joinstyle="round" endarrow="block"/>
                  <v:imagedata o:title=""/>
                  <o:lock v:ext="edit" aspectratio="f"/>
                </v:shape>
                <v:shape id="AutoShape 687" o:spid="_x0000_s1026" o:spt="32" type="#_x0000_t32" style="position:absolute;left:4383;top:8853;height:715;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2X5FMMAAADcAAAADwAAAGRycy9kb3ducmV2LnhtbERPTWsCMRC9C/6HMIIXqVmVStkaZSsI&#10;KnjQtvfpZroJ3Uy2m6jrvzcFobd5vM9ZrDpXiwu1wXpWMBlnIIhLry1XCj7eN08vIEJE1lh7JgU3&#10;CrBa9nsLzLW/8pEup1iJFMIhRwUmxiaXMpSGHIaxb4gT9+1bhzHBtpK6xWsKd7WcZtlcOrScGgw2&#10;tDZU/pzOTsFhN3krvozd7Y+/9vC8KepzNfpUajjoilcQkbr4L364tzrNn8/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l+RTDAAAA3AAAAA8AAAAAAAAAAAAA&#10;AAAAoQIAAGRycy9kb3ducmV2LnhtbFBLBQYAAAAABAAEAPkAAACRAwAAAAA=&#10;">
                  <v:fill on="f" focussize="0,0"/>
                  <v:stroke color="#000000" joinstyle="round"/>
                  <v:imagedata o:title=""/>
                  <o:lock v:ext="edit" aspectratio="f"/>
                </v:shape>
                <v:shape id="AutoShape 688" o:spid="_x0000_s1026" o:spt="32" type="#_x0000_t32" style="position:absolute;left:2359;top:9568;height:0;width:3972;"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xhYMMAAADcAAAADwAAAGRycy9kb3ducmV2LnhtbERPTWsCMRC9C/6HMIIXqVnFStkaZSsI&#10;KnjQtvfpZroJ3Uy2m6jrvzcFobd5vM9ZrDpXiwu1wXpWMBlnIIhLry1XCj7eN08vIEJE1lh7JgU3&#10;CrBa9nsLzLW/8pEup1iJFMIhRwUmxiaXMpSGHIaxb4gT9+1bhzHBtpK6xWsKd7WcZtlcOrScGgw2&#10;tDZU/pzOTsFhN3krvozd7Y+/9vC8KepzNfpUajjoilcQkbr4L364tzrNn8/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MYWDDAAAA3AAAAA8AAAAAAAAAAAAA&#10;AAAAoQIAAGRycy9kb3ducmV2LnhtbFBLBQYAAAAABAAEAPkAAACRAwAAAAA=&#10;">
                  <v:fill on="f" focussize="0,0"/>
                  <v:stroke color="#000000" joinstyle="round"/>
                  <v:imagedata o:title=""/>
                  <o:lock v:ext="edit" aspectratio="f"/>
                </v:shape>
                <v:group id="Group 689" o:spid="_x0000_s1026" o:spt="203" style="position:absolute;left:-180;top:0;height:7693;width:9101;" coordorigin="-180,0" coordsize="9101,7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o:lock v:ext="edit" aspectratio="f"/>
                  <v:shape id="AutoShape 690" o:spid="_x0000_s1026" o:spt="32" type="#_x0000_t32" style="position:absolute;left:5893;top:6566;height:608;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X228QAAADcAAAADwAAAGRycy9kb3ducmV2LnhtbERPTWvCQBC9F/oflil4azbpIdTUNUih&#10;RSw9VCXU25Adk2B2NuyuGvvru4LgbR7vc2blaHpxIuc7ywqyJAVBXFvdcaNgu/l4fgXhA7LG3jIp&#10;uJCHcv74MMNC2zP/0GkdGhFD2BeooA1hKKT0dUsGfWIH4sjtrTMYInSN1A7PMdz08iVNc2mw49jQ&#10;4kDvLdWH9dEo+P2aHqtL9U2rKpuuduiM/9t8KjV5GhdvIAKN4S6+uZc6zs9zuD4TL5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xfbbxAAAANwAAAAPAAAAAAAAAAAA&#10;AAAAAKECAABkcnMvZG93bnJldi54bWxQSwUGAAAAAAQABAD5AAAAkgMAAAAA&#10;">
                    <v:fill on="f" focussize="0,0"/>
                    <v:stroke color="#000000" joinstyle="round" endarrow="block"/>
                    <v:imagedata o:title=""/>
                    <o:lock v:ext="edit" aspectratio="f"/>
                  </v:shape>
                  <v:group id="Group 691" o:spid="_x0000_s1026" o:spt="203" style="position:absolute;left:-180;top:0;height:7693;width:9101;" coordorigin="-180,0" coordsize="9101,7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o:lock v:ext="edit" aspectratio="f"/>
                    <v:shape id="AutoShape 692" o:spid="_x0000_s1026" o:spt="34" type="#_x0000_t34" style="position:absolute;left:6366;top:3154;height:1285;width:3823;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8yF8YAAADcAAAADwAAAGRycy9kb3ducmV2LnhtbESPT2vCQBDF70K/wzKF3nSjQiqpq2il&#10;tODJP2CPQ3aapN2dDdmNpt++cxB6m+G9ee83y/XgnbpSF5vABqaTDBRxGWzDlYHz6W28ABUTskUX&#10;mAz8UoT16mG0xMKGGx/oekyVkhCOBRqoU2oLrWNZk8c4CS2xaF+h85hk7SptO7xJuHd6lmW59tiw&#10;NNTY0mtN5c+x9wa2+20/n7tDn/Lz9+fzZec274upMU+Pw+YFVKIh/Zvv1x9W8HOhlWdkAr3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BvMhfGAAAA3AAAAA8AAAAAAAAA&#10;AAAAAAAAoQIAAGRycy9kb3ducmV2LnhtbFBLBQYAAAAABAAEAPkAAACUAwAAAAA=&#10;" adj="33">
                      <v:fill on="f" focussize="0,0"/>
                      <v:stroke color="#000000" miterlimit="8" joinstyle="miter"/>
                      <v:imagedata o:title=""/>
                      <o:lock v:ext="edit" aspectratio="f"/>
                    </v:shape>
                    <v:shape id="Text Box 693" o:spid="_x0000_s1026" o:spt="202" type="#_x0000_t202" style="position:absolute;left:7996;top:2297;height:2553;width:754;"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BArsEA&#10;AADcAAAADwAAAGRycy9kb3ducmV2LnhtbERPTYvCMBC9L/gfwgh7WTS1B1mrsRRR1quuF29DM7bF&#10;ZtI20VZ//WZB8DaP9zmrdDC1uFPnKssKZtMIBHFudcWFgtPvbvINwnlkjbVlUvAgB+l69LHCRNue&#10;D3Q/+kKEEHYJKii9bxIpXV6SQTe1DXHgLrYz6APsCqk77EO4qWUcRXNpsOLQUGJDm5Ly6/FmFNh+&#10;+zCW2ij+Oj/NzyZrD5e4VepzPGRLEJ4G/xa/3Hsd5s8X8P9MuE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wQK7BAAAA3AAAAA8AAAAAAAAAAAAAAAAAmAIAAGRycy9kb3du&#10;cmV2LnhtbFBLBQYAAAAABAAEAPUAAACGAwAAAAA=&#10;">
                      <v:fill on="t" focussize="0,0"/>
                      <v:stroke color="#FFFFFF" miterlimit="8" joinstyle="miter"/>
                      <v:imagedata o:title=""/>
                      <o:lock v:ext="edit" aspectratio="f"/>
                      <v:textbox>
                        <w:txbxContent>
                          <w:p>
                            <w:pPr>
                              <w:jc w:val="center"/>
                            </w:pPr>
                            <w:r>
                              <w:rPr>
                                <w:rFonts w:hint="eastAsia"/>
                              </w:rPr>
                              <w:t>不能提供符合受理要求的材料</w:t>
                            </w:r>
                          </w:p>
                        </w:txbxContent>
                      </v:textbox>
                    </v:shape>
                    <v:shape id="AutoShape 694" o:spid="_x0000_s1026" o:spt="32" type="#_x0000_t32" style="position:absolute;left:5893;top:4472;height:378;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ld6cYAAADcAAAADwAAAGRycy9kb3ducmV2LnhtbESPQWvCQBCF70L/wzIFb7qxB1ujq5RC&#10;S7F4qErQ25CdJqHZ2bC7auyv7xwEbzO8N+99s1j1rlVnCrHxbGAyzkARl942XBnY795HL6BiQrbY&#10;eiYDV4qwWj4MFphbf+FvOm9TpSSEY44G6pS6XOtY1uQwjn1HLNqPDw6TrKHSNuBFwl2rn7Jsqh02&#10;LA01dvRWU/m7PTkDh6/ZqbgWG1oXk9n6iMHFv92HMcPH/nUOKlGf7ubb9acV/GfBl2dkAr38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5XenGAAAA3AAAAA8AAAAAAAAA&#10;AAAAAAAAoQIAAGRycy9kb3ducmV2LnhtbFBLBQYAAAAABAAEAPkAAACUAwAAAAA=&#10;">
                      <v:fill on="f" focussize="0,0"/>
                      <v:stroke color="#000000" joinstyle="round" endarrow="block"/>
                      <v:imagedata o:title=""/>
                      <o:lock v:ext="edit" aspectratio="f"/>
                    </v:shape>
                    <v:shape id="Text Box 695" o:spid="_x0000_s1026" o:spt="202" type="#_x0000_t202" style="position:absolute;left:2568;top:6566;height:477;width:2737;"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adcIA&#10;AADcAAAADwAAAGRycy9kb3ducmV2LnhtbERPTWuDQBC9B/oflinkEppVD02xriLSkF6T9NLb4E5U&#10;6s6qu40mv75bKPQ2j/c5WbGYXlxpcp1lBfE2AkFcW91xo+DjvH96AeE8ssbeMim4kYMif1hlmGo7&#10;85GuJ9+IEMIuRQWt90MqpatbMui2diAO3MVOBn2AUyP1hHMIN71MouhZGuw4NLQ4UNVS/XX6Ngrs&#10;/HYzlsYo2XzezaEqx+MlGZVaPy7lKwhPi/8X/7nfdZi/i+H3mXCB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H9p1wgAAANwAAAAPAAAAAAAAAAAAAAAAAJgCAABkcnMvZG93&#10;bnJldi54bWxQSwUGAAAAAAQABAD1AAAAhwMAAAAA&#10;">
                      <v:fill on="t" focussize="0,0"/>
                      <v:stroke color="#FFFFFF" miterlimit="8" joinstyle="miter"/>
                      <v:imagedata o:title=""/>
                      <o:lock v:ext="edit" aspectratio="f"/>
                      <v:textbox>
                        <w:txbxContent>
                          <w:p>
                            <w:pPr>
                              <w:jc w:val="center"/>
                            </w:pPr>
                            <w:r>
                              <w:rPr>
                                <w:rFonts w:hint="eastAsia"/>
                              </w:rPr>
                              <w:t>材料齐全并符合受理要求</w:t>
                            </w:r>
                          </w:p>
                        </w:txbxContent>
                      </v:textbox>
                    </v:shape>
                    <v:shape id="AutoShape 696" o:spid="_x0000_s1026" o:spt="4" type="#_x0000_t4" style="position:absolute;left:4156;top:4833;height:1733;width:3480;"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FvmMEA&#10;AADcAAAADwAAAGRycy9kb3ducmV2LnhtbERPzWoCMRC+F/oOYYTealYPVbZGEaEg1ourDzDdjJvV&#10;zWRN4u727U2h4G0+vt9ZrAbbiI58qB0rmIwzEMSl0zVXCk7Hr/c5iBCRNTaOScEvBVgtX18WmGvX&#10;84G6IlYihXDIUYGJsc2lDKUhi2HsWuLEnZ23GBP0ldQe+xRuGznNsg9psebUYLCljaHyWtytgstP&#10;a/r9/HbOitJ3crf329vhW6m30bD+BBFpiE/xv3ur0/zZFP6eSRf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3Rb5jBAAAA3AAAAA8AAAAAAAAAAAAAAAAAmAIAAGRycy9kb3du&#10;cmV2LnhtbFBLBQYAAAAABAAEAPUAAACGAwAAAAA=&#10;">
                      <v:fill on="t" focussize="0,0"/>
                      <v:stroke color="#000000" miterlimit="8" joinstyle="miter"/>
                      <v:imagedata o:title=""/>
                      <o:lock v:ext="edit" aspectratio="f"/>
                      <v:textbox>
                        <w:txbxContent>
                          <w:p>
                            <w:r>
                              <w:rPr>
                                <w:rFonts w:hint="eastAsia"/>
                              </w:rPr>
                              <w:t>申请人补充材料</w:t>
                            </w:r>
                          </w:p>
                        </w:txbxContent>
                      </v:textbox>
                    </v:shape>
                    <v:rect id="Rectangle 697" o:spid="_x0000_s1026" o:spt="1" style="position:absolute;left:2568;top:7174;height:519;width:4816;"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uSmMMA&#10;AADcAAAADwAAAGRycy9kb3ducmV2LnhtbERPS2vCQBC+C/0PyxR6000V1EZXKS0petTk0tuYnSZp&#10;s7Mhu3m0v74rCN7m43vOdj+aWvTUusqygudZBII4t7riQkGWJtM1COeRNdaWScEvOdjvHiZbjLUd&#10;+ET92RcihLCLUUHpfRNL6fKSDLqZbYgD92Vbgz7AtpC6xSGEm1rOo2gpDVYcGkps6K2k/OfcGQWX&#10;ap7h3yn9iMxLsvDHMf3uPt+VenocXzcgPI3+Lr65DzrMXy3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nuSmMMAAADcAAAADwAAAAAAAAAAAAAAAACYAgAAZHJzL2Rv&#10;d25yZXYueG1sUEsFBgAAAAAEAAQA9QAAAIgDAAAAAA==&#10;">
                      <v:fill on="t" focussize="0,0"/>
                      <v:stroke color="#000000" miterlimit="8" joinstyle="miter"/>
                      <v:imagedata o:title=""/>
                      <o:lock v:ext="edit" aspectratio="f"/>
                      <v:textbox>
                        <w:txbxContent>
                          <w:p>
                            <w:pPr>
                              <w:jc w:val="center"/>
                            </w:pPr>
                            <w:r>
                              <w:rPr>
                                <w:rFonts w:hint="eastAsia"/>
                              </w:rPr>
                              <w:t>依法应予受理，出具行政审批受理单</w:t>
                            </w:r>
                          </w:p>
                          <w:p>
                            <w:pPr>
                              <w:jc w:val="center"/>
                            </w:pPr>
                          </w:p>
                        </w:txbxContent>
                      </v:textbox>
                    </v:rect>
                    <v:rect id="Rectangle 698" o:spid="_x0000_s1026" o:spt="1" style="position:absolute;left:4566;top:3341;height:1114;width:3190;"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IK7MMA&#10;AADcAAAADwAAAGRycy9kb3ducmV2LnhtbERPS2vCQBC+C/6HZQRvuqmVPqIbEUukPWq89DZmp0na&#10;7GzIbkzsr3eFQm/z8T1nvRlMLS7Uusqygod5BII4t7riQsEpS2cvIJxH1lhbJgVXcrBJxqM1xtr2&#10;fKDL0RcihLCLUUHpfRNL6fKSDLq5bYgD92Vbgz7AtpC6xT6Em1ououhJGqw4NJTY0K6k/OfYGQXn&#10;anHC30O2j8xr+ug/huy7+3xTajoZtisQngb/L/5zv+sw/3kJ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IK7MMAAADcAAAADwAAAAAAAAAAAAAAAACYAgAAZHJzL2Rv&#10;d25yZXYueG1sUEsFBgAAAAAEAAQA9QAAAIgDAAAAAA==&#10;">
                      <v:fill on="t" focussize="0,0"/>
                      <v:stroke color="#000000" miterlimit="8" joinstyle="miter"/>
                      <v:imagedata o:title=""/>
                      <o:lock v:ext="edit"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699" o:spid="_x0000_s1026" o:spt="116" type="#_x0000_t116" style="position:absolute;left:4566;top:1337;height:1423;width:2818;"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zV8IA&#10;AADcAAAADwAAAGRycy9kb3ducmV2LnhtbERP32vCMBB+H/g/hBvsZWjq2JxUo5SCzAdh6PT9aM62&#10;LLmUJNr63y8Dwbf7+H7ecj1YI67kQ+tYwXSSgSCunG65VnD82YznIEJE1mgck4IbBVivRk9LzLXr&#10;eU/XQ6xFCuGQo4Imxi6XMlQNWQwT1xEn7uy8xZigr6X22Kdwa+Rbls2kxZZTQ4MdlQ1Vv4eLVfC9&#10;M6U3JfVf5e20PZ7ei9fdrFDq5XkoFiAiDfEhvru3Os3//ID/Z9IF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MzNXwgAAANw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依法不予受理的，作出不予受理决定，出具不予受理行政审批申请通知书</w:t>
                            </w:r>
                          </w:p>
                          <w:p>
                            <w:pPr>
                              <w:jc w:val="center"/>
                            </w:pPr>
                          </w:p>
                        </w:txbxContent>
                      </v:textbox>
                    </v:shape>
                    <v:group id="Group 700" o:spid="_x0000_s1026" o:spt="203" style="position:absolute;left:-180;top:0;height:7424;width:4774;" coordorigin="-180,0" coordsize="4774,7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2fUzsMAAADcAAAADwAAAGRycy9kb3ducmV2LnhtbERPS4vCMBC+C/6HMIK3&#10;Na2yunSNIqLiQRZ8wLK3oRnbYjMpTWzrv98Igrf5+J4zX3amFA3VrrCsIB5FIIhTqwvOFFzO248v&#10;EM4jaywtk4IHOVgu+r05Jtq2fKTm5DMRQtglqCD3vkqkdGlOBt3IVsSBu9raoA+wzqSusQ3hppTj&#10;KJpKgwWHhhwrWueU3k53o2DXYruaxJvmcLuuH3/nz5/fQ0xKDQfd6huEp86/xS/3Xof5s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zZ9TOwwAAANwAAAAP&#10;AAAAAAAAAAAAAAAAAKoCAABkcnMvZG93bnJldi54bWxQSwUGAAAAAAQABAD6AAAAmgMAAAAA&#10;">
                      <o:lock v:ext="edit" aspectratio="f"/>
                      <v:shape id="AutoShape 701" o:spid="_x0000_s1026" o:spt="32" type="#_x0000_t32" style="position:absolute;left:3663;top:3910;height:0;width:93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DFncQAAADcAAAADwAAAGRycy9kb3ducmV2LnhtbERPTWvCQBC9F/wPywi91U16qDW6igiW&#10;YumhWoLehuyYBLOzYXc10V/vFoTe5vE+Z7boTSMu5HxtWUE6SkAQF1bXXCr43a1f3kH4gKyxsUwK&#10;ruRhMR88zTDTtuMfumxDKWII+wwVVCG0mZS+qMigH9mWOHJH6wyGCF0ptcMuhptGvibJmzRYc2yo&#10;sKVVRcVpezYK9l+Tc37Nv2mTp5PNAZ3xt92HUs/DfjkFEagP/+KH+1PH+eMx/D0TL5D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UMWdxAAAANwAAAAPAAAAAAAAAAAA&#10;AAAAAKECAABkcnMvZG93bnJldi54bWxQSwUGAAAAAAQABAD5AAAAkgMAAAAA&#10;">
                        <v:fill on="f" focussize="0,0"/>
                        <v:stroke color="#000000" joinstyle="round" endarrow="block"/>
                        <v:imagedata o:title=""/>
                        <o:lock v:ext="edit" aspectratio="f"/>
                      </v:shape>
                      <v:shape id="AutoShape 702" o:spid="_x0000_s1026" o:spt="32" type="#_x0000_t32" style="position:absolute;left:1355;top:3986;height:3437;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j9uMYAAADcAAAADwAAAGRycy9kb3ducmV2LnhtbESPQU8CMRCF7yb+h2ZMvBjoYqKYlUIW&#10;ExIx4QDIfdyO28btdNkWWP+9czDhNpP35r1vZoshtOpMffKRDUzGBSjiOlrPjYHP/Wr0AiplZItt&#10;ZDLwSwkW89ubGZY2XnhL511ulIRwKtGAy7krtU61o4BpHDti0b5jHzDL2jfa9niR8NDqx6J41gE9&#10;S4PDjt4c1T+7UzCwWU+W1Zfz64/t0W+eVlV7ah4OxtzfDdUrqExDvpr/r9+t4E+FVp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wY/bjGAAAA3AAAAA8AAAAAAAAA&#10;AAAAAAAAoQIAAGRycy9kb3ducmV2LnhtbFBLBQYAAAAABAAEAPkAAACUAwAAAAA=&#10;">
                        <v:fill on="f" focussize="0,0"/>
                        <v:stroke color="#000000" joinstyle="round"/>
                        <v:imagedata o:title=""/>
                        <o:lock v:ext="edit" aspectratio="f"/>
                      </v:shape>
                      <v:group id="Group 703" o:spid="_x0000_s1026" o:spt="203" style="position:absolute;left:-180;top:0;height:4020;width:3809;" coordorigin="-180,0" coordsize="3809,40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o:lock v:ext="edit" aspectratio="f"/>
                        <v:shape id="AutoShape 704" o:spid="_x0000_s1026" o:spt="32" type="#_x0000_t32" style="position:absolute;left:1396;top:1172;height:764;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wtzsYAAADcAAAADwAAAGRycy9kb3ducmV2LnhtbESPQWvCQBCF70L/wzKF3nRjD0Wjq0ih&#10;pVg8VCXobciOSTA7G3ZXjf76zqHQ2wzvzXvfzJe9a9WVQmw8GxiPMlDEpbcNVwb2u4/hBFRMyBZb&#10;z2TgThGWi6fBHHPrb/xD122qlIRwzNFAnVKXax3LmhzGke+IRTv54DDJGiptA94k3LX6NcvetMOG&#10;paHGjt5rKs/bizNw+J5einuxoXUxnq6PGFx87D6NeXnuVzNQifr0b/67/rKCPxF8eUYm0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psLc7GAAAA3AAAAA8AAAAAAAAA&#10;AAAAAAAAoQIAAGRycy9kb3ducmV2LnhtbFBLBQYAAAAABAAEAPkAAACUAwAAAAA=&#10;">
                          <v:fill on="f" focussize="0,0"/>
                          <v:stroke color="#000000" joinstyle="round" endarrow="block"/>
                          <v:imagedata o:title=""/>
                          <o:lock v:ext="edit" aspectratio="f"/>
                        </v:shape>
                        <v:shape id="AutoShape 705" o:spid="_x0000_s1026" o:spt="32" type="#_x0000_t32" style="position:absolute;left:2400;top:2967;height:0;width:1229;"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ckAsMAAADcAAAADwAAAGRycy9kb3ducmV2LnhtbERPTWsCMRC9C/6HMEIvUrMrVGRrlFUQ&#10;tOBB296nm+kmuJmsm6jbf98UhN7m8T5nsepdI27UBetZQT7JQBBXXluuFXy8b5/nIEJE1th4JgU/&#10;FGC1HA4WWGh/5yPdTrEWKYRDgQpMjG0hZagMOQwT3xIn7tt3DmOCXS11h/cU7ho5zbKZdGg5NRhs&#10;aWOoOp+uTsFhn6/LL2P3b8eLPbxsy+Zajz+Vehr15SuISH38Fz/cO53mz3P4eyZd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j3JALDAAAA3AAAAA8AAAAAAAAAAAAA&#10;AAAAoQIAAGRycy9kb3ducmV2LnhtbFBLBQYAAAAABAAEAPkAAACRAwAAAAA=&#10;">
                          <v:fill on="f" focussize="0,0"/>
                          <v:stroke color="#000000" joinstyle="round"/>
                          <v:imagedata o:title=""/>
                          <o:lock v:ext="edit" aspectratio="f"/>
                        </v:shape>
                        <v:shape id="AutoShape 706" o:spid="_x0000_s1026" o:spt="4" type="#_x0000_t4" style="position:absolute;left:-180;top:1936;height:2084;width:2953;"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fv8EA&#10;AADcAAAADwAAAGRycy9kb3ducmV2LnhtbERPzWrCQBC+C32HZQq96UYPJaSuIoIg1otpH2CaHbPR&#10;7GzcXZP07bsFwdt8fL+zXI+2FT350DhWMJ9lIIgrpxuuFXx/7aY5iBCRNbaOScEvBVivXiZLLLQb&#10;+ER9GWuRQjgUqMDE2BVShsqQxTBzHXHizs5bjAn6WmqPQwq3rVxk2bu02HBqMNjR1lB1Le9WweWn&#10;M8Mxv52zsvK9PBz9/nb6VOrtddx8gIg0xqf44d7rND9fwP8z6QK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EH7/BAAAA3AAAAA8AAAAAAAAAAAAAAAAAmAIAAGRycy9kb3du&#10;cmV2LnhtbFBLBQYAAAAABAAEAPUAAACGAwAAAAA=&#10;">
                          <v:fill on="t" focussize="0,0"/>
                          <v:stroke color="#000000" miterlimit="8" joinstyle="miter"/>
                          <v:imagedata o:title=""/>
                          <o:lock v:ext="edit" aspectratio="f"/>
                          <v:textbox>
                            <w:txbxContent>
                              <w:p>
                                <w:r>
                                  <w:rPr>
                                    <w:rFonts w:hint="eastAsia"/>
                                  </w:rPr>
                                  <w:t>接件（</w:t>
                                </w:r>
                                <w:r>
                                  <w:t>5</w:t>
                                </w:r>
                                <w:r>
                                  <w:rPr>
                                    <w:rFonts w:hint="eastAsia"/>
                                  </w:rPr>
                                  <w:t>个工作日）作出是否受理决定</w:t>
                                </w:r>
                              </w:p>
                              <w:p/>
                            </w:txbxContent>
                          </v:textbox>
                        </v:shape>
                        <v:shape id="AutoShape 707" o:spid="_x0000_s1026" o:spt="116" type="#_x0000_t116" style="position:absolute;left:184;top:0;height:1172;width:2724;"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N+n8IA&#10;AADcAAAADwAAAGRycy9kb3ducmV2LnhtbERPS2sCMRC+F/ofwhS8lJqtFpGtUZYF0YMg9XEfNtPd&#10;pclkSVJ3/fdGELzNx/ecxWqwRlzIh9axgs9xBoK4crrlWsHpuP6YgwgRWaNxTAquFGC1fH1ZYK5d&#10;zz90OcRapBAOOSpoYuxyKUPVkMUwdh1x4n6dtxgT9LXUHvsUbo2cZNlMWmw5NTTYUdlQ9Xf4twr2&#10;O1N6U1K/Ka/n7en8VbzvZoVSo7eh+AYRaYhP8cO91Wn+fAr3Z9IF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Q36fwgAAANw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申请人提出书面申请，并提交材料</w:t>
                                </w:r>
                              </w:p>
                            </w:txbxContent>
                          </v:textbox>
                        </v:shape>
                      </v:group>
                      <v:shape id="AutoShape 708" o:spid="_x0000_s1026" o:spt="32" type="#_x0000_t32" style="position:absolute;left:1355;top:7423;height:1;width:1213;"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VcrzcMAAADcAAAADwAAAGRycy9kb3ducmV2LnhtbERPTWvCQBC9C/6HZQRvukkpoqmriGAp&#10;Sg/VEtrbkJ0mwexs2F1N9Nd3C0Jv83ifs1z3phFXcr62rCCdJiCIC6trLhV8nnaTOQgfkDU2lknB&#10;jTysV8PBEjNtO/6g6zGUIoawz1BBFUKbSemLigz6qW2JI/djncEQoSuldtjFcNPIpySZSYM1x4YK&#10;W9pWVJyPF6Pg67C45Lf8nfZ5uth/ozP+fnpVajzqNy8gAvXhX/xwv+k4f/4M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XK83DAAAA3AAAAA8AAAAAAAAAAAAA&#10;AAAAoQIAAGRycy9kb3ducmV2LnhtbFBLBQYAAAAABAAEAPkAAACRAwAAAAA=&#10;">
                        <v:fill on="f" focussize="0,0"/>
                        <v:stroke color="#000000" joinstyle="round" endarrow="block"/>
                        <v:imagedata o:title=""/>
                        <o:lock v:ext="edit" aspectratio="f"/>
                      </v:shape>
                      <v:shape id="AutoShape 709" o:spid="_x0000_s1026" o:spt="32" type="#_x0000_t32" style="position:absolute;left:3663;top:1999;height:1921;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wiAcIAAADcAAAADwAAAGRycy9kb3ducmV2LnhtbERPTWsCMRC9F/wPYYReimYtKLIaZS0I&#10;teBBW+/jZroJ3UzWTdTtvzeC4G0e73Pmy87V4kJtsJ4VjIYZCOLSa8uVgp/v9WAKIkRkjbVnUvBP&#10;AZaL3sscc+2vvKPLPlYihXDIUYGJscmlDKUhh2HoG+LE/frWYUywraRu8ZrCXS3fs2wiHVpODQYb&#10;+jBU/u3PTsF2M1oVR2M3X7uT3Y7XRX2u3g5Kvfa7YgYiUhef4of7U6f50zHcn0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8wiAcIAAADcAAAADwAAAAAAAAAAAAAA&#10;AAChAgAAZHJzL2Rvd25yZXYueG1sUEsFBgAAAAAEAAQA+QAAAJADAAAAAA==&#10;">
                        <v:fill on="f" focussize="0,0"/>
                        <v:stroke color="#000000" joinstyle="round"/>
                        <v:imagedata o:title=""/>
                        <o:lock v:ext="edit" aspectratio="f"/>
                      </v:shape>
                      <v:shape id="AutoShape 710" o:spid="_x0000_s1026" o:spt="32" type="#_x0000_t32" style="position:absolute;left:3663;top:1989;height:1;width:903;"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kQIcQAAADcAAAADwAAAGRycy9kb3ducmV2LnhtbERPTWvCQBC9F/oflin01mzsQWLMKqWg&#10;FIuHqgS9DdlpEpqdDburJv76bqHgbR7vc4rlYDpxIedbywomSQqCuLK65VrBYb96yUD4gKyxs0wK&#10;RvKwXDw+FJhre+UvuuxCLWII+xwVNCH0uZS+asigT2xPHLlv6wyGCF0ttcNrDDedfE3TqTTYcmxo&#10;sKf3hqqf3dkoOH7OzuVYbmlTTmabEzrjb/u1Us9Pw9scRKAh3MX/7g8d52dT+HsmXi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yRAhxAAAANwAAAAPAAAAAAAAAAAA&#10;AAAAAKECAABkcnMvZG93bnJldi54bWxQSwUGAAAAAAQABAD5AAAAkgMAAAAA&#10;">
                        <v:fill on="f" focussize="0,0"/>
                        <v:stroke color="#000000" joinstyle="round" endarrow="block"/>
                        <v:imagedata o:title=""/>
                        <o:lock v:ext="edit" aspectratio="f"/>
                      </v:shape>
                      <v:shape id="Text Box 711" o:spid="_x0000_s1026" o:spt="202" type="#_x0000_t202" style="position:absolute;left:597;top:5280;height:1152;width:508;"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XvcAA&#10;AADcAAAADwAAAGRycy9kb3ducmV2LnhtbERPTYvCMBC9L/gfwgheFk3twZVqFBFFr7pevA3N2Bab&#10;SdtEW/31RhC8zeN9znzZmVLcqXGFZQXjUQSCOLW64EzB6X87nIJwHlljaZkUPMjBctH7mWOibcsH&#10;uh99JkIIuwQV5N5XiZQuzcmgG9mKOHAX2xj0ATaZ1A22IdyUMo6iiTRYcGjIsaJ1Tun1eDMKbLt5&#10;GEt1FP+en2a3XtWHS1wrNeh3qxkIT53/ij/uvQ7zp3/wfiZcIB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G+XvcAAAADcAAAADwAAAAAAAAAAAAAAAACYAgAAZHJzL2Rvd25y&#10;ZXYueG1sUEsFBgAAAAAEAAQA9QAAAIUDAAAAAA==&#10;">
                        <v:fill on="t" focussize="0,0"/>
                        <v:stroke color="#FFFFFF" miterlimit="8" joinstyle="miter"/>
                        <v:imagedata o:title=""/>
                        <o:lock v:ext="edit" aspectratio="f"/>
                        <v:textbox>
                          <w:txbxContent>
                            <w:p>
                              <w:r>
                                <w:rPr>
                                  <w:rFonts w:hint="eastAsia"/>
                                </w:rPr>
                                <w:t>是</w:t>
                              </w:r>
                            </w:p>
                          </w:txbxContent>
                        </v:textbox>
                      </v:shape>
                      <v:shape id="Text Box 712" o:spid="_x0000_s1026" o:spt="202" type="#_x0000_t202" style="position:absolute;left:2799;top:2220;height:471;width:508;"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IucMUA&#10;AADcAAAADwAAAGRycy9kb3ducmV2LnhtbESPQWvCQBCF7wX/wzKCt7rRg4TUVYpVVIqFRr1Ps2MS&#10;mp0N2VXT/vrOQehthvfmvW/my9416kZdqD0bmIwTUMSFtzWXBk7HzXMKKkRki41nMvBDAZaLwdMc&#10;M+vv/Em3PJZKQjhkaKCKsc20DkVFDsPYt8SiXXznMMraldp2eJdw1+hpksy0w5qlocKWVhUV3/nV&#10;GZgeMO7zy3Y7S9+/fk+rt490fb4aMxr2ry+gIvXx3/y43lnBT4VWnpEJ9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Mi5wxQAAANwAAAAPAAAAAAAAAAAAAAAAAJgCAABkcnMv&#10;ZG93bnJldi54bWxQSwUGAAAAAAQABAD1AAAAigMAAAAA&#10;">
                        <v:fill on="t" focussize="0,0"/>
                        <v:stroke color="#FFFFFF" miterlimit="8" joinstyle="miter"/>
                        <v:imagedata o:title=""/>
                        <o:lock v:ext="edit" aspectratio="f"/>
                        <v:textbox style="mso-fit-shape-to-text:t;">
                          <w:txbxContent>
                            <w:p>
                              <w:r>
                                <w:rPr>
                                  <w:rFonts w:hint="eastAsia"/>
                                </w:rPr>
                                <w:t>否</w:t>
                              </w:r>
                            </w:p>
                          </w:txbxContent>
                        </v:textbox>
                      </v:shape>
                    </v:group>
                    <v:shape id="AutoShape 713" o:spid="_x0000_s1026" o:spt="32" type="#_x0000_t32" style="position:absolute;left:7384;top:1886;flip:x;height:0;width:1537;"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fPEMEAAADcAAAADwAAAGRycy9kb3ducmV2LnhtbERP32vCMBB+H/g/hBP2tqYKE9cZixYG&#10;shfRDbbHoznbYHMpTdbU/34ZDHy7j+/nbcrJdmKkwRvHChZZDoK4dtpwo+Dz4+1pDcIHZI2dY1Jw&#10;Iw/ldvawwUK7yCcaz6ERKYR9gQraEPpCSl+3ZNFnridO3MUNFkOCQyP1gDGF204u83wlLRpODS32&#10;VLVUX88/VoGJRzP2hyru37++vY5kbs/OKPU4n3avIAJN4S7+dx90mr9+gb9n0gVy+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R88QwQAAANwAAAAPAAAAAAAAAAAAAAAA&#10;AKECAABkcnMvZG93bnJldi54bWxQSwUGAAAAAAQABAD5AAAAjwMAAAAA&#10;">
                      <v:fill on="f" focussize="0,0"/>
                      <v:stroke color="#000000" joinstyle="round" endarrow="block"/>
                      <v:imagedata o:title=""/>
                      <o:lock v:ext="edit" aspectratio="f"/>
                    </v:shape>
                  </v:group>
                </v:group>
              </v:group>
            </w:pict>
          </mc:Fallback>
        </mc:AlternateContent>
      </w:r>
    </w:p>
    <w:p>
      <w:pPr>
        <w:tabs>
          <w:tab w:val="center" w:pos="4363"/>
        </w:tabs>
        <w:ind w:firstLine="600" w:firstLineChars="200"/>
        <w:rPr>
          <w:rFonts w:ascii="仿宋_GB2312" w:eastAsia="仿宋_GB2312"/>
          <w:sz w:val="30"/>
          <w:szCs w:val="30"/>
        </w:rPr>
      </w:pPr>
      <w:r>
        <w:rPr>
          <w:rFonts w:ascii="仿宋_GB2312" w:eastAsia="仿宋_GB2312"/>
          <w:sz w:val="30"/>
          <w:szCs w:val="30"/>
        </w:rPr>
        <w:tab/>
      </w:r>
    </w:p>
    <w:p>
      <w:pPr>
        <w:tabs>
          <w:tab w:val="center" w:pos="4363"/>
        </w:tabs>
        <w:ind w:firstLine="600" w:firstLineChars="200"/>
        <w:rPr>
          <w:rFonts w:ascii="仿宋_GB2312" w:eastAsia="仿宋_GB2312"/>
          <w:sz w:val="30"/>
          <w:szCs w:val="30"/>
        </w:rPr>
      </w:pPr>
    </w:p>
    <w:p>
      <w:pPr>
        <w:tabs>
          <w:tab w:val="center" w:pos="4363"/>
        </w:tabs>
        <w:ind w:firstLine="600" w:firstLineChars="200"/>
        <w:rPr>
          <w:rFonts w:ascii="仿宋_GB2312" w:eastAsia="仿宋_GB2312"/>
          <w:sz w:val="30"/>
          <w:szCs w:val="30"/>
        </w:rPr>
      </w:pPr>
    </w:p>
    <w:p>
      <w:pPr>
        <w:tabs>
          <w:tab w:val="center" w:pos="4363"/>
        </w:tabs>
        <w:ind w:firstLine="600" w:firstLineChars="200"/>
        <w:rPr>
          <w:rFonts w:ascii="仿宋_GB2312" w:eastAsia="仿宋_GB2312"/>
          <w:sz w:val="30"/>
          <w:szCs w:val="30"/>
        </w:rPr>
      </w:pPr>
    </w:p>
    <w:p>
      <w:pPr>
        <w:tabs>
          <w:tab w:val="center" w:pos="4363"/>
        </w:tabs>
        <w:ind w:firstLine="600" w:firstLineChars="200"/>
        <w:rPr>
          <w:rFonts w:ascii="仿宋_GB2312" w:eastAsia="仿宋_GB2312"/>
          <w:sz w:val="30"/>
          <w:szCs w:val="30"/>
        </w:rPr>
      </w:pPr>
    </w:p>
    <w:p>
      <w:pPr>
        <w:tabs>
          <w:tab w:val="center" w:pos="4363"/>
        </w:tabs>
        <w:ind w:firstLine="600" w:firstLineChars="200"/>
        <w:rPr>
          <w:rFonts w:ascii="仿宋_GB2312" w:eastAsia="仿宋_GB2312"/>
          <w:sz w:val="30"/>
          <w:szCs w:val="30"/>
        </w:rPr>
      </w:pPr>
    </w:p>
    <w:p>
      <w:pPr>
        <w:tabs>
          <w:tab w:val="center" w:pos="4363"/>
        </w:tabs>
        <w:ind w:firstLine="600" w:firstLineChars="200"/>
        <w:rPr>
          <w:rFonts w:ascii="仿宋_GB2312" w:eastAsia="仿宋_GB2312"/>
          <w:sz w:val="30"/>
          <w:szCs w:val="30"/>
        </w:rPr>
      </w:pPr>
    </w:p>
    <w:p>
      <w:pPr>
        <w:tabs>
          <w:tab w:val="center" w:pos="4363"/>
        </w:tabs>
        <w:rPr>
          <w:rFonts w:ascii="Times New Roman" w:hAnsi="Times New Roman" w:eastAsia="仿宋_GB2312" w:cs="Times New Roman"/>
          <w:sz w:val="30"/>
          <w:szCs w:val="30"/>
        </w:rPr>
      </w:pPr>
      <w:r>
        <w:rPr>
          <w:rFonts w:ascii="仿宋_GB2312" w:eastAsia="仿宋_GB2312"/>
          <w:sz w:val="30"/>
          <w:szCs w:val="30"/>
        </w:rPr>
        <w:br w:type="page"/>
      </w:r>
      <w:r>
        <w:rPr>
          <w:rFonts w:ascii="Calibri" w:hAnsi="Calibri" w:eastAsia="宋体" w:cs="Times New Roman"/>
        </w:rPr>
        <mc:AlternateContent>
          <mc:Choice Requires="wps">
            <w:drawing>
              <wp:anchor distT="0" distB="0" distL="114300" distR="114300" simplePos="0" relativeHeight="251663360" behindDoc="0" locked="0" layoutInCell="1" allowOverlap="1">
                <wp:simplePos x="0" y="0"/>
                <wp:positionH relativeFrom="column">
                  <wp:posOffset>2570480</wp:posOffset>
                </wp:positionH>
                <wp:positionV relativeFrom="paragraph">
                  <wp:posOffset>3526155</wp:posOffset>
                </wp:positionV>
                <wp:extent cx="2296795" cy="906145"/>
                <wp:effectExtent l="0" t="0" r="0" b="0"/>
                <wp:wrapNone/>
                <wp:docPr id="155" name="AutoShape 667"/>
                <wp:cNvGraphicFramePr/>
                <a:graphic xmlns:a="http://schemas.openxmlformats.org/drawingml/2006/main">
                  <a:graphicData uri="http://schemas.microsoft.com/office/word/2010/wordprocessingShape">
                    <wps:wsp>
                      <wps:cNvSpPr>
                        <a:spLocks noChangeArrowheads="1"/>
                      </wps:cNvSpPr>
                      <wps:spPr bwMode="auto">
                        <a:xfrm>
                          <a:off x="0" y="0"/>
                          <a:ext cx="2296795" cy="906145"/>
                        </a:xfrm>
                        <a:prstGeom prst="roundRect">
                          <a:avLst>
                            <a:gd name="adj" fmla="val 16667"/>
                          </a:avLst>
                        </a:prstGeom>
                        <a:noFill/>
                        <a:ln>
                          <a:noFill/>
                        </a:ln>
                        <a:effectLst/>
                      </wps:spPr>
                      <wps:bodyPr rot="0" vert="horz" wrap="square" lIns="91440" tIns="45720" rIns="91440" bIns="45720" anchor="t" anchorCtr="0" upright="1">
                        <a:noAutofit/>
                      </wps:bodyPr>
                    </wps:wsp>
                  </a:graphicData>
                </a:graphic>
              </wp:anchor>
            </w:drawing>
          </mc:Choice>
          <mc:Fallback>
            <w:pict>
              <v:roundrect id="AutoShape 667" o:spid="_x0000_s1026" o:spt="2" style="position:absolute;left:0pt;margin-left:202.4pt;margin-top:277.65pt;height:71.35pt;width:180.85pt;z-index:251663360;mso-width-relative:page;mso-height-relative:page;" filled="f" stroked="f" coordsize="21600,21600" arcsize="0.166666666666667" o:gfxdata="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GVaaU2gAAAAsBAAAPAAAAAAAAAAEAIAAAACIAAABkcnMvZG93&#10;bnJldi54bWxQSwECFAAUAAAACACHTuJAfyhHUv4BAAD1AwAADgAAAAAAAAABACAAAAApAQAAZHJz&#10;L2Uyb0RvYy54bWxQSwUGAAAAAAYABgBZAQAAmQUAAAAA&#10;">
                <v:fill on="f" focussize="0,0"/>
                <v:stroke on="f"/>
                <v:imagedata o:title=""/>
                <o:lock v:ext="edit" aspectratio="f"/>
              </v:roundrect>
            </w:pict>
          </mc:Fallback>
        </mc:AlternateContent>
      </w:r>
      <w:r>
        <w:rPr>
          <w:rFonts w:ascii="Times New Roman" w:hAnsi="Times New Roman" w:eastAsia="仿宋_GB2312" w:cs="Times New Roman"/>
          <w:sz w:val="30"/>
          <w:szCs w:val="30"/>
        </w:rPr>
        <w:t>附录</w:t>
      </w:r>
      <w:r>
        <w:rPr>
          <w:rFonts w:hint="eastAsia" w:ascii="Times New Roman" w:hAnsi="Times New Roman" w:eastAsia="仿宋_GB2312" w:cs="Times New Roman"/>
          <w:sz w:val="30"/>
          <w:szCs w:val="30"/>
        </w:rPr>
        <w:t>二</w:t>
      </w:r>
    </w:p>
    <w:p>
      <w:pPr>
        <w:tabs>
          <w:tab w:val="left" w:pos="8306"/>
        </w:tabs>
        <w:ind w:right="84"/>
        <w:jc w:val="center"/>
        <w:rPr>
          <w:rFonts w:ascii="Times New Roman" w:hAnsi="Times New Roman" w:eastAsia="黑体" w:cs="Times New Roman"/>
          <w:sz w:val="30"/>
          <w:szCs w:val="30"/>
        </w:rPr>
      </w:pPr>
      <w:r>
        <w:rPr>
          <w:rFonts w:ascii="Times New Roman" w:hAnsi="Times New Roman" w:eastAsia="黑体" w:cs="Times New Roman"/>
          <w:sz w:val="30"/>
          <w:szCs w:val="30"/>
        </w:rPr>
        <w:t>境外持股登记表</w:t>
      </w:r>
      <w:bookmarkEnd w:id="0"/>
      <w:bookmarkEnd w:id="1"/>
      <w:bookmarkEnd w:id="2"/>
      <w:bookmarkEnd w:id="3"/>
      <w:bookmarkEnd w:id="4"/>
      <w:r>
        <w:rPr>
          <w:rFonts w:ascii="Times New Roman" w:hAnsi="Times New Roman" w:eastAsia="黑体" w:cs="Times New Roman"/>
          <w:sz w:val="30"/>
          <w:szCs w:val="30"/>
        </w:rPr>
        <w:t>（示范文本）</w:t>
      </w:r>
    </w:p>
    <w:p>
      <w:pPr>
        <w:jc w:val="left"/>
        <w:rPr>
          <w:rFonts w:ascii="Times New Roman" w:hAnsi="Times New Roman" w:eastAsia="华文楷体" w:cs="Times New Roman"/>
          <w:sz w:val="24"/>
        </w:rPr>
      </w:pPr>
      <w:r>
        <w:rPr>
          <w:rFonts w:ascii="Times New Roman" w:hAnsi="华文楷体" w:eastAsia="华文楷体" w:cs="Times New Roman"/>
          <w:sz w:val="24"/>
        </w:rPr>
        <w:t>登记类别：</w:t>
      </w:r>
      <w:r>
        <w:rPr>
          <w:rFonts w:ascii="Times New Roman" w:hAnsi="Times New Roman" w:eastAsia="华文楷体" w:cs="Times New Roman"/>
          <w:sz w:val="24"/>
        </w:rPr>
        <w:t>□</w:t>
      </w:r>
      <w:r>
        <w:rPr>
          <w:rFonts w:ascii="Times New Roman" w:hAnsi="华文楷体" w:eastAsia="华文楷体" w:cs="Times New Roman"/>
          <w:sz w:val="24"/>
        </w:rPr>
        <w:t>登记</w:t>
      </w:r>
      <w:r>
        <w:rPr>
          <w:rFonts w:ascii="Times New Roman" w:hAnsi="Times New Roman" w:eastAsia="华文楷体" w:cs="Times New Roman"/>
          <w:sz w:val="24"/>
        </w:rPr>
        <w:t xml:space="preserve">   □</w:t>
      </w:r>
      <w:r>
        <w:rPr>
          <w:rFonts w:ascii="Times New Roman" w:hAnsi="华文楷体" w:eastAsia="华文楷体" w:cs="Times New Roman"/>
          <w:sz w:val="24"/>
        </w:rPr>
        <w:t>变更登记</w:t>
      </w:r>
      <w:r>
        <w:rPr>
          <w:rFonts w:ascii="Times New Roman" w:hAnsi="Times New Roman" w:eastAsia="华文楷体" w:cs="Times New Roman"/>
          <w:sz w:val="24"/>
        </w:rPr>
        <w:t xml:space="preserve">           </w:t>
      </w:r>
      <w:r>
        <w:rPr>
          <w:rFonts w:ascii="Times New Roman" w:hAnsi="华文楷体" w:eastAsia="华文楷体" w:cs="Times New Roman"/>
          <w:sz w:val="24"/>
        </w:rPr>
        <w:t>编号（外汇局填写）：</w:t>
      </w:r>
    </w:p>
    <w:tbl>
      <w:tblPr>
        <w:tblStyle w:val="17"/>
        <w:tblW w:w="8897" w:type="dxa"/>
        <w:tblInd w:w="-62"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01"/>
        <w:gridCol w:w="283"/>
        <w:gridCol w:w="425"/>
        <w:gridCol w:w="712"/>
        <w:gridCol w:w="280"/>
        <w:gridCol w:w="273"/>
        <w:gridCol w:w="11"/>
        <w:gridCol w:w="698"/>
        <w:gridCol w:w="13"/>
        <w:gridCol w:w="156"/>
        <w:gridCol w:w="975"/>
        <w:gridCol w:w="267"/>
        <w:gridCol w:w="7"/>
        <w:gridCol w:w="19"/>
        <w:gridCol w:w="1398"/>
        <w:gridCol w:w="736"/>
        <w:gridCol w:w="140"/>
        <w:gridCol w:w="1703"/>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境外上市的境内公司（以下简称境内公司）基本信息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境内公司名称</w:t>
            </w:r>
          </w:p>
        </w:tc>
        <w:tc>
          <w:tcPr>
            <w:tcW w:w="2393" w:type="dxa"/>
            <w:gridSpan w:val="7"/>
            <w:vAlign w:val="center"/>
          </w:tcPr>
          <w:p>
            <w:pPr>
              <w:spacing w:line="340" w:lineRule="exact"/>
              <w:jc w:val="center"/>
              <w:rPr>
                <w:rFonts w:ascii="Times New Roman" w:hAnsi="Times New Roman" w:eastAsia="华文楷体" w:cs="Times New Roman"/>
                <w:sz w:val="24"/>
              </w:rPr>
            </w:pPr>
          </w:p>
        </w:tc>
        <w:tc>
          <w:tcPr>
            <w:tcW w:w="2160"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统一社会信用代码</w:t>
            </w:r>
          </w:p>
        </w:tc>
        <w:tc>
          <w:tcPr>
            <w:tcW w:w="1843" w:type="dxa"/>
            <w:gridSpan w:val="2"/>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注册地址</w:t>
            </w:r>
          </w:p>
        </w:tc>
        <w:tc>
          <w:tcPr>
            <w:tcW w:w="2393" w:type="dxa"/>
            <w:gridSpan w:val="7"/>
            <w:vAlign w:val="center"/>
          </w:tcPr>
          <w:p>
            <w:pPr>
              <w:spacing w:line="340" w:lineRule="exact"/>
              <w:jc w:val="center"/>
              <w:rPr>
                <w:rFonts w:ascii="Times New Roman" w:hAnsi="Times New Roman" w:eastAsia="华文楷体" w:cs="Times New Roman"/>
                <w:sz w:val="24"/>
              </w:rPr>
            </w:pPr>
          </w:p>
        </w:tc>
        <w:tc>
          <w:tcPr>
            <w:tcW w:w="2160"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法定代表人</w:t>
            </w:r>
          </w:p>
        </w:tc>
        <w:tc>
          <w:tcPr>
            <w:tcW w:w="1843" w:type="dxa"/>
            <w:gridSpan w:val="2"/>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上市地及证券交易所</w:t>
            </w:r>
          </w:p>
        </w:tc>
        <w:tc>
          <w:tcPr>
            <w:tcW w:w="2393" w:type="dxa"/>
            <w:gridSpan w:val="7"/>
            <w:vAlign w:val="center"/>
          </w:tcPr>
          <w:p>
            <w:pPr>
              <w:spacing w:line="340" w:lineRule="exact"/>
              <w:jc w:val="center"/>
              <w:rPr>
                <w:rFonts w:ascii="Times New Roman" w:hAnsi="Times New Roman" w:eastAsia="华文楷体" w:cs="Times New Roman"/>
                <w:sz w:val="24"/>
              </w:rPr>
            </w:pPr>
          </w:p>
        </w:tc>
        <w:tc>
          <w:tcPr>
            <w:tcW w:w="2160"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上市时间</w:t>
            </w:r>
          </w:p>
        </w:tc>
        <w:tc>
          <w:tcPr>
            <w:tcW w:w="1843" w:type="dxa"/>
            <w:gridSpan w:val="2"/>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证监会批准文号</w:t>
            </w:r>
          </w:p>
        </w:tc>
        <w:tc>
          <w:tcPr>
            <w:tcW w:w="6396" w:type="dxa"/>
            <w:gridSpan w:val="13"/>
            <w:tcBorders>
              <w:left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证券名称</w:t>
            </w:r>
          </w:p>
        </w:tc>
        <w:tc>
          <w:tcPr>
            <w:tcW w:w="2400" w:type="dxa"/>
            <w:gridSpan w:val="8"/>
            <w:tcBorders>
              <w:left w:val="single" w:color="auto" w:sz="4" w:space="0"/>
            </w:tcBorders>
            <w:vAlign w:val="center"/>
          </w:tcPr>
          <w:p>
            <w:pPr>
              <w:spacing w:line="340" w:lineRule="exact"/>
              <w:jc w:val="left"/>
              <w:rPr>
                <w:rFonts w:ascii="Times New Roman" w:hAnsi="Times New Roman" w:eastAsia="华文楷体" w:cs="Times New Roman"/>
                <w:sz w:val="24"/>
              </w:rPr>
            </w:pPr>
          </w:p>
        </w:tc>
        <w:tc>
          <w:tcPr>
            <w:tcW w:w="2153" w:type="dxa"/>
            <w:gridSpan w:val="3"/>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证券代码</w:t>
            </w:r>
          </w:p>
        </w:tc>
        <w:tc>
          <w:tcPr>
            <w:tcW w:w="1843" w:type="dxa"/>
            <w:gridSpan w:val="2"/>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tcBorders>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总股数</w:t>
            </w:r>
          </w:p>
        </w:tc>
        <w:tc>
          <w:tcPr>
            <w:tcW w:w="982" w:type="dxa"/>
            <w:gridSpan w:val="3"/>
            <w:tcBorders>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418" w:type="dxa"/>
            <w:gridSpan w:val="5"/>
            <w:tcBorders>
              <w:left w:val="single" w:color="auto" w:sz="4" w:space="0"/>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总股本金额</w:t>
            </w:r>
          </w:p>
        </w:tc>
        <w:tc>
          <w:tcPr>
            <w:tcW w:w="1417" w:type="dxa"/>
            <w:gridSpan w:val="2"/>
            <w:tcBorders>
              <w:left w:val="single" w:color="auto" w:sz="4" w:space="0"/>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736" w:type="dxa"/>
            <w:tcBorders>
              <w:left w:val="single" w:color="auto" w:sz="4" w:space="0"/>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联系人</w:t>
            </w:r>
          </w:p>
        </w:tc>
        <w:tc>
          <w:tcPr>
            <w:tcW w:w="2393" w:type="dxa"/>
            <w:gridSpan w:val="7"/>
            <w:vAlign w:val="center"/>
          </w:tcPr>
          <w:p>
            <w:pPr>
              <w:spacing w:line="340" w:lineRule="exact"/>
              <w:jc w:val="left"/>
              <w:rPr>
                <w:rFonts w:ascii="Times New Roman" w:hAnsi="Times New Roman" w:eastAsia="华文楷体" w:cs="Times New Roman"/>
                <w:sz w:val="24"/>
              </w:rPr>
            </w:pPr>
          </w:p>
        </w:tc>
        <w:tc>
          <w:tcPr>
            <w:tcW w:w="2160"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联系电话</w:t>
            </w:r>
          </w:p>
        </w:tc>
        <w:tc>
          <w:tcPr>
            <w:tcW w:w="1843" w:type="dxa"/>
            <w:gridSpan w:val="2"/>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境内股东基本信息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1084" w:type="dxa"/>
            <w:gridSpan w:val="2"/>
            <w:vMerge w:val="restart"/>
            <w:tcBorders>
              <w:right w:val="single" w:color="auto" w:sz="2" w:space="0"/>
            </w:tcBorders>
            <w:vAlign w:val="center"/>
          </w:tcPr>
          <w:p>
            <w:pPr>
              <w:spacing w:line="340" w:lineRule="exact"/>
              <w:jc w:val="left"/>
              <w:rPr>
                <w:rFonts w:ascii="Times New Roman" w:hAnsi="Times New Roman" w:eastAsia="华文楷体" w:cs="Times New Roman"/>
                <w:szCs w:val="21"/>
              </w:rPr>
            </w:pPr>
            <w:r>
              <w:rPr>
                <w:rFonts w:ascii="Times New Roman" w:hAnsi="华文楷体" w:eastAsia="华文楷体" w:cs="Times New Roman"/>
                <w:szCs w:val="21"/>
              </w:rPr>
              <w:t>（机构股东填写）</w:t>
            </w:r>
          </w:p>
        </w:tc>
        <w:tc>
          <w:tcPr>
            <w:tcW w:w="1701" w:type="dxa"/>
            <w:gridSpan w:val="5"/>
            <w:tcBorders>
              <w:lef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股东名称</w:t>
            </w:r>
          </w:p>
        </w:tc>
        <w:tc>
          <w:tcPr>
            <w:tcW w:w="1842" w:type="dxa"/>
            <w:gridSpan w:val="4"/>
            <w:vAlign w:val="center"/>
          </w:tcPr>
          <w:p>
            <w:pPr>
              <w:spacing w:line="340" w:lineRule="exact"/>
              <w:jc w:val="left"/>
              <w:rPr>
                <w:rFonts w:ascii="Times New Roman" w:hAnsi="Times New Roman" w:eastAsia="华文楷体" w:cs="Times New Roman"/>
                <w:sz w:val="24"/>
              </w:rPr>
            </w:pPr>
          </w:p>
        </w:tc>
        <w:tc>
          <w:tcPr>
            <w:tcW w:w="2427"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统一社会信用代码</w:t>
            </w:r>
          </w:p>
        </w:tc>
        <w:tc>
          <w:tcPr>
            <w:tcW w:w="1843" w:type="dxa"/>
            <w:gridSpan w:val="2"/>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1084" w:type="dxa"/>
            <w:gridSpan w:val="2"/>
            <w:vMerge w:val="continue"/>
            <w:tcBorders>
              <w:right w:val="single" w:color="auto" w:sz="2" w:space="0"/>
            </w:tcBorders>
            <w:vAlign w:val="center"/>
          </w:tcPr>
          <w:p>
            <w:pPr>
              <w:spacing w:line="340" w:lineRule="exact"/>
              <w:jc w:val="left"/>
              <w:rPr>
                <w:rFonts w:ascii="Times New Roman" w:hAnsi="Times New Roman" w:eastAsia="华文楷体" w:cs="Times New Roman"/>
                <w:sz w:val="24"/>
              </w:rPr>
            </w:pPr>
          </w:p>
        </w:tc>
        <w:tc>
          <w:tcPr>
            <w:tcW w:w="1701" w:type="dxa"/>
            <w:gridSpan w:val="5"/>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注册地址</w:t>
            </w:r>
          </w:p>
        </w:tc>
        <w:tc>
          <w:tcPr>
            <w:tcW w:w="1842" w:type="dxa"/>
            <w:gridSpan w:val="4"/>
            <w:tcBorders>
              <w:left w:val="single" w:color="auto" w:sz="2" w:space="0"/>
            </w:tcBorders>
            <w:vAlign w:val="center"/>
          </w:tcPr>
          <w:p>
            <w:pPr>
              <w:spacing w:line="340" w:lineRule="exact"/>
              <w:jc w:val="left"/>
              <w:rPr>
                <w:rFonts w:ascii="Times New Roman" w:hAnsi="Times New Roman" w:eastAsia="华文楷体" w:cs="Times New Roman"/>
                <w:sz w:val="24"/>
              </w:rPr>
            </w:pPr>
          </w:p>
        </w:tc>
        <w:tc>
          <w:tcPr>
            <w:tcW w:w="2427"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法定代表人</w:t>
            </w:r>
          </w:p>
        </w:tc>
        <w:tc>
          <w:tcPr>
            <w:tcW w:w="1843" w:type="dxa"/>
            <w:gridSpan w:val="2"/>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1084" w:type="dxa"/>
            <w:gridSpan w:val="2"/>
            <w:vMerge w:val="restart"/>
            <w:tcBorders>
              <w:right w:val="single" w:color="auto" w:sz="2" w:space="0"/>
            </w:tcBorders>
            <w:vAlign w:val="center"/>
          </w:tcPr>
          <w:p>
            <w:pPr>
              <w:spacing w:line="340" w:lineRule="exact"/>
              <w:jc w:val="left"/>
              <w:rPr>
                <w:rFonts w:ascii="Times New Roman" w:hAnsi="Times New Roman" w:eastAsia="华文楷体" w:cs="Times New Roman"/>
                <w:szCs w:val="21"/>
              </w:rPr>
            </w:pPr>
            <w:r>
              <w:rPr>
                <w:rFonts w:ascii="Times New Roman" w:hAnsi="华文楷体" w:eastAsia="华文楷体" w:cs="Times New Roman"/>
                <w:szCs w:val="21"/>
              </w:rPr>
              <w:t>（个人股东填写）</w:t>
            </w:r>
          </w:p>
        </w:tc>
        <w:tc>
          <w:tcPr>
            <w:tcW w:w="1701" w:type="dxa"/>
            <w:gridSpan w:val="5"/>
            <w:tcBorders>
              <w:lef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股东姓名</w:t>
            </w:r>
          </w:p>
        </w:tc>
        <w:tc>
          <w:tcPr>
            <w:tcW w:w="1842" w:type="dxa"/>
            <w:gridSpan w:val="4"/>
            <w:vAlign w:val="center"/>
          </w:tcPr>
          <w:p>
            <w:pPr>
              <w:spacing w:line="340" w:lineRule="exact"/>
              <w:jc w:val="left"/>
              <w:rPr>
                <w:rFonts w:ascii="Times New Roman" w:hAnsi="Times New Roman" w:eastAsia="华文楷体" w:cs="Times New Roman"/>
                <w:sz w:val="24"/>
              </w:rPr>
            </w:pPr>
          </w:p>
        </w:tc>
        <w:tc>
          <w:tcPr>
            <w:tcW w:w="2427"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身份证件类型</w:t>
            </w:r>
          </w:p>
        </w:tc>
        <w:tc>
          <w:tcPr>
            <w:tcW w:w="1843" w:type="dxa"/>
            <w:gridSpan w:val="2"/>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1084" w:type="dxa"/>
            <w:gridSpan w:val="2"/>
            <w:vMerge w:val="continue"/>
            <w:tcBorders>
              <w:right w:val="single" w:color="auto" w:sz="2" w:space="0"/>
            </w:tcBorders>
            <w:vAlign w:val="center"/>
          </w:tcPr>
          <w:p>
            <w:pPr>
              <w:spacing w:line="340" w:lineRule="exact"/>
              <w:jc w:val="left"/>
              <w:rPr>
                <w:rFonts w:ascii="Times New Roman" w:hAnsi="Times New Roman" w:eastAsia="华文楷体" w:cs="Times New Roman"/>
                <w:sz w:val="24"/>
              </w:rPr>
            </w:pPr>
          </w:p>
        </w:tc>
        <w:tc>
          <w:tcPr>
            <w:tcW w:w="1701" w:type="dxa"/>
            <w:gridSpan w:val="5"/>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身份证件号码</w:t>
            </w:r>
          </w:p>
        </w:tc>
        <w:tc>
          <w:tcPr>
            <w:tcW w:w="6112" w:type="dxa"/>
            <w:gridSpan w:val="11"/>
            <w:tcBorders>
              <w:left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785" w:type="dxa"/>
            <w:gridSpan w:val="7"/>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当前持股股数</w:t>
            </w:r>
          </w:p>
        </w:tc>
        <w:tc>
          <w:tcPr>
            <w:tcW w:w="1842" w:type="dxa"/>
            <w:gridSpan w:val="4"/>
            <w:vAlign w:val="center"/>
          </w:tcPr>
          <w:p>
            <w:pPr>
              <w:spacing w:line="340" w:lineRule="exact"/>
              <w:jc w:val="left"/>
              <w:rPr>
                <w:rFonts w:ascii="Times New Roman" w:hAnsi="Times New Roman" w:eastAsia="华文楷体" w:cs="Times New Roman"/>
                <w:sz w:val="24"/>
              </w:rPr>
            </w:pPr>
          </w:p>
        </w:tc>
        <w:tc>
          <w:tcPr>
            <w:tcW w:w="2427"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当前持股比例</w:t>
            </w:r>
          </w:p>
        </w:tc>
        <w:tc>
          <w:tcPr>
            <w:tcW w:w="1843" w:type="dxa"/>
            <w:gridSpan w:val="2"/>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b/>
                <w:sz w:val="24"/>
              </w:rPr>
              <w:t>增持信息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w:t>
            </w:r>
          </w:p>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计划</w:t>
            </w:r>
          </w:p>
        </w:tc>
        <w:tc>
          <w:tcPr>
            <w:tcW w:w="1973" w:type="dxa"/>
            <w:gridSpan w:val="5"/>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增持证券种类</w:t>
            </w:r>
          </w:p>
        </w:tc>
        <w:tc>
          <w:tcPr>
            <w:tcW w:w="2146" w:type="dxa"/>
            <w:gridSpan w:val="8"/>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增持数量</w:t>
            </w:r>
          </w:p>
        </w:tc>
        <w:tc>
          <w:tcPr>
            <w:tcW w:w="1843" w:type="dxa"/>
            <w:gridSpan w:val="2"/>
            <w:tcBorders>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1973" w:type="dxa"/>
            <w:gridSpan w:val="5"/>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增持金额</w:t>
            </w:r>
          </w:p>
        </w:tc>
        <w:tc>
          <w:tcPr>
            <w:tcW w:w="2146" w:type="dxa"/>
            <w:gridSpan w:val="8"/>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增持后持股比例</w:t>
            </w:r>
          </w:p>
        </w:tc>
        <w:tc>
          <w:tcPr>
            <w:tcW w:w="1843" w:type="dxa"/>
            <w:gridSpan w:val="2"/>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restart"/>
            <w:tcBorders>
              <w:top w:val="single" w:color="auto" w:sz="4" w:space="0"/>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计划使用金额</w:t>
            </w:r>
          </w:p>
        </w:tc>
        <w:tc>
          <w:tcPr>
            <w:tcW w:w="2143" w:type="dxa"/>
            <w:gridSpan w:val="7"/>
            <w:tcBorders>
              <w:top w:val="single" w:color="auto" w:sz="4"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境外解决</w:t>
            </w:r>
          </w:p>
        </w:tc>
        <w:tc>
          <w:tcPr>
            <w:tcW w:w="1268"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restart"/>
            <w:tcBorders>
              <w:top w:val="single" w:color="auto" w:sz="2" w:space="0"/>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境内汇出</w:t>
            </w:r>
          </w:p>
        </w:tc>
        <w:tc>
          <w:tcPr>
            <w:tcW w:w="1431" w:type="dxa"/>
            <w:gridSpan w:val="6"/>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购汇</w:t>
            </w:r>
          </w:p>
        </w:tc>
        <w:tc>
          <w:tcPr>
            <w:tcW w:w="1268" w:type="dxa"/>
            <w:gridSpan w:val="4"/>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431" w:type="dxa"/>
            <w:gridSpan w:val="6"/>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自有外汇</w:t>
            </w:r>
          </w:p>
        </w:tc>
        <w:tc>
          <w:tcPr>
            <w:tcW w:w="1268"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431" w:type="dxa"/>
            <w:gridSpan w:val="6"/>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人民币</w:t>
            </w:r>
          </w:p>
        </w:tc>
        <w:tc>
          <w:tcPr>
            <w:tcW w:w="1268"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p>
        </w:tc>
        <w:tc>
          <w:tcPr>
            <w:tcW w:w="1843"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397" w:hRule="exact"/>
        </w:trPr>
        <w:tc>
          <w:tcPr>
            <w:tcW w:w="801" w:type="dxa"/>
            <w:vMerge w:val="restart"/>
            <w:tcBorders>
              <w:right w:val="single" w:color="auto" w:sz="4" w:space="0"/>
            </w:tcBorders>
            <w:vAlign w:val="center"/>
          </w:tcPr>
          <w:p>
            <w:pPr>
              <w:spacing w:line="300" w:lineRule="exact"/>
              <w:jc w:val="left"/>
              <w:rPr>
                <w:rFonts w:ascii="Times New Roman" w:hAnsi="Times New Roman" w:eastAsia="华文楷体" w:cs="Times New Roman"/>
                <w:sz w:val="24"/>
              </w:rPr>
            </w:pPr>
            <w:r>
              <w:rPr>
                <w:rFonts w:ascii="Times New Roman" w:hAnsi="华文楷体" w:eastAsia="华文楷体" w:cs="Times New Roman"/>
                <w:sz w:val="24"/>
              </w:rPr>
              <w:t>境外持股专用账户信息</w:t>
            </w:r>
          </w:p>
        </w:tc>
        <w:tc>
          <w:tcPr>
            <w:tcW w:w="4119" w:type="dxa"/>
            <w:gridSpan w:val="13"/>
            <w:tcBorders>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开户银行</w:t>
            </w:r>
          </w:p>
        </w:tc>
        <w:tc>
          <w:tcPr>
            <w:tcW w:w="3977" w:type="dxa"/>
            <w:gridSpan w:val="4"/>
            <w:tcBorders>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账号</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397" w:hRule="exac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4119" w:type="dxa"/>
            <w:gridSpan w:val="13"/>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3977" w:type="dxa"/>
            <w:gridSpan w:val="4"/>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397" w:hRule="exac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4119" w:type="dxa"/>
            <w:gridSpan w:val="13"/>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3977" w:type="dxa"/>
            <w:gridSpan w:val="4"/>
            <w:tcBorders>
              <w:top w:val="single" w:color="auto" w:sz="4" w:space="0"/>
              <w:left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397" w:hRule="exac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4119" w:type="dxa"/>
            <w:gridSpan w:val="13"/>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3977" w:type="dxa"/>
            <w:gridSpan w:val="4"/>
            <w:tcBorders>
              <w:top w:val="single" w:color="auto" w:sz="4" w:space="0"/>
              <w:left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w:t>
            </w:r>
          </w:p>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完成情况</w:t>
            </w:r>
          </w:p>
        </w:tc>
        <w:tc>
          <w:tcPr>
            <w:tcW w:w="1973" w:type="dxa"/>
            <w:gridSpan w:val="5"/>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增持证券种类</w:t>
            </w:r>
          </w:p>
        </w:tc>
        <w:tc>
          <w:tcPr>
            <w:tcW w:w="2146" w:type="dxa"/>
            <w:gridSpan w:val="8"/>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增持数量</w:t>
            </w:r>
          </w:p>
        </w:tc>
        <w:tc>
          <w:tcPr>
            <w:tcW w:w="1843" w:type="dxa"/>
            <w:gridSpan w:val="2"/>
            <w:tcBorders>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1973" w:type="dxa"/>
            <w:gridSpan w:val="5"/>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增持金额</w:t>
            </w:r>
          </w:p>
        </w:tc>
        <w:tc>
          <w:tcPr>
            <w:tcW w:w="2146" w:type="dxa"/>
            <w:gridSpan w:val="8"/>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增持后持股比例</w:t>
            </w:r>
          </w:p>
        </w:tc>
        <w:tc>
          <w:tcPr>
            <w:tcW w:w="1843" w:type="dxa"/>
            <w:gridSpan w:val="2"/>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restart"/>
            <w:tcBorders>
              <w:top w:val="single" w:color="auto" w:sz="4" w:space="0"/>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实际使用金额</w:t>
            </w:r>
          </w:p>
        </w:tc>
        <w:tc>
          <w:tcPr>
            <w:tcW w:w="2143" w:type="dxa"/>
            <w:gridSpan w:val="7"/>
            <w:tcBorders>
              <w:top w:val="single" w:color="auto" w:sz="4"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境外解决</w:t>
            </w:r>
          </w:p>
        </w:tc>
        <w:tc>
          <w:tcPr>
            <w:tcW w:w="1268"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restart"/>
            <w:tcBorders>
              <w:top w:val="single" w:color="auto" w:sz="2" w:space="0"/>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境内汇出</w:t>
            </w:r>
          </w:p>
        </w:tc>
        <w:tc>
          <w:tcPr>
            <w:tcW w:w="1431" w:type="dxa"/>
            <w:gridSpan w:val="6"/>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购汇</w:t>
            </w:r>
          </w:p>
        </w:tc>
        <w:tc>
          <w:tcPr>
            <w:tcW w:w="1268" w:type="dxa"/>
            <w:gridSpan w:val="4"/>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431" w:type="dxa"/>
            <w:gridSpan w:val="6"/>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自有外汇</w:t>
            </w:r>
          </w:p>
        </w:tc>
        <w:tc>
          <w:tcPr>
            <w:tcW w:w="1268"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431" w:type="dxa"/>
            <w:gridSpan w:val="6"/>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人民币</w:t>
            </w:r>
          </w:p>
        </w:tc>
        <w:tc>
          <w:tcPr>
            <w:tcW w:w="1268"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p>
        </w:tc>
        <w:tc>
          <w:tcPr>
            <w:tcW w:w="1843"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420" w:type="dxa"/>
            <w:gridSpan w:val="3"/>
            <w:vMerge w:val="restart"/>
            <w:tcBorders>
              <w:top w:val="single" w:color="auto" w:sz="4" w:space="0"/>
              <w:lef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增持剩余资金调回</w:t>
            </w:r>
          </w:p>
        </w:tc>
        <w:tc>
          <w:tcPr>
            <w:tcW w:w="1431" w:type="dxa"/>
            <w:gridSpan w:val="6"/>
            <w:vMerge w:val="restart"/>
            <w:tcBorders>
              <w:top w:val="single" w:color="auto" w:sz="4" w:space="0"/>
              <w:lef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调回资金</w:t>
            </w:r>
          </w:p>
        </w:tc>
        <w:tc>
          <w:tcPr>
            <w:tcW w:w="1268"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4" w:space="0"/>
              <w:bottom w:val="single" w:color="auto" w:sz="2"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420" w:type="dxa"/>
            <w:gridSpan w:val="3"/>
            <w:vMerge w:val="continue"/>
            <w:tcBorders>
              <w:left w:val="single" w:color="auto" w:sz="4" w:space="0"/>
            </w:tcBorders>
            <w:vAlign w:val="center"/>
          </w:tcPr>
          <w:p>
            <w:pPr>
              <w:spacing w:line="340" w:lineRule="exact"/>
              <w:jc w:val="left"/>
              <w:rPr>
                <w:rFonts w:ascii="Times New Roman" w:hAnsi="Times New Roman" w:eastAsia="华文楷体" w:cs="Times New Roman"/>
                <w:sz w:val="24"/>
              </w:rPr>
            </w:pPr>
          </w:p>
        </w:tc>
        <w:tc>
          <w:tcPr>
            <w:tcW w:w="1431" w:type="dxa"/>
            <w:gridSpan w:val="6"/>
            <w:vMerge w:val="continue"/>
            <w:tcBorders>
              <w:left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1268"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4" w:space="0"/>
              <w:bottom w:val="single" w:color="auto" w:sz="2"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bottom w:val="single" w:color="auto" w:sz="2"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420" w:type="dxa"/>
            <w:gridSpan w:val="3"/>
            <w:vMerge w:val="continue"/>
            <w:tcBorders>
              <w:left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1431" w:type="dxa"/>
            <w:gridSpan w:val="6"/>
            <w:tcBorders>
              <w:top w:val="single" w:color="auto" w:sz="4" w:space="0"/>
              <w:left w:val="single" w:color="auto" w:sz="4" w:space="0"/>
              <w:bottom w:val="single" w:color="auto" w:sz="2" w:space="0"/>
            </w:tcBorders>
            <w:vAlign w:val="center"/>
          </w:tcPr>
          <w:p>
            <w:pPr>
              <w:spacing w:line="280" w:lineRule="exact"/>
              <w:jc w:val="left"/>
              <w:rPr>
                <w:rFonts w:ascii="Times New Roman" w:hAnsi="Times New Roman" w:eastAsia="华文楷体" w:cs="Times New Roman"/>
                <w:sz w:val="24"/>
              </w:rPr>
            </w:pPr>
            <w:r>
              <w:rPr>
                <w:rFonts w:ascii="Times New Roman" w:hAnsi="华文楷体" w:eastAsia="华文楷体" w:cs="Times New Roman"/>
                <w:sz w:val="24"/>
              </w:rPr>
              <w:t>折美元合计</w:t>
            </w:r>
          </w:p>
        </w:tc>
        <w:tc>
          <w:tcPr>
            <w:tcW w:w="1268"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1843" w:type="dxa"/>
            <w:gridSpan w:val="2"/>
            <w:tcBorders>
              <w:top w:val="single" w:color="auto" w:sz="4" w:space="0"/>
              <w:bottom w:val="single" w:color="auto" w:sz="2"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tcBorders>
              <w:top w:val="single" w:color="auto" w:sz="2"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b/>
                <w:sz w:val="24"/>
              </w:rPr>
              <w:t>减持信息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w:t>
            </w:r>
          </w:p>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计划</w:t>
            </w:r>
          </w:p>
        </w:tc>
        <w:tc>
          <w:tcPr>
            <w:tcW w:w="1973" w:type="dxa"/>
            <w:gridSpan w:val="5"/>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减持证券种类</w:t>
            </w:r>
          </w:p>
        </w:tc>
        <w:tc>
          <w:tcPr>
            <w:tcW w:w="2146" w:type="dxa"/>
            <w:gridSpan w:val="8"/>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减持数量</w:t>
            </w:r>
          </w:p>
        </w:tc>
        <w:tc>
          <w:tcPr>
            <w:tcW w:w="1703" w:type="dxa"/>
            <w:tcBorders>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1973" w:type="dxa"/>
            <w:gridSpan w:val="5"/>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减持金额</w:t>
            </w:r>
          </w:p>
        </w:tc>
        <w:tc>
          <w:tcPr>
            <w:tcW w:w="2146" w:type="dxa"/>
            <w:gridSpan w:val="8"/>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减持后持股比例</w:t>
            </w:r>
          </w:p>
        </w:tc>
        <w:tc>
          <w:tcPr>
            <w:tcW w:w="1703" w:type="dxa"/>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restart"/>
            <w:tcBorders>
              <w:top w:val="single" w:color="auto" w:sz="4" w:space="0"/>
              <w:left w:val="single" w:color="auto" w:sz="4" w:space="0"/>
              <w:right w:val="single" w:color="auto" w:sz="2" w:space="0"/>
            </w:tcBorders>
            <w:vAlign w:val="center"/>
          </w:tcPr>
          <w:p>
            <w:pPr>
              <w:spacing w:line="320" w:lineRule="exact"/>
              <w:jc w:val="left"/>
              <w:rPr>
                <w:rFonts w:ascii="Times New Roman" w:hAnsi="Times New Roman" w:eastAsia="华文楷体" w:cs="Times New Roman"/>
                <w:sz w:val="24"/>
              </w:rPr>
            </w:pPr>
            <w:r>
              <w:rPr>
                <w:rFonts w:ascii="Times New Roman" w:hAnsi="华文楷体" w:eastAsia="华文楷体" w:cs="Times New Roman"/>
                <w:sz w:val="24"/>
              </w:rPr>
              <w:t>计划减持资金安排</w:t>
            </w:r>
          </w:p>
        </w:tc>
        <w:tc>
          <w:tcPr>
            <w:tcW w:w="1987" w:type="dxa"/>
            <w:gridSpan w:val="6"/>
            <w:tcBorders>
              <w:top w:val="single" w:color="auto" w:sz="4"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境外留存</w:t>
            </w:r>
          </w:p>
        </w:tc>
        <w:tc>
          <w:tcPr>
            <w:tcW w:w="1424" w:type="dxa"/>
            <w:gridSpan w:val="5"/>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restart"/>
            <w:tcBorders>
              <w:top w:val="single" w:color="auto" w:sz="2" w:space="0"/>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汇回境内</w:t>
            </w:r>
          </w:p>
        </w:tc>
        <w:tc>
          <w:tcPr>
            <w:tcW w:w="1275" w:type="dxa"/>
            <w:gridSpan w:val="5"/>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结汇</w:t>
            </w:r>
          </w:p>
        </w:tc>
        <w:tc>
          <w:tcPr>
            <w:tcW w:w="1424" w:type="dxa"/>
            <w:gridSpan w:val="5"/>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5"/>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保留现汇</w:t>
            </w:r>
          </w:p>
        </w:tc>
        <w:tc>
          <w:tcPr>
            <w:tcW w:w="1424" w:type="dxa"/>
            <w:gridSpan w:val="5"/>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5"/>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人民币</w:t>
            </w:r>
          </w:p>
        </w:tc>
        <w:tc>
          <w:tcPr>
            <w:tcW w:w="1424" w:type="dxa"/>
            <w:gridSpan w:val="5"/>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p>
        </w:tc>
        <w:tc>
          <w:tcPr>
            <w:tcW w:w="1703" w:type="dxa"/>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w:t>
            </w:r>
          </w:p>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完成情况</w:t>
            </w:r>
          </w:p>
        </w:tc>
        <w:tc>
          <w:tcPr>
            <w:tcW w:w="1973" w:type="dxa"/>
            <w:gridSpan w:val="5"/>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减持证券种类</w:t>
            </w:r>
          </w:p>
        </w:tc>
        <w:tc>
          <w:tcPr>
            <w:tcW w:w="2146" w:type="dxa"/>
            <w:gridSpan w:val="8"/>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减持数量</w:t>
            </w:r>
          </w:p>
        </w:tc>
        <w:tc>
          <w:tcPr>
            <w:tcW w:w="1703" w:type="dxa"/>
            <w:tcBorders>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1973" w:type="dxa"/>
            <w:gridSpan w:val="5"/>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减持金额</w:t>
            </w:r>
          </w:p>
        </w:tc>
        <w:tc>
          <w:tcPr>
            <w:tcW w:w="2146" w:type="dxa"/>
            <w:gridSpan w:val="8"/>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减持后持股比例</w:t>
            </w:r>
          </w:p>
        </w:tc>
        <w:tc>
          <w:tcPr>
            <w:tcW w:w="1703" w:type="dxa"/>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restart"/>
            <w:tcBorders>
              <w:top w:val="single" w:color="auto" w:sz="4" w:space="0"/>
              <w:left w:val="single" w:color="auto" w:sz="4" w:space="0"/>
              <w:right w:val="single" w:color="auto" w:sz="2" w:space="0"/>
            </w:tcBorders>
            <w:vAlign w:val="center"/>
          </w:tcPr>
          <w:p>
            <w:pPr>
              <w:spacing w:line="320" w:lineRule="exact"/>
              <w:jc w:val="left"/>
              <w:rPr>
                <w:rFonts w:ascii="Times New Roman" w:hAnsi="Times New Roman" w:eastAsia="华文楷体" w:cs="Times New Roman"/>
                <w:sz w:val="24"/>
              </w:rPr>
            </w:pPr>
            <w:r>
              <w:rPr>
                <w:rFonts w:ascii="Times New Roman" w:hAnsi="华文楷体" w:eastAsia="华文楷体" w:cs="Times New Roman"/>
                <w:sz w:val="24"/>
              </w:rPr>
              <w:t>实际减持资金安排</w:t>
            </w:r>
          </w:p>
        </w:tc>
        <w:tc>
          <w:tcPr>
            <w:tcW w:w="1987" w:type="dxa"/>
            <w:gridSpan w:val="6"/>
            <w:tcBorders>
              <w:top w:val="single" w:color="auto" w:sz="4"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境外留存</w:t>
            </w:r>
          </w:p>
        </w:tc>
        <w:tc>
          <w:tcPr>
            <w:tcW w:w="1424" w:type="dxa"/>
            <w:gridSpan w:val="5"/>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restart"/>
            <w:tcBorders>
              <w:top w:val="single" w:color="auto" w:sz="2" w:space="0"/>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汇回境内</w:t>
            </w:r>
          </w:p>
        </w:tc>
        <w:tc>
          <w:tcPr>
            <w:tcW w:w="1275" w:type="dxa"/>
            <w:gridSpan w:val="5"/>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结汇</w:t>
            </w:r>
          </w:p>
        </w:tc>
        <w:tc>
          <w:tcPr>
            <w:tcW w:w="1424" w:type="dxa"/>
            <w:gridSpan w:val="5"/>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5"/>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保留现汇</w:t>
            </w:r>
          </w:p>
        </w:tc>
        <w:tc>
          <w:tcPr>
            <w:tcW w:w="1424" w:type="dxa"/>
            <w:gridSpan w:val="5"/>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bottom w:val="single" w:color="auto" w:sz="2"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bottom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bottom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5"/>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人民币</w:t>
            </w:r>
          </w:p>
        </w:tc>
        <w:tc>
          <w:tcPr>
            <w:tcW w:w="1424" w:type="dxa"/>
            <w:gridSpan w:val="5"/>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p>
        </w:tc>
        <w:tc>
          <w:tcPr>
            <w:tcW w:w="1703" w:type="dxa"/>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tcBorders>
              <w:top w:val="single" w:color="auto" w:sz="2" w:space="0"/>
            </w:tcBorders>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其他需要说明的信息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47" w:hRule="atLeast"/>
        </w:trPr>
        <w:tc>
          <w:tcPr>
            <w:tcW w:w="8897" w:type="dxa"/>
            <w:gridSpan w:val="18"/>
            <w:tcBorders>
              <w:bottom w:val="single" w:color="auto" w:sz="4" w:space="0"/>
            </w:tcBorders>
            <w:vAlign w:val="center"/>
          </w:tcPr>
          <w:p>
            <w:pPr>
              <w:spacing w:line="340" w:lineRule="exact"/>
              <w:jc w:val="center"/>
              <w:rPr>
                <w:rFonts w:ascii="Times New Roman" w:hAnsi="Times New Roman" w:eastAsia="华文楷体" w:cs="Times New Roman"/>
                <w:b/>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38" w:hRule="atLeast"/>
        </w:trPr>
        <w:tc>
          <w:tcPr>
            <w:tcW w:w="8897" w:type="dxa"/>
            <w:gridSpan w:val="18"/>
            <w:tcBorders>
              <w:top w:val="single" w:color="auto" w:sz="4" w:space="0"/>
            </w:tcBorders>
            <w:vAlign w:val="center"/>
          </w:tcPr>
          <w:p>
            <w:pPr>
              <w:spacing w:line="440" w:lineRule="exact"/>
              <w:ind w:firstLine="482" w:firstLineChars="200"/>
              <w:rPr>
                <w:rFonts w:ascii="Times New Roman" w:hAnsi="Times New Roman" w:eastAsia="华文楷体" w:cs="Times New Roman"/>
                <w:b/>
                <w:sz w:val="24"/>
              </w:rPr>
            </w:pPr>
            <w:r>
              <w:rPr>
                <w:rFonts w:ascii="Times New Roman" w:hAnsi="华文楷体" w:eastAsia="华文楷体" w:cs="Times New Roman"/>
                <w:b/>
                <w:sz w:val="24"/>
              </w:rPr>
              <w:t>本公司（本人）承诺对此登记表中由本公司（本人）填写内容的真实性负责，并承诺按照外汇管理有关规定及报经国家外汇管理部门登记确认的境外持股信息办理相关业务，接受国家外汇管理部门的监督、管理和检查。</w:t>
            </w:r>
          </w:p>
          <w:p>
            <w:pPr>
              <w:spacing w:line="440" w:lineRule="exact"/>
              <w:jc w:val="center"/>
              <w:rPr>
                <w:rFonts w:ascii="Times New Roman" w:hAnsi="Times New Roman" w:eastAsia="华文楷体" w:cs="Times New Roman"/>
                <w:b/>
                <w:sz w:val="24"/>
              </w:rPr>
            </w:pPr>
          </w:p>
          <w:p>
            <w:pPr>
              <w:spacing w:line="440" w:lineRule="exact"/>
              <w:jc w:val="center"/>
              <w:rPr>
                <w:rFonts w:ascii="Times New Roman" w:hAnsi="Times New Roman" w:eastAsia="华文楷体" w:cs="Times New Roman"/>
                <w:b/>
                <w:sz w:val="24"/>
              </w:rPr>
            </w:pPr>
            <w:r>
              <w:rPr>
                <w:rFonts w:ascii="Times New Roman" w:hAnsi="华文楷体" w:eastAsia="华文楷体" w:cs="Times New Roman"/>
                <w:b/>
                <w:sz w:val="24"/>
              </w:rPr>
              <w:t>境内股东（名称及公章</w:t>
            </w:r>
            <w:r>
              <w:rPr>
                <w:rFonts w:ascii="Times New Roman" w:hAnsi="Times New Roman" w:eastAsia="华文楷体" w:cs="Times New Roman"/>
                <w:b/>
                <w:sz w:val="24"/>
              </w:rPr>
              <w:t>/</w:t>
            </w:r>
            <w:r>
              <w:rPr>
                <w:rFonts w:ascii="Times New Roman" w:hAnsi="华文楷体" w:eastAsia="华文楷体" w:cs="Times New Roman"/>
                <w:b/>
                <w:sz w:val="24"/>
              </w:rPr>
              <w:t>签名）：</w:t>
            </w:r>
          </w:p>
          <w:p>
            <w:pPr>
              <w:spacing w:line="440" w:lineRule="exact"/>
              <w:jc w:val="center"/>
              <w:rPr>
                <w:rFonts w:ascii="Times New Roman" w:hAnsi="Times New Roman" w:eastAsia="华文楷体" w:cs="Times New Roman"/>
                <w:b/>
                <w:sz w:val="24"/>
              </w:rPr>
            </w:pPr>
            <w:r>
              <w:rPr>
                <w:rFonts w:ascii="Times New Roman" w:hAnsi="Times New Roman" w:eastAsia="华文楷体" w:cs="Times New Roman"/>
                <w:b/>
                <w:sz w:val="24"/>
              </w:rPr>
              <w:t xml:space="preserve">                                          </w:t>
            </w:r>
            <w:r>
              <w:rPr>
                <w:rFonts w:ascii="Times New Roman" w:hAnsi="华文楷体" w:eastAsia="华文楷体" w:cs="Times New Roman"/>
                <w:b/>
                <w:sz w:val="24"/>
              </w:rPr>
              <w:t>年</w:t>
            </w:r>
            <w:r>
              <w:rPr>
                <w:rFonts w:ascii="Times New Roman" w:hAnsi="Times New Roman" w:eastAsia="华文楷体" w:cs="Times New Roman"/>
                <w:b/>
                <w:sz w:val="24"/>
              </w:rPr>
              <w:t xml:space="preserve">      </w:t>
            </w:r>
            <w:r>
              <w:rPr>
                <w:rFonts w:ascii="Times New Roman" w:hAnsi="华文楷体" w:eastAsia="华文楷体" w:cs="Times New Roman"/>
                <w:b/>
                <w:sz w:val="24"/>
              </w:rPr>
              <w:t>月</w:t>
            </w:r>
            <w:r>
              <w:rPr>
                <w:rFonts w:ascii="Times New Roman" w:hAnsi="Times New Roman" w:eastAsia="华文楷体" w:cs="Times New Roman"/>
                <w:b/>
                <w:sz w:val="24"/>
              </w:rPr>
              <w:t xml:space="preserve">      </w:t>
            </w:r>
            <w:r>
              <w:rPr>
                <w:rFonts w:ascii="Times New Roman" w:hAnsi="华文楷体" w:eastAsia="华文楷体" w:cs="Times New Roman"/>
                <w:b/>
                <w:sz w:val="24"/>
              </w:rPr>
              <w:t>日</w:t>
            </w:r>
          </w:p>
        </w:tc>
      </w:tr>
    </w:tbl>
    <w:p>
      <w:pPr>
        <w:rPr>
          <w:rFonts w:ascii="Times New Roman" w:hAnsi="Times New Roman" w:cs="Times New Roman"/>
          <w:b/>
        </w:rPr>
      </w:pPr>
      <w:r>
        <w:rPr>
          <w:rFonts w:ascii="Times New Roman" w:hAnsi="宋体" w:cs="Times New Roman"/>
          <w:b/>
        </w:rPr>
        <w:t>填表说明：</w:t>
      </w:r>
    </w:p>
    <w:p>
      <w:pPr>
        <w:rPr>
          <w:rFonts w:ascii="Times New Roman" w:hAnsi="Times New Roman" w:cs="Times New Roman"/>
          <w:b/>
        </w:rPr>
      </w:pPr>
      <w:r>
        <w:rPr>
          <w:rFonts w:ascii="Times New Roman" w:hAnsi="Times New Roman" w:cs="Times New Roman"/>
        </w:rPr>
        <w:t>1</w:t>
      </w:r>
      <w:r>
        <w:rPr>
          <w:rFonts w:ascii="Times New Roman" w:hAnsi="宋体" w:cs="Times New Roman"/>
        </w:rPr>
        <w:t>、境内股东填报本登记表，外汇局审核无误并在资本项目信息系统办理登记后，将加盖业务印章的业务登记凭证交境内股东。</w:t>
      </w:r>
    </w:p>
    <w:p>
      <w:pPr>
        <w:rPr>
          <w:rFonts w:ascii="Times New Roman" w:hAnsi="Times New Roman" w:cs="Times New Roman"/>
          <w:sz w:val="28"/>
          <w:szCs w:val="28"/>
        </w:rPr>
      </w:pPr>
      <w:r>
        <w:rPr>
          <w:rFonts w:ascii="Times New Roman" w:hAnsi="Times New Roman" w:cs="Times New Roman"/>
        </w:rPr>
        <w:t>2</w:t>
      </w:r>
      <w:r>
        <w:rPr>
          <w:rFonts w:ascii="Times New Roman" w:hAnsi="宋体" w:cs="Times New Roman"/>
        </w:rPr>
        <w:t>、若本登记表中已经外汇局登记确认的股东名称、增（减）持数量、金额、比例等重要事项发生变更，境内股东应按照变更后的内容重新填写本登记表（对变更内容进行标注），向所在地外汇局申请办理变更登记。所在地外汇局审核无误后在资本项目信息系统办理变更登记，并向境内股东出具新的加盖业务印章的业务登记凭证。</w:t>
      </w:r>
      <w:r>
        <w:rPr>
          <w:rFonts w:ascii="Times New Roman" w:hAnsi="Times New Roman" w:cs="Times New Roman"/>
          <w:sz w:val="28"/>
          <w:szCs w:val="28"/>
        </w:rPr>
        <w:br w:type="page"/>
      </w:r>
      <w:r>
        <w:rPr>
          <w:rFonts w:ascii="Times New Roman" w:hAnsi="Times New Roman" w:eastAsia="仿宋_GB2312" w:cs="Times New Roman"/>
          <w:sz w:val="30"/>
          <w:szCs w:val="30"/>
        </w:rPr>
        <w:t>附录</w:t>
      </w:r>
      <w:r>
        <w:rPr>
          <w:rFonts w:hint="eastAsia" w:ascii="Times New Roman" w:hAnsi="Times New Roman" w:eastAsia="仿宋_GB2312" w:cs="Times New Roman"/>
          <w:sz w:val="30"/>
          <w:szCs w:val="30"/>
        </w:rPr>
        <w:t>三</w:t>
      </w:r>
    </w:p>
    <w:p>
      <w:pPr>
        <w:jc w:val="center"/>
        <w:rPr>
          <w:rFonts w:ascii="Times New Roman" w:hAnsi="Times New Roman" w:eastAsia="黑体" w:cs="Times New Roman"/>
          <w:sz w:val="30"/>
          <w:szCs w:val="30"/>
          <w:highlight w:val="yellow"/>
        </w:rPr>
      </w:pPr>
      <w:r>
        <w:rPr>
          <w:rFonts w:ascii="Times New Roman" w:hAnsi="Times New Roman" w:eastAsia="黑体" w:cs="Times New Roman"/>
          <w:sz w:val="30"/>
          <w:szCs w:val="30"/>
        </w:rPr>
        <w:t>境外持股登记表（错误示例）</w:t>
      </w:r>
    </w:p>
    <w:p>
      <w:pPr>
        <w:jc w:val="left"/>
        <w:rPr>
          <w:rFonts w:ascii="Times New Roman" w:hAnsi="Times New Roman" w:eastAsia="华文楷体" w:cs="Times New Roman"/>
          <w:sz w:val="24"/>
        </w:rPr>
      </w:pPr>
      <w:r>
        <w:rPr>
          <w:rFonts w:ascii="Times New Roman" w:hAnsi="华文楷体" w:eastAsia="华文楷体" w:cs="Times New Roman"/>
          <w:sz w:val="24"/>
        </w:rPr>
        <w:t>登记类别：</w:t>
      </w:r>
      <w:r>
        <w:rPr>
          <w:rFonts w:ascii="Times New Roman" w:hAnsi="Times New Roman" w:eastAsia="华文楷体" w:cs="Times New Roman"/>
          <w:sz w:val="24"/>
        </w:rPr>
        <w:t>□</w:t>
      </w:r>
      <w:r>
        <w:rPr>
          <w:rFonts w:ascii="Times New Roman" w:hAnsi="华文楷体" w:eastAsia="华文楷体" w:cs="Times New Roman"/>
          <w:sz w:val="24"/>
        </w:rPr>
        <w:t>登记</w:t>
      </w:r>
      <w:r>
        <w:rPr>
          <w:rFonts w:ascii="Times New Roman" w:hAnsi="Times New Roman" w:eastAsia="华文楷体" w:cs="Times New Roman"/>
          <w:sz w:val="24"/>
        </w:rPr>
        <w:t xml:space="preserve">   □</w:t>
      </w:r>
      <w:r>
        <w:rPr>
          <w:rFonts w:ascii="Times New Roman" w:hAnsi="华文楷体" w:eastAsia="华文楷体" w:cs="Times New Roman"/>
          <w:sz w:val="24"/>
        </w:rPr>
        <w:t>变更登记</w:t>
      </w:r>
      <w:r>
        <w:rPr>
          <w:rFonts w:ascii="Times New Roman" w:hAnsi="Times New Roman" w:eastAsia="华文楷体" w:cs="Times New Roman"/>
          <w:sz w:val="24"/>
        </w:rPr>
        <w:t xml:space="preserve">           </w:t>
      </w:r>
      <w:r>
        <w:rPr>
          <w:rFonts w:ascii="Times New Roman" w:hAnsi="华文楷体" w:eastAsia="华文楷体" w:cs="Times New Roman"/>
          <w:sz w:val="24"/>
        </w:rPr>
        <w:t>编号（外汇局填写）：</w:t>
      </w:r>
    </w:p>
    <w:tbl>
      <w:tblPr>
        <w:tblStyle w:val="17"/>
        <w:tblW w:w="8897" w:type="dxa"/>
        <w:tblInd w:w="-62"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01"/>
        <w:gridCol w:w="283"/>
        <w:gridCol w:w="425"/>
        <w:gridCol w:w="712"/>
        <w:gridCol w:w="280"/>
        <w:gridCol w:w="273"/>
        <w:gridCol w:w="11"/>
        <w:gridCol w:w="698"/>
        <w:gridCol w:w="13"/>
        <w:gridCol w:w="156"/>
        <w:gridCol w:w="975"/>
        <w:gridCol w:w="267"/>
        <w:gridCol w:w="7"/>
        <w:gridCol w:w="19"/>
        <w:gridCol w:w="1398"/>
        <w:gridCol w:w="736"/>
        <w:gridCol w:w="140"/>
        <w:gridCol w:w="1703"/>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境外上市的境内公司（以下简称境内公司）基本信息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境内公司名称</w:t>
            </w:r>
          </w:p>
        </w:tc>
        <w:tc>
          <w:tcPr>
            <w:tcW w:w="2393" w:type="dxa"/>
            <w:gridSpan w:val="7"/>
            <w:vAlign w:val="center"/>
          </w:tcPr>
          <w:p>
            <w:pPr>
              <w:spacing w:line="340" w:lineRule="exact"/>
              <w:jc w:val="center"/>
              <w:rPr>
                <w:rFonts w:ascii="Times New Roman" w:hAnsi="Times New Roman" w:eastAsia="华文楷体" w:cs="Times New Roman"/>
                <w:sz w:val="24"/>
              </w:rPr>
            </w:pPr>
          </w:p>
        </w:tc>
        <w:tc>
          <w:tcPr>
            <w:tcW w:w="2160"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统一社会信用代码</w:t>
            </w:r>
          </w:p>
        </w:tc>
        <w:tc>
          <w:tcPr>
            <w:tcW w:w="1843" w:type="dxa"/>
            <w:gridSpan w:val="2"/>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注册地址</w:t>
            </w:r>
          </w:p>
        </w:tc>
        <w:tc>
          <w:tcPr>
            <w:tcW w:w="2393" w:type="dxa"/>
            <w:gridSpan w:val="7"/>
            <w:vAlign w:val="center"/>
          </w:tcPr>
          <w:p>
            <w:pPr>
              <w:spacing w:line="340" w:lineRule="exact"/>
              <w:jc w:val="center"/>
              <w:rPr>
                <w:rFonts w:ascii="Times New Roman" w:hAnsi="Times New Roman" w:eastAsia="华文楷体" w:cs="Times New Roman"/>
                <w:sz w:val="24"/>
              </w:rPr>
            </w:pPr>
          </w:p>
        </w:tc>
        <w:tc>
          <w:tcPr>
            <w:tcW w:w="2160"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法定代表人</w:t>
            </w:r>
          </w:p>
        </w:tc>
        <w:tc>
          <w:tcPr>
            <w:tcW w:w="1843" w:type="dxa"/>
            <w:gridSpan w:val="2"/>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上市地及证券交易所</w:t>
            </w:r>
          </w:p>
        </w:tc>
        <w:tc>
          <w:tcPr>
            <w:tcW w:w="2393" w:type="dxa"/>
            <w:gridSpan w:val="7"/>
            <w:vAlign w:val="center"/>
          </w:tcPr>
          <w:p>
            <w:pPr>
              <w:spacing w:line="340" w:lineRule="exact"/>
              <w:jc w:val="center"/>
              <w:rPr>
                <w:rFonts w:ascii="Times New Roman" w:hAnsi="Times New Roman" w:eastAsia="华文楷体" w:cs="Times New Roman"/>
                <w:sz w:val="24"/>
              </w:rPr>
            </w:pPr>
          </w:p>
        </w:tc>
        <w:tc>
          <w:tcPr>
            <w:tcW w:w="2160"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上市时间</w:t>
            </w:r>
          </w:p>
        </w:tc>
        <w:tc>
          <w:tcPr>
            <w:tcW w:w="1843" w:type="dxa"/>
            <w:gridSpan w:val="2"/>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证监会批准文号</w:t>
            </w:r>
          </w:p>
        </w:tc>
        <w:tc>
          <w:tcPr>
            <w:tcW w:w="6396" w:type="dxa"/>
            <w:gridSpan w:val="13"/>
            <w:tcBorders>
              <w:left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证券名称</w:t>
            </w:r>
          </w:p>
        </w:tc>
        <w:tc>
          <w:tcPr>
            <w:tcW w:w="2400" w:type="dxa"/>
            <w:gridSpan w:val="8"/>
            <w:tcBorders>
              <w:left w:val="single" w:color="auto" w:sz="4" w:space="0"/>
            </w:tcBorders>
            <w:vAlign w:val="center"/>
          </w:tcPr>
          <w:p>
            <w:pPr>
              <w:spacing w:line="340" w:lineRule="exact"/>
              <w:jc w:val="left"/>
              <w:rPr>
                <w:rFonts w:ascii="Times New Roman" w:hAnsi="Times New Roman" w:eastAsia="华文楷体" w:cs="Times New Roman"/>
                <w:sz w:val="24"/>
              </w:rPr>
            </w:pPr>
          </w:p>
        </w:tc>
        <w:tc>
          <w:tcPr>
            <w:tcW w:w="2153" w:type="dxa"/>
            <w:gridSpan w:val="3"/>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证券代码</w:t>
            </w:r>
          </w:p>
        </w:tc>
        <w:tc>
          <w:tcPr>
            <w:tcW w:w="1843" w:type="dxa"/>
            <w:gridSpan w:val="2"/>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tcBorders>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总股数</w:t>
            </w:r>
          </w:p>
        </w:tc>
        <w:tc>
          <w:tcPr>
            <w:tcW w:w="982" w:type="dxa"/>
            <w:gridSpan w:val="3"/>
            <w:tcBorders>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418" w:type="dxa"/>
            <w:gridSpan w:val="5"/>
            <w:tcBorders>
              <w:left w:val="single" w:color="auto" w:sz="4" w:space="0"/>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总股本金额</w:t>
            </w:r>
          </w:p>
        </w:tc>
        <w:tc>
          <w:tcPr>
            <w:tcW w:w="1417" w:type="dxa"/>
            <w:gridSpan w:val="2"/>
            <w:tcBorders>
              <w:left w:val="single" w:color="auto" w:sz="4" w:space="0"/>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736" w:type="dxa"/>
            <w:tcBorders>
              <w:left w:val="single" w:color="auto" w:sz="4" w:space="0"/>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联系人</w:t>
            </w:r>
          </w:p>
        </w:tc>
        <w:tc>
          <w:tcPr>
            <w:tcW w:w="2393" w:type="dxa"/>
            <w:gridSpan w:val="7"/>
            <w:vAlign w:val="center"/>
          </w:tcPr>
          <w:p>
            <w:pPr>
              <w:spacing w:line="340" w:lineRule="exact"/>
              <w:jc w:val="left"/>
              <w:rPr>
                <w:rFonts w:ascii="Times New Roman" w:hAnsi="Times New Roman" w:eastAsia="华文楷体" w:cs="Times New Roman"/>
                <w:sz w:val="24"/>
              </w:rPr>
            </w:pPr>
          </w:p>
        </w:tc>
        <w:tc>
          <w:tcPr>
            <w:tcW w:w="2160"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联系电话</w:t>
            </w:r>
          </w:p>
        </w:tc>
        <w:tc>
          <w:tcPr>
            <w:tcW w:w="1843" w:type="dxa"/>
            <w:gridSpan w:val="2"/>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境内股东基本信息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1084" w:type="dxa"/>
            <w:gridSpan w:val="2"/>
            <w:vMerge w:val="restart"/>
            <w:tcBorders>
              <w:right w:val="single" w:color="auto" w:sz="2" w:space="0"/>
            </w:tcBorders>
            <w:vAlign w:val="center"/>
          </w:tcPr>
          <w:p>
            <w:pPr>
              <w:spacing w:line="340" w:lineRule="exact"/>
              <w:jc w:val="left"/>
              <w:rPr>
                <w:rFonts w:ascii="Times New Roman" w:hAnsi="Times New Roman" w:eastAsia="华文楷体" w:cs="Times New Roman"/>
                <w:szCs w:val="21"/>
              </w:rPr>
            </w:pPr>
            <w:r>
              <w:rPr>
                <w:rFonts w:ascii="Times New Roman" w:hAnsi="华文楷体" w:eastAsia="华文楷体" w:cs="Times New Roman"/>
                <w:szCs w:val="21"/>
              </w:rPr>
              <w:t>（机构股东填写）</w:t>
            </w:r>
          </w:p>
        </w:tc>
        <w:tc>
          <w:tcPr>
            <w:tcW w:w="1701" w:type="dxa"/>
            <w:gridSpan w:val="5"/>
            <w:tcBorders>
              <w:lef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股东名称</w:t>
            </w:r>
          </w:p>
        </w:tc>
        <w:tc>
          <w:tcPr>
            <w:tcW w:w="1842" w:type="dxa"/>
            <w:gridSpan w:val="4"/>
            <w:vAlign w:val="center"/>
          </w:tcPr>
          <w:p>
            <w:pPr>
              <w:spacing w:line="340" w:lineRule="exact"/>
              <w:jc w:val="left"/>
              <w:rPr>
                <w:rFonts w:ascii="Times New Roman" w:hAnsi="Times New Roman" w:eastAsia="华文楷体" w:cs="Times New Roman"/>
                <w:sz w:val="24"/>
              </w:rPr>
            </w:pPr>
          </w:p>
        </w:tc>
        <w:tc>
          <w:tcPr>
            <w:tcW w:w="2427"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统一社会信用代码</w:t>
            </w:r>
          </w:p>
        </w:tc>
        <w:tc>
          <w:tcPr>
            <w:tcW w:w="1843" w:type="dxa"/>
            <w:gridSpan w:val="2"/>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1084" w:type="dxa"/>
            <w:gridSpan w:val="2"/>
            <w:vMerge w:val="continue"/>
            <w:tcBorders>
              <w:right w:val="single" w:color="auto" w:sz="2" w:space="0"/>
            </w:tcBorders>
            <w:vAlign w:val="center"/>
          </w:tcPr>
          <w:p>
            <w:pPr>
              <w:spacing w:line="340" w:lineRule="exact"/>
              <w:jc w:val="left"/>
              <w:rPr>
                <w:rFonts w:ascii="Times New Roman" w:hAnsi="Times New Roman" w:eastAsia="华文楷体" w:cs="Times New Roman"/>
                <w:sz w:val="24"/>
              </w:rPr>
            </w:pPr>
          </w:p>
        </w:tc>
        <w:tc>
          <w:tcPr>
            <w:tcW w:w="1701" w:type="dxa"/>
            <w:gridSpan w:val="5"/>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注册地址</w:t>
            </w:r>
          </w:p>
        </w:tc>
        <w:tc>
          <w:tcPr>
            <w:tcW w:w="1842" w:type="dxa"/>
            <w:gridSpan w:val="4"/>
            <w:tcBorders>
              <w:left w:val="single" w:color="auto" w:sz="2" w:space="0"/>
            </w:tcBorders>
            <w:vAlign w:val="center"/>
          </w:tcPr>
          <w:p>
            <w:pPr>
              <w:spacing w:line="340" w:lineRule="exact"/>
              <w:jc w:val="left"/>
              <w:rPr>
                <w:rFonts w:ascii="Times New Roman" w:hAnsi="Times New Roman" w:eastAsia="华文楷体" w:cs="Times New Roman"/>
                <w:sz w:val="24"/>
              </w:rPr>
            </w:pPr>
          </w:p>
        </w:tc>
        <w:tc>
          <w:tcPr>
            <w:tcW w:w="2427"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法定代表人</w:t>
            </w:r>
          </w:p>
        </w:tc>
        <w:tc>
          <w:tcPr>
            <w:tcW w:w="1843" w:type="dxa"/>
            <w:gridSpan w:val="2"/>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1084" w:type="dxa"/>
            <w:gridSpan w:val="2"/>
            <w:vMerge w:val="restart"/>
            <w:tcBorders>
              <w:right w:val="single" w:color="auto" w:sz="2" w:space="0"/>
            </w:tcBorders>
            <w:vAlign w:val="center"/>
          </w:tcPr>
          <w:p>
            <w:pPr>
              <w:spacing w:line="340" w:lineRule="exact"/>
              <w:jc w:val="left"/>
              <w:rPr>
                <w:rFonts w:ascii="Times New Roman" w:hAnsi="Times New Roman" w:eastAsia="华文楷体" w:cs="Times New Roman"/>
                <w:szCs w:val="21"/>
              </w:rPr>
            </w:pPr>
            <w:r>
              <w:rPr>
                <w:rFonts w:ascii="Times New Roman" w:hAnsi="华文楷体" w:eastAsia="华文楷体" w:cs="Times New Roman"/>
                <w:szCs w:val="21"/>
              </w:rPr>
              <w:t>（个人股东填写）</w:t>
            </w:r>
          </w:p>
        </w:tc>
        <w:tc>
          <w:tcPr>
            <w:tcW w:w="1701" w:type="dxa"/>
            <w:gridSpan w:val="5"/>
            <w:tcBorders>
              <w:lef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股东姓名</w:t>
            </w:r>
          </w:p>
        </w:tc>
        <w:tc>
          <w:tcPr>
            <w:tcW w:w="1842" w:type="dxa"/>
            <w:gridSpan w:val="4"/>
            <w:vAlign w:val="center"/>
          </w:tcPr>
          <w:p>
            <w:pPr>
              <w:spacing w:line="340" w:lineRule="exact"/>
              <w:jc w:val="left"/>
              <w:rPr>
                <w:rFonts w:ascii="Times New Roman" w:hAnsi="Times New Roman" w:eastAsia="华文楷体" w:cs="Times New Roman"/>
                <w:sz w:val="24"/>
              </w:rPr>
            </w:pPr>
          </w:p>
        </w:tc>
        <w:tc>
          <w:tcPr>
            <w:tcW w:w="2427"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身份证件类型</w:t>
            </w:r>
          </w:p>
        </w:tc>
        <w:tc>
          <w:tcPr>
            <w:tcW w:w="1843" w:type="dxa"/>
            <w:gridSpan w:val="2"/>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1084" w:type="dxa"/>
            <w:gridSpan w:val="2"/>
            <w:vMerge w:val="continue"/>
            <w:tcBorders>
              <w:right w:val="single" w:color="auto" w:sz="2" w:space="0"/>
            </w:tcBorders>
            <w:vAlign w:val="center"/>
          </w:tcPr>
          <w:p>
            <w:pPr>
              <w:spacing w:line="340" w:lineRule="exact"/>
              <w:jc w:val="left"/>
              <w:rPr>
                <w:rFonts w:ascii="Times New Roman" w:hAnsi="Times New Roman" w:eastAsia="华文楷体" w:cs="Times New Roman"/>
                <w:sz w:val="24"/>
              </w:rPr>
            </w:pPr>
          </w:p>
        </w:tc>
        <w:tc>
          <w:tcPr>
            <w:tcW w:w="1701" w:type="dxa"/>
            <w:gridSpan w:val="5"/>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身份证件号码</w:t>
            </w:r>
          </w:p>
        </w:tc>
        <w:tc>
          <w:tcPr>
            <w:tcW w:w="6112" w:type="dxa"/>
            <w:gridSpan w:val="11"/>
            <w:tcBorders>
              <w:left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785" w:type="dxa"/>
            <w:gridSpan w:val="7"/>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当前持股股数</w:t>
            </w:r>
          </w:p>
        </w:tc>
        <w:tc>
          <w:tcPr>
            <w:tcW w:w="1842" w:type="dxa"/>
            <w:gridSpan w:val="4"/>
            <w:vAlign w:val="center"/>
          </w:tcPr>
          <w:p>
            <w:pPr>
              <w:spacing w:line="340" w:lineRule="exact"/>
              <w:jc w:val="left"/>
              <w:rPr>
                <w:rFonts w:ascii="Times New Roman" w:hAnsi="Times New Roman" w:eastAsia="华文楷体" w:cs="Times New Roman"/>
                <w:sz w:val="24"/>
              </w:rPr>
            </w:pPr>
          </w:p>
        </w:tc>
        <w:tc>
          <w:tcPr>
            <w:tcW w:w="2427"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当前持股比例</w:t>
            </w:r>
          </w:p>
        </w:tc>
        <w:tc>
          <w:tcPr>
            <w:tcW w:w="1843" w:type="dxa"/>
            <w:gridSpan w:val="2"/>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b/>
                <w:sz w:val="24"/>
              </w:rPr>
              <w:t>增持信息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w:t>
            </w:r>
          </w:p>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计划</w:t>
            </w:r>
          </w:p>
        </w:tc>
        <w:tc>
          <w:tcPr>
            <w:tcW w:w="1973" w:type="dxa"/>
            <w:gridSpan w:val="5"/>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增持证券种类</w:t>
            </w:r>
          </w:p>
        </w:tc>
        <w:tc>
          <w:tcPr>
            <w:tcW w:w="2146" w:type="dxa"/>
            <w:gridSpan w:val="8"/>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增持数量</w:t>
            </w:r>
          </w:p>
        </w:tc>
        <w:tc>
          <w:tcPr>
            <w:tcW w:w="1843" w:type="dxa"/>
            <w:gridSpan w:val="2"/>
            <w:tcBorders>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1973" w:type="dxa"/>
            <w:gridSpan w:val="5"/>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增持金额</w:t>
            </w:r>
          </w:p>
        </w:tc>
        <w:tc>
          <w:tcPr>
            <w:tcW w:w="2146" w:type="dxa"/>
            <w:gridSpan w:val="8"/>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增持后持股比例</w:t>
            </w:r>
          </w:p>
        </w:tc>
        <w:tc>
          <w:tcPr>
            <w:tcW w:w="1843" w:type="dxa"/>
            <w:gridSpan w:val="2"/>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restart"/>
            <w:tcBorders>
              <w:top w:val="single" w:color="auto" w:sz="4" w:space="0"/>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计划使用金额</w:t>
            </w:r>
          </w:p>
        </w:tc>
        <w:tc>
          <w:tcPr>
            <w:tcW w:w="2143" w:type="dxa"/>
            <w:gridSpan w:val="7"/>
            <w:tcBorders>
              <w:top w:val="single" w:color="auto" w:sz="4"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境外解决</w:t>
            </w:r>
          </w:p>
        </w:tc>
        <w:tc>
          <w:tcPr>
            <w:tcW w:w="1268"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restart"/>
            <w:tcBorders>
              <w:top w:val="single" w:color="auto" w:sz="2" w:space="0"/>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境内汇出</w:t>
            </w:r>
          </w:p>
        </w:tc>
        <w:tc>
          <w:tcPr>
            <w:tcW w:w="1431" w:type="dxa"/>
            <w:gridSpan w:val="6"/>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购汇</w:t>
            </w:r>
          </w:p>
        </w:tc>
        <w:tc>
          <w:tcPr>
            <w:tcW w:w="1268" w:type="dxa"/>
            <w:gridSpan w:val="4"/>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431" w:type="dxa"/>
            <w:gridSpan w:val="6"/>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自有外汇</w:t>
            </w:r>
          </w:p>
        </w:tc>
        <w:tc>
          <w:tcPr>
            <w:tcW w:w="1268"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431" w:type="dxa"/>
            <w:gridSpan w:val="6"/>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人民币</w:t>
            </w:r>
          </w:p>
        </w:tc>
        <w:tc>
          <w:tcPr>
            <w:tcW w:w="1268"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p>
        </w:tc>
        <w:tc>
          <w:tcPr>
            <w:tcW w:w="1843"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397" w:hRule="exact"/>
        </w:trPr>
        <w:tc>
          <w:tcPr>
            <w:tcW w:w="801" w:type="dxa"/>
            <w:vMerge w:val="restart"/>
            <w:tcBorders>
              <w:right w:val="single" w:color="auto" w:sz="4" w:space="0"/>
            </w:tcBorders>
            <w:vAlign w:val="center"/>
          </w:tcPr>
          <w:p>
            <w:pPr>
              <w:spacing w:line="300" w:lineRule="exact"/>
              <w:jc w:val="left"/>
              <w:rPr>
                <w:rFonts w:ascii="Times New Roman" w:hAnsi="Times New Roman" w:eastAsia="华文楷体" w:cs="Times New Roman"/>
                <w:sz w:val="24"/>
              </w:rPr>
            </w:pPr>
            <w:r>
              <w:rPr>
                <w:rFonts w:ascii="Times New Roman" w:hAnsi="华文楷体" w:eastAsia="华文楷体" w:cs="Times New Roman"/>
                <w:sz w:val="24"/>
              </w:rPr>
              <w:t>境外持股专用账户信息</w:t>
            </w:r>
          </w:p>
        </w:tc>
        <w:tc>
          <w:tcPr>
            <w:tcW w:w="4119" w:type="dxa"/>
            <w:gridSpan w:val="13"/>
            <w:tcBorders>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开户银行</w:t>
            </w:r>
          </w:p>
        </w:tc>
        <w:tc>
          <w:tcPr>
            <w:tcW w:w="3977" w:type="dxa"/>
            <w:gridSpan w:val="4"/>
            <w:tcBorders>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账号</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397" w:hRule="exac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4119" w:type="dxa"/>
            <w:gridSpan w:val="13"/>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3977" w:type="dxa"/>
            <w:gridSpan w:val="4"/>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397" w:hRule="exac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4119" w:type="dxa"/>
            <w:gridSpan w:val="13"/>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3977" w:type="dxa"/>
            <w:gridSpan w:val="4"/>
            <w:tcBorders>
              <w:top w:val="single" w:color="auto" w:sz="4" w:space="0"/>
              <w:left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397" w:hRule="exac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4119" w:type="dxa"/>
            <w:gridSpan w:val="13"/>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3977" w:type="dxa"/>
            <w:gridSpan w:val="4"/>
            <w:tcBorders>
              <w:top w:val="single" w:color="auto" w:sz="4" w:space="0"/>
              <w:left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w:t>
            </w:r>
          </w:p>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完成情况</w:t>
            </w:r>
          </w:p>
        </w:tc>
        <w:tc>
          <w:tcPr>
            <w:tcW w:w="1973" w:type="dxa"/>
            <w:gridSpan w:val="5"/>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增持证券种类</w:t>
            </w:r>
          </w:p>
        </w:tc>
        <w:tc>
          <w:tcPr>
            <w:tcW w:w="2146" w:type="dxa"/>
            <w:gridSpan w:val="8"/>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增持数量</w:t>
            </w:r>
          </w:p>
        </w:tc>
        <w:tc>
          <w:tcPr>
            <w:tcW w:w="1843" w:type="dxa"/>
            <w:gridSpan w:val="2"/>
            <w:tcBorders>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1973" w:type="dxa"/>
            <w:gridSpan w:val="5"/>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增持金额</w:t>
            </w:r>
          </w:p>
        </w:tc>
        <w:tc>
          <w:tcPr>
            <w:tcW w:w="2146" w:type="dxa"/>
            <w:gridSpan w:val="8"/>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增持后持股比例</w:t>
            </w:r>
          </w:p>
        </w:tc>
        <w:tc>
          <w:tcPr>
            <w:tcW w:w="1843" w:type="dxa"/>
            <w:gridSpan w:val="2"/>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restart"/>
            <w:tcBorders>
              <w:top w:val="single" w:color="auto" w:sz="4" w:space="0"/>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实际使用金额</w:t>
            </w:r>
          </w:p>
        </w:tc>
        <w:tc>
          <w:tcPr>
            <w:tcW w:w="2143" w:type="dxa"/>
            <w:gridSpan w:val="7"/>
            <w:tcBorders>
              <w:top w:val="single" w:color="auto" w:sz="4"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境外解决</w:t>
            </w:r>
          </w:p>
        </w:tc>
        <w:tc>
          <w:tcPr>
            <w:tcW w:w="1268"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restart"/>
            <w:tcBorders>
              <w:top w:val="single" w:color="auto" w:sz="2" w:space="0"/>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境内汇出</w:t>
            </w:r>
          </w:p>
        </w:tc>
        <w:tc>
          <w:tcPr>
            <w:tcW w:w="1431" w:type="dxa"/>
            <w:gridSpan w:val="6"/>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购汇</w:t>
            </w:r>
          </w:p>
        </w:tc>
        <w:tc>
          <w:tcPr>
            <w:tcW w:w="1268" w:type="dxa"/>
            <w:gridSpan w:val="4"/>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431" w:type="dxa"/>
            <w:gridSpan w:val="6"/>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自有外汇</w:t>
            </w:r>
          </w:p>
        </w:tc>
        <w:tc>
          <w:tcPr>
            <w:tcW w:w="1268"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431" w:type="dxa"/>
            <w:gridSpan w:val="6"/>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人民币</w:t>
            </w:r>
          </w:p>
        </w:tc>
        <w:tc>
          <w:tcPr>
            <w:tcW w:w="1268"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p>
        </w:tc>
        <w:tc>
          <w:tcPr>
            <w:tcW w:w="1843"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420" w:type="dxa"/>
            <w:gridSpan w:val="3"/>
            <w:vMerge w:val="restart"/>
            <w:tcBorders>
              <w:top w:val="single" w:color="auto" w:sz="4" w:space="0"/>
              <w:lef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增持剩余资金调回</w:t>
            </w:r>
          </w:p>
        </w:tc>
        <w:tc>
          <w:tcPr>
            <w:tcW w:w="1431" w:type="dxa"/>
            <w:gridSpan w:val="6"/>
            <w:vMerge w:val="restart"/>
            <w:tcBorders>
              <w:top w:val="single" w:color="auto" w:sz="4" w:space="0"/>
              <w:lef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调回资金</w:t>
            </w:r>
          </w:p>
        </w:tc>
        <w:tc>
          <w:tcPr>
            <w:tcW w:w="1268"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4" w:space="0"/>
              <w:bottom w:val="single" w:color="auto" w:sz="2"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420" w:type="dxa"/>
            <w:gridSpan w:val="3"/>
            <w:vMerge w:val="continue"/>
            <w:tcBorders>
              <w:left w:val="single" w:color="auto" w:sz="4" w:space="0"/>
            </w:tcBorders>
            <w:vAlign w:val="center"/>
          </w:tcPr>
          <w:p>
            <w:pPr>
              <w:spacing w:line="340" w:lineRule="exact"/>
              <w:jc w:val="left"/>
              <w:rPr>
                <w:rFonts w:ascii="Times New Roman" w:hAnsi="Times New Roman" w:eastAsia="华文楷体" w:cs="Times New Roman"/>
                <w:sz w:val="24"/>
              </w:rPr>
            </w:pPr>
          </w:p>
        </w:tc>
        <w:tc>
          <w:tcPr>
            <w:tcW w:w="1431" w:type="dxa"/>
            <w:gridSpan w:val="6"/>
            <w:vMerge w:val="continue"/>
            <w:tcBorders>
              <w:left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1268"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4" w:space="0"/>
              <w:bottom w:val="single" w:color="auto" w:sz="2"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bottom w:val="single" w:color="auto" w:sz="2"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420" w:type="dxa"/>
            <w:gridSpan w:val="3"/>
            <w:vMerge w:val="continue"/>
            <w:tcBorders>
              <w:left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1431" w:type="dxa"/>
            <w:gridSpan w:val="6"/>
            <w:tcBorders>
              <w:top w:val="single" w:color="auto" w:sz="4" w:space="0"/>
              <w:left w:val="single" w:color="auto" w:sz="4" w:space="0"/>
              <w:bottom w:val="single" w:color="auto" w:sz="2" w:space="0"/>
            </w:tcBorders>
            <w:vAlign w:val="center"/>
          </w:tcPr>
          <w:p>
            <w:pPr>
              <w:spacing w:line="280" w:lineRule="exact"/>
              <w:jc w:val="left"/>
              <w:rPr>
                <w:rFonts w:ascii="Times New Roman" w:hAnsi="Times New Roman" w:eastAsia="华文楷体" w:cs="Times New Roman"/>
                <w:sz w:val="24"/>
              </w:rPr>
            </w:pPr>
            <w:r>
              <w:rPr>
                <w:rFonts w:ascii="Times New Roman" w:hAnsi="华文楷体" w:eastAsia="华文楷体" w:cs="Times New Roman"/>
                <w:sz w:val="24"/>
              </w:rPr>
              <w:t>折美元合计</w:t>
            </w:r>
          </w:p>
        </w:tc>
        <w:tc>
          <w:tcPr>
            <w:tcW w:w="1268"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1843" w:type="dxa"/>
            <w:gridSpan w:val="2"/>
            <w:tcBorders>
              <w:top w:val="single" w:color="auto" w:sz="4" w:space="0"/>
              <w:bottom w:val="single" w:color="auto" w:sz="2"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tcBorders>
              <w:top w:val="single" w:color="auto" w:sz="2"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b/>
                <w:sz w:val="24"/>
              </w:rPr>
              <w:t>减持信息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w:t>
            </w:r>
          </w:p>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mc:AlternateContent>
                <mc:Choice Requires="wps">
                  <w:drawing>
                    <wp:anchor distT="0" distB="0" distL="114300" distR="114300" simplePos="0" relativeHeight="251660288" behindDoc="0" locked="0" layoutInCell="1" allowOverlap="1">
                      <wp:simplePos x="0" y="0"/>
                      <wp:positionH relativeFrom="column">
                        <wp:posOffset>-840105</wp:posOffset>
                      </wp:positionH>
                      <wp:positionV relativeFrom="paragraph">
                        <wp:posOffset>267970</wp:posOffset>
                      </wp:positionV>
                      <wp:extent cx="752475" cy="1162050"/>
                      <wp:effectExtent l="4445" t="4445" r="5080" b="14605"/>
                      <wp:wrapNone/>
                      <wp:docPr id="192" name="矩形 192"/>
                      <wp:cNvGraphicFramePr/>
                      <a:graphic xmlns:a="http://schemas.openxmlformats.org/drawingml/2006/main">
                        <a:graphicData uri="http://schemas.microsoft.com/office/word/2010/wordprocessingShape">
                          <wps:wsp>
                            <wps:cNvSpPr>
                              <a:spLocks noChangeArrowheads="1"/>
                            </wps:cNvSpPr>
                            <wps:spPr bwMode="auto">
                              <a:xfrm>
                                <a:off x="0" y="0"/>
                                <a:ext cx="752475" cy="1162050"/>
                              </a:xfrm>
                              <a:prstGeom prst="rect">
                                <a:avLst/>
                              </a:prstGeom>
                              <a:solidFill>
                                <a:srgbClr val="FFFFFF"/>
                              </a:solidFill>
                              <a:ln w="9525">
                                <a:solidFill>
                                  <a:srgbClr val="C00000"/>
                                </a:solidFill>
                                <a:miter lim="800000"/>
                              </a:ln>
                              <a:effectLst/>
                            </wps:spPr>
                            <wps:txbx>
                              <w:txbxContent>
                                <w:p>
                                  <w:r>
                                    <w:rPr>
                                      <w:rFonts w:hint="eastAsia"/>
                                    </w:rPr>
                                    <w:t>此处填写金额不能为空</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66.15pt;margin-top:21.1pt;height:91.5pt;width:59.25pt;z-index:251660288;mso-width-relative:page;mso-height-relative:page;" fillcolor="#FFFFFF" filled="t" stroked="t" coordsize="21600,21600" o:gfxdata="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C&#10;wLJL1wAAAAsBAAAPAAAAAAAAAAEAIAAAACIAAABkcnMvZG93bnJldi54bWxQSwECFAAUAAAACACH&#10;TuJAvX0PxCUCAAA+BAAADgAAAAAAAAABACAAAAAmAQAAZHJzL2Uyb0RvYy54bWxQSwUGAAAAAAYA&#10;BgBZAQAAvQUAAAAA&#10;">
                      <v:fill on="t" focussize="0,0"/>
                      <v:stroke color="#C00000" miterlimit="8" joinstyle="miter"/>
                      <v:imagedata o:title=""/>
                      <o:lock v:ext="edit" aspectratio="f"/>
                      <v:textbox>
                        <w:txbxContent>
                          <w:p>
                            <w:r>
                              <w:rPr>
                                <w:rFonts w:hint="eastAsia"/>
                              </w:rPr>
                              <w:t>此处填写金额不能为空</w:t>
                            </w:r>
                          </w:p>
                        </w:txbxContent>
                      </v:textbox>
                    </v:rect>
                  </w:pict>
                </mc:Fallback>
              </mc:AlternateContent>
            </w:r>
            <w:r>
              <w:rPr>
                <w:rFonts w:ascii="Times New Roman" w:hAnsi="Times New Roman" w:eastAsia="华文楷体" w:cs="Times New Roman"/>
                <w:sz w:val="24"/>
              </w:rPr>
              <mc:AlternateContent>
                <mc:Choice Requires="wps">
                  <w:drawing>
                    <wp:anchor distT="0" distB="0" distL="114300" distR="114300" simplePos="0" relativeHeight="251661312" behindDoc="0" locked="0" layoutInCell="1" allowOverlap="1">
                      <wp:simplePos x="0" y="0"/>
                      <wp:positionH relativeFrom="column">
                        <wp:posOffset>-90170</wp:posOffset>
                      </wp:positionH>
                      <wp:positionV relativeFrom="paragraph">
                        <wp:posOffset>890270</wp:posOffset>
                      </wp:positionV>
                      <wp:extent cx="812165" cy="62865"/>
                      <wp:effectExtent l="0" t="6350" r="6985" b="45085"/>
                      <wp:wrapNone/>
                      <wp:docPr id="191" name="直接箭头连接符 191"/>
                      <wp:cNvGraphicFramePr/>
                      <a:graphic xmlns:a="http://schemas.openxmlformats.org/drawingml/2006/main">
                        <a:graphicData uri="http://schemas.microsoft.com/office/word/2010/wordprocessingShape">
                          <wps:wsp>
                            <wps:cNvCnPr>
                              <a:cxnSpLocks noChangeShapeType="1"/>
                            </wps:cNvCnPr>
                            <wps:spPr bwMode="auto">
                              <a:xfrm flipH="1">
                                <a:off x="0" y="0"/>
                                <a:ext cx="812165" cy="62865"/>
                              </a:xfrm>
                              <a:prstGeom prst="straightConnector1">
                                <a:avLst/>
                              </a:prstGeom>
                              <a:noFill/>
                              <a:ln w="12700">
                                <a:solidFill>
                                  <a:srgbClr val="C00000"/>
                                </a:solidFill>
                                <a:round/>
                                <a:tailEnd type="triangle" w="med" len="med"/>
                              </a:ln>
                              <a:effectLst/>
                            </wps:spPr>
                            <wps:bodyPr/>
                          </wps:wsp>
                        </a:graphicData>
                      </a:graphic>
                    </wp:anchor>
                  </w:drawing>
                </mc:Choice>
                <mc:Fallback>
                  <w:pict>
                    <v:shape id="_x0000_s1026" o:spid="_x0000_s1026" o:spt="32" type="#_x0000_t32" style="position:absolute;left:0pt;flip:x;margin-left:-7.1pt;margin-top:70.1pt;height:4.95pt;width:63.95pt;z-index:251661312;mso-width-relative:page;mso-height-relative:page;" filled="f" stroked="t" coordsize="21600,21600" o:gfxdata="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WuXK/dgAAAALAQAADwAAAAAAAAABACAAAAAiAAAAZHJz&#10;L2Rvd25yZXYueG1sUEsBAhQAFAAAAAgAh07iQGpp89AEAgAAvgMAAA4AAAAAAAAAAQAgAAAAJwEA&#10;AGRycy9lMm9Eb2MueG1sUEsFBgAAAAAGAAYAWQEAAJ0FAAAAAA==&#10;">
                      <v:fill on="f" focussize="0,0"/>
                      <v:stroke weight="1pt" color="#C00000" joinstyle="round" endarrow="block"/>
                      <v:imagedata o:title=""/>
                      <o:lock v:ext="edit" aspectratio="f"/>
                    </v:shape>
                  </w:pict>
                </mc:Fallback>
              </mc:AlternateContent>
            </w:r>
            <w:r>
              <w:rPr>
                <w:rFonts w:ascii="Times New Roman" w:hAnsi="华文楷体" w:eastAsia="华文楷体" w:cs="Times New Roman"/>
                <w:sz w:val="24"/>
              </w:rPr>
              <w:t>计划</w:t>
            </w:r>
          </w:p>
        </w:tc>
        <w:tc>
          <w:tcPr>
            <w:tcW w:w="1973" w:type="dxa"/>
            <w:gridSpan w:val="5"/>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减持证券种类</w:t>
            </w:r>
          </w:p>
        </w:tc>
        <w:tc>
          <w:tcPr>
            <w:tcW w:w="2146" w:type="dxa"/>
            <w:gridSpan w:val="8"/>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减持数量</w:t>
            </w:r>
          </w:p>
        </w:tc>
        <w:tc>
          <w:tcPr>
            <w:tcW w:w="1703" w:type="dxa"/>
            <w:tcBorders>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1973" w:type="dxa"/>
            <w:gridSpan w:val="5"/>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减持金额</w:t>
            </w:r>
          </w:p>
        </w:tc>
        <w:tc>
          <w:tcPr>
            <w:tcW w:w="2146" w:type="dxa"/>
            <w:gridSpan w:val="8"/>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减持后持股比例</w:t>
            </w:r>
          </w:p>
        </w:tc>
        <w:tc>
          <w:tcPr>
            <w:tcW w:w="1703" w:type="dxa"/>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restart"/>
            <w:tcBorders>
              <w:top w:val="single" w:color="auto" w:sz="4" w:space="0"/>
              <w:left w:val="single" w:color="auto" w:sz="4" w:space="0"/>
              <w:right w:val="single" w:color="auto" w:sz="2" w:space="0"/>
            </w:tcBorders>
            <w:vAlign w:val="center"/>
          </w:tcPr>
          <w:p>
            <w:pPr>
              <w:spacing w:line="320" w:lineRule="exact"/>
              <w:jc w:val="left"/>
              <w:rPr>
                <w:rFonts w:ascii="Times New Roman" w:hAnsi="Times New Roman" w:eastAsia="华文楷体" w:cs="Times New Roman"/>
                <w:sz w:val="24"/>
              </w:rPr>
            </w:pPr>
            <w:r>
              <w:rPr>
                <w:rFonts w:ascii="Times New Roman" w:hAnsi="Times New Roman" w:eastAsia="华文楷体" w:cs="Times New Roman"/>
                <w:sz w:val="24"/>
              </w:rPr>
              <mc:AlternateContent>
                <mc:Choice Requires="wps">
                  <w:drawing>
                    <wp:anchor distT="0" distB="0" distL="114300" distR="114300" simplePos="0" relativeHeight="251659264" behindDoc="0" locked="0" layoutInCell="1" allowOverlap="1">
                      <wp:simplePos x="0" y="0"/>
                      <wp:positionH relativeFrom="column">
                        <wp:posOffset>219075</wp:posOffset>
                      </wp:positionH>
                      <wp:positionV relativeFrom="paragraph">
                        <wp:posOffset>341630</wp:posOffset>
                      </wp:positionV>
                      <wp:extent cx="790575" cy="457200"/>
                      <wp:effectExtent l="9525" t="9525" r="19050" b="9525"/>
                      <wp:wrapNone/>
                      <wp:docPr id="190" name="椭圆 190"/>
                      <wp:cNvGraphicFramePr/>
                      <a:graphic xmlns:a="http://schemas.openxmlformats.org/drawingml/2006/main">
                        <a:graphicData uri="http://schemas.microsoft.com/office/word/2010/wordprocessingShape">
                          <wps:wsp>
                            <wps:cNvSpPr>
                              <a:spLocks noChangeArrowheads="1"/>
                            </wps:cNvSpPr>
                            <wps:spPr bwMode="auto">
                              <a:xfrm>
                                <a:off x="0" y="0"/>
                                <a:ext cx="790575" cy="457200"/>
                              </a:xfrm>
                              <a:prstGeom prst="ellipse">
                                <a:avLst/>
                              </a:prstGeom>
                              <a:noFill/>
                              <a:ln w="19050">
                                <a:solidFill>
                                  <a:srgbClr val="C00000"/>
                                </a:solidFill>
                                <a:round/>
                              </a:ln>
                              <a:effectLst/>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7.25pt;margin-top:26.9pt;height:36pt;width:62.25pt;z-index:251659264;mso-width-relative:page;mso-height-relative:page;" filled="f" stroked="t" coordsize="21600,21600" o:gfxdata="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AhuU+HXAAAACQEAAA8AAAAAAAAA&#10;AQAgAAAAIgAAAGRycy9kb3ducmV2LnhtbFBLAQIUABQAAAAIAIdO4kBvFcdsEgIAAAAEAAAOAAAA&#10;AAAAAAEAIAAAACYBAABkcnMvZTJvRG9jLnhtbFBLBQYAAAAABgAGAFkBAACqBQAAAAA=&#10;">
                      <v:fill on="f" focussize="0,0"/>
                      <v:stroke weight="1.5pt" color="#C00000" joinstyle="round"/>
                      <v:imagedata o:title=""/>
                      <o:lock v:ext="edit" aspectratio="f"/>
                    </v:shape>
                  </w:pict>
                </mc:Fallback>
              </mc:AlternateContent>
            </w:r>
            <w:r>
              <w:rPr>
                <w:rFonts w:ascii="Times New Roman" w:hAnsi="华文楷体" w:eastAsia="华文楷体" w:cs="Times New Roman"/>
                <w:sz w:val="24"/>
              </w:rPr>
              <w:t>计划减持资金安排</w:t>
            </w:r>
          </w:p>
        </w:tc>
        <w:tc>
          <w:tcPr>
            <w:tcW w:w="1987" w:type="dxa"/>
            <w:gridSpan w:val="6"/>
            <w:tcBorders>
              <w:top w:val="single" w:color="auto" w:sz="4"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境外留存</w:t>
            </w:r>
          </w:p>
        </w:tc>
        <w:tc>
          <w:tcPr>
            <w:tcW w:w="1424" w:type="dxa"/>
            <w:gridSpan w:val="5"/>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restart"/>
            <w:tcBorders>
              <w:top w:val="single" w:color="auto" w:sz="2" w:space="0"/>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汇回境内</w:t>
            </w:r>
          </w:p>
        </w:tc>
        <w:tc>
          <w:tcPr>
            <w:tcW w:w="1275" w:type="dxa"/>
            <w:gridSpan w:val="5"/>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结汇</w:t>
            </w:r>
          </w:p>
        </w:tc>
        <w:tc>
          <w:tcPr>
            <w:tcW w:w="1424" w:type="dxa"/>
            <w:gridSpan w:val="5"/>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5"/>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保留现汇</w:t>
            </w:r>
          </w:p>
        </w:tc>
        <w:tc>
          <w:tcPr>
            <w:tcW w:w="1424" w:type="dxa"/>
            <w:gridSpan w:val="5"/>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5"/>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人民币</w:t>
            </w:r>
          </w:p>
        </w:tc>
        <w:tc>
          <w:tcPr>
            <w:tcW w:w="1424" w:type="dxa"/>
            <w:gridSpan w:val="5"/>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p>
        </w:tc>
        <w:tc>
          <w:tcPr>
            <w:tcW w:w="1703" w:type="dxa"/>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w:t>
            </w:r>
          </w:p>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完成情况</w:t>
            </w:r>
          </w:p>
        </w:tc>
        <w:tc>
          <w:tcPr>
            <w:tcW w:w="1973" w:type="dxa"/>
            <w:gridSpan w:val="5"/>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减持证券种类</w:t>
            </w:r>
          </w:p>
        </w:tc>
        <w:tc>
          <w:tcPr>
            <w:tcW w:w="2146" w:type="dxa"/>
            <w:gridSpan w:val="8"/>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减持数量</w:t>
            </w:r>
          </w:p>
        </w:tc>
        <w:tc>
          <w:tcPr>
            <w:tcW w:w="1703" w:type="dxa"/>
            <w:tcBorders>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1973" w:type="dxa"/>
            <w:gridSpan w:val="5"/>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减持金额</w:t>
            </w:r>
          </w:p>
        </w:tc>
        <w:tc>
          <w:tcPr>
            <w:tcW w:w="2146" w:type="dxa"/>
            <w:gridSpan w:val="8"/>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减持后持股比例</w:t>
            </w:r>
          </w:p>
        </w:tc>
        <w:tc>
          <w:tcPr>
            <w:tcW w:w="1703" w:type="dxa"/>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restart"/>
            <w:tcBorders>
              <w:top w:val="single" w:color="auto" w:sz="4" w:space="0"/>
              <w:left w:val="single" w:color="auto" w:sz="4" w:space="0"/>
              <w:right w:val="single" w:color="auto" w:sz="2" w:space="0"/>
            </w:tcBorders>
            <w:vAlign w:val="center"/>
          </w:tcPr>
          <w:p>
            <w:pPr>
              <w:spacing w:line="320" w:lineRule="exact"/>
              <w:jc w:val="left"/>
              <w:rPr>
                <w:rFonts w:ascii="Times New Roman" w:hAnsi="Times New Roman" w:eastAsia="华文楷体" w:cs="Times New Roman"/>
                <w:sz w:val="24"/>
              </w:rPr>
            </w:pPr>
            <w:r>
              <w:rPr>
                <w:rFonts w:ascii="Times New Roman" w:hAnsi="华文楷体" w:eastAsia="华文楷体" w:cs="Times New Roman"/>
                <w:sz w:val="24"/>
              </w:rPr>
              <w:t>实际减持资金安排</w:t>
            </w:r>
          </w:p>
        </w:tc>
        <w:tc>
          <w:tcPr>
            <w:tcW w:w="1987" w:type="dxa"/>
            <w:gridSpan w:val="6"/>
            <w:tcBorders>
              <w:top w:val="single" w:color="auto" w:sz="4"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境外留存</w:t>
            </w:r>
          </w:p>
        </w:tc>
        <w:tc>
          <w:tcPr>
            <w:tcW w:w="1424" w:type="dxa"/>
            <w:gridSpan w:val="5"/>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restart"/>
            <w:tcBorders>
              <w:top w:val="single" w:color="auto" w:sz="2" w:space="0"/>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汇回境内</w:t>
            </w:r>
          </w:p>
        </w:tc>
        <w:tc>
          <w:tcPr>
            <w:tcW w:w="1275" w:type="dxa"/>
            <w:gridSpan w:val="5"/>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结汇</w:t>
            </w:r>
          </w:p>
        </w:tc>
        <w:tc>
          <w:tcPr>
            <w:tcW w:w="1424" w:type="dxa"/>
            <w:gridSpan w:val="5"/>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5"/>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保留现汇</w:t>
            </w:r>
          </w:p>
        </w:tc>
        <w:tc>
          <w:tcPr>
            <w:tcW w:w="1424" w:type="dxa"/>
            <w:gridSpan w:val="5"/>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bottom w:val="single" w:color="auto" w:sz="2"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bottom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bottom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5"/>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人民币</w:t>
            </w:r>
          </w:p>
        </w:tc>
        <w:tc>
          <w:tcPr>
            <w:tcW w:w="1424" w:type="dxa"/>
            <w:gridSpan w:val="5"/>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p>
        </w:tc>
        <w:tc>
          <w:tcPr>
            <w:tcW w:w="1703" w:type="dxa"/>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tcBorders>
              <w:top w:val="single" w:color="auto" w:sz="2" w:space="0"/>
            </w:tcBorders>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其他需要说明的信息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47" w:hRule="atLeast"/>
        </w:trPr>
        <w:tc>
          <w:tcPr>
            <w:tcW w:w="8897" w:type="dxa"/>
            <w:gridSpan w:val="18"/>
            <w:tcBorders>
              <w:bottom w:val="single" w:color="auto" w:sz="4" w:space="0"/>
            </w:tcBorders>
            <w:vAlign w:val="center"/>
          </w:tcPr>
          <w:p>
            <w:pPr>
              <w:spacing w:line="340" w:lineRule="exact"/>
              <w:jc w:val="center"/>
              <w:rPr>
                <w:rFonts w:ascii="Times New Roman" w:hAnsi="Times New Roman" w:eastAsia="华文楷体" w:cs="Times New Roman"/>
                <w:b/>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38" w:hRule="atLeast"/>
        </w:trPr>
        <w:tc>
          <w:tcPr>
            <w:tcW w:w="8897" w:type="dxa"/>
            <w:gridSpan w:val="18"/>
            <w:tcBorders>
              <w:top w:val="single" w:color="auto" w:sz="4" w:space="0"/>
            </w:tcBorders>
            <w:vAlign w:val="center"/>
          </w:tcPr>
          <w:p>
            <w:pPr>
              <w:spacing w:line="440" w:lineRule="exact"/>
              <w:ind w:firstLine="482" w:firstLineChars="200"/>
              <w:rPr>
                <w:rFonts w:ascii="Times New Roman" w:hAnsi="Times New Roman" w:eastAsia="华文楷体" w:cs="Times New Roman"/>
                <w:b/>
                <w:sz w:val="24"/>
              </w:rPr>
            </w:pPr>
            <w:r>
              <w:rPr>
                <w:rFonts w:ascii="Times New Roman" w:hAnsi="华文楷体" w:eastAsia="华文楷体" w:cs="Times New Roman"/>
                <w:b/>
                <w:sz w:val="24"/>
              </w:rPr>
              <w:t>本公司（本人）承诺对此登记表中由本公司（本人）填写内容的真实性负责，并承诺按照外汇管理有关规定及报经国家外汇管理部门登记确认的境外持股信息办理相关业务，接受国家外汇管理部门的监督、管理和检查。</w:t>
            </w:r>
          </w:p>
          <w:p>
            <w:pPr>
              <w:spacing w:line="440" w:lineRule="exact"/>
              <w:jc w:val="center"/>
              <w:rPr>
                <w:rFonts w:ascii="Times New Roman" w:hAnsi="Times New Roman" w:eastAsia="华文楷体" w:cs="Times New Roman"/>
                <w:b/>
                <w:sz w:val="24"/>
              </w:rPr>
            </w:pPr>
          </w:p>
          <w:p>
            <w:pPr>
              <w:spacing w:line="440" w:lineRule="exact"/>
              <w:jc w:val="center"/>
              <w:rPr>
                <w:rFonts w:ascii="Times New Roman" w:hAnsi="Times New Roman" w:eastAsia="华文楷体" w:cs="Times New Roman"/>
                <w:b/>
                <w:sz w:val="24"/>
              </w:rPr>
            </w:pPr>
            <w:r>
              <w:rPr>
                <w:rFonts w:ascii="Times New Roman" w:hAnsi="华文楷体" w:eastAsia="华文楷体" w:cs="Times New Roman"/>
                <w:b/>
                <w:sz w:val="24"/>
              </w:rPr>
              <w:t>境内股东（名称及公章</w:t>
            </w:r>
            <w:r>
              <w:rPr>
                <w:rFonts w:ascii="Times New Roman" w:hAnsi="Times New Roman" w:eastAsia="华文楷体" w:cs="Times New Roman"/>
                <w:b/>
                <w:sz w:val="24"/>
              </w:rPr>
              <w:t>/</w:t>
            </w:r>
            <w:r>
              <w:rPr>
                <w:rFonts w:ascii="Times New Roman" w:hAnsi="华文楷体" w:eastAsia="华文楷体" w:cs="Times New Roman"/>
                <w:b/>
                <w:sz w:val="24"/>
              </w:rPr>
              <w:t>签名）：</w:t>
            </w:r>
          </w:p>
          <w:p>
            <w:pPr>
              <w:spacing w:line="440" w:lineRule="exact"/>
              <w:jc w:val="center"/>
              <w:rPr>
                <w:rFonts w:ascii="Times New Roman" w:hAnsi="Times New Roman" w:eastAsia="华文楷体" w:cs="Times New Roman"/>
                <w:b/>
                <w:sz w:val="24"/>
              </w:rPr>
            </w:pPr>
            <w:r>
              <w:rPr>
                <w:rFonts w:ascii="Times New Roman" w:hAnsi="Times New Roman" w:eastAsia="华文楷体" w:cs="Times New Roman"/>
                <w:b/>
                <w:sz w:val="24"/>
              </w:rPr>
              <w:t xml:space="preserve">                                          </w:t>
            </w:r>
            <w:r>
              <w:rPr>
                <w:rFonts w:ascii="Times New Roman" w:hAnsi="华文楷体" w:eastAsia="华文楷体" w:cs="Times New Roman"/>
                <w:b/>
                <w:sz w:val="24"/>
              </w:rPr>
              <w:t>年</w:t>
            </w:r>
            <w:r>
              <w:rPr>
                <w:rFonts w:ascii="Times New Roman" w:hAnsi="Times New Roman" w:eastAsia="华文楷体" w:cs="Times New Roman"/>
                <w:b/>
                <w:sz w:val="24"/>
              </w:rPr>
              <w:t xml:space="preserve">      </w:t>
            </w:r>
            <w:r>
              <w:rPr>
                <w:rFonts w:ascii="Times New Roman" w:hAnsi="华文楷体" w:eastAsia="华文楷体" w:cs="Times New Roman"/>
                <w:b/>
                <w:sz w:val="24"/>
              </w:rPr>
              <w:t>月</w:t>
            </w:r>
            <w:r>
              <w:rPr>
                <w:rFonts w:ascii="Times New Roman" w:hAnsi="Times New Roman" w:eastAsia="华文楷体" w:cs="Times New Roman"/>
                <w:b/>
                <w:sz w:val="24"/>
              </w:rPr>
              <w:t xml:space="preserve">      </w:t>
            </w:r>
            <w:r>
              <w:rPr>
                <w:rFonts w:ascii="Times New Roman" w:hAnsi="华文楷体" w:eastAsia="华文楷体" w:cs="Times New Roman"/>
                <w:b/>
                <w:sz w:val="24"/>
              </w:rPr>
              <w:t>日</w:t>
            </w:r>
          </w:p>
        </w:tc>
      </w:tr>
    </w:tbl>
    <w:p>
      <w:pPr>
        <w:rPr>
          <w:rFonts w:ascii="Times New Roman" w:hAnsi="Times New Roman" w:cs="Times New Roman"/>
          <w:b/>
        </w:rPr>
      </w:pPr>
      <w:r>
        <w:rPr>
          <w:rFonts w:ascii="Times New Roman" w:hAnsi="宋体" w:cs="Times New Roman"/>
          <w:b/>
        </w:rPr>
        <w:t>填表说明：</w:t>
      </w:r>
    </w:p>
    <w:p>
      <w:pPr>
        <w:rPr>
          <w:rFonts w:ascii="Times New Roman" w:hAnsi="Times New Roman" w:cs="Times New Roman"/>
          <w:b/>
        </w:rPr>
      </w:pPr>
      <w:r>
        <w:rPr>
          <w:rFonts w:ascii="Times New Roman" w:hAnsi="Times New Roman" w:cs="Times New Roman"/>
        </w:rPr>
        <w:t>1</w:t>
      </w:r>
      <w:r>
        <w:rPr>
          <w:rFonts w:ascii="Times New Roman" w:hAnsi="宋体" w:cs="Times New Roman"/>
        </w:rPr>
        <w:t>、境内股东填报本登记表，外汇局审核无误并在资本项目信息系统办理登记后，将加盖业务印章的业务登记凭证交境内股东。</w:t>
      </w:r>
    </w:p>
    <w:p>
      <w:pPr>
        <w:rPr>
          <w:rFonts w:ascii="Times New Roman" w:hAnsi="Times New Roman" w:cs="Times New Roman"/>
        </w:rPr>
      </w:pPr>
      <w:r>
        <w:rPr>
          <w:rFonts w:ascii="Times New Roman" w:hAnsi="Times New Roman" w:cs="Times New Roman"/>
        </w:rPr>
        <w:t>2</w:t>
      </w:r>
      <w:r>
        <w:rPr>
          <w:rFonts w:ascii="Times New Roman" w:hAnsi="宋体" w:cs="Times New Roman"/>
        </w:rPr>
        <w:t>、若本登记表中已经外汇局登记确认的股东名称、增（减）持数量、金额、比例等重要事项发生变更，境内股东应按照变更后的内容重新填写本登记表（对变更内容进行标注），向所在地外汇局申请办理变更登记。所在地外汇局审核无误后在资本项目信息系统办理变更登记，并向境内股东出具新的加盖业务印章的业务登记凭证。</w:t>
      </w:r>
    </w:p>
    <w:p>
      <w:pPr>
        <w:rPr>
          <w:rFonts w:ascii="Times New Roman" w:hAnsi="Times New Roman" w:cs="Times New Roman"/>
          <w:sz w:val="28"/>
          <w:szCs w:val="28"/>
        </w:rPr>
      </w:pPr>
      <w:r>
        <w:rPr>
          <w:rFonts w:ascii="Times New Roman" w:hAnsi="Times New Roman" w:cs="Times New Roman"/>
          <w:sz w:val="28"/>
          <w:szCs w:val="28"/>
        </w:rPr>
        <w:br w:type="page"/>
      </w:r>
      <w:r>
        <w:rPr>
          <w:rFonts w:ascii="Times New Roman" w:hAnsi="Times New Roman" w:eastAsia="仿宋_GB2312" w:cs="Times New Roman"/>
          <w:sz w:val="30"/>
          <w:szCs w:val="30"/>
        </w:rPr>
        <w:t>附录</w:t>
      </w:r>
      <w:r>
        <w:rPr>
          <w:rFonts w:hint="eastAsia" w:ascii="Times New Roman" w:hAnsi="Times New Roman" w:eastAsia="仿宋_GB2312" w:cs="Times New Roman"/>
          <w:sz w:val="30"/>
          <w:szCs w:val="30"/>
        </w:rPr>
        <w:t>四</w:t>
      </w:r>
    </w:p>
    <w:p>
      <w:pPr>
        <w:jc w:val="center"/>
        <w:rPr>
          <w:rFonts w:ascii="Times New Roman" w:hAnsi="Times New Roman" w:eastAsia="黑体" w:cs="Times New Roman"/>
          <w:sz w:val="30"/>
          <w:szCs w:val="30"/>
        </w:rPr>
      </w:pPr>
    </w:p>
    <w:p>
      <w:pPr>
        <w:jc w:val="center"/>
        <w:rPr>
          <w:rFonts w:ascii="Times New Roman" w:hAnsi="Times New Roman" w:eastAsia="黑体" w:cs="Times New Roman"/>
          <w:sz w:val="30"/>
          <w:szCs w:val="30"/>
        </w:rPr>
      </w:pPr>
      <w:r>
        <w:rPr>
          <w:rFonts w:ascii="Times New Roman" w:hAnsi="Times New Roman" w:eastAsia="黑体" w:cs="Times New Roman"/>
          <w:sz w:val="30"/>
          <w:szCs w:val="30"/>
        </w:rPr>
        <w:t>常见问题</w:t>
      </w:r>
    </w:p>
    <w:p>
      <w:pPr>
        <w:jc w:val="center"/>
        <w:rPr>
          <w:rFonts w:ascii="Times New Roman" w:hAnsi="Times New Roman" w:eastAsia="黑体" w:cs="Times New Roman"/>
          <w:sz w:val="30"/>
          <w:szCs w:val="30"/>
        </w:rPr>
      </w:pPr>
    </w:p>
    <w:p>
      <w:pPr>
        <w:pStyle w:val="40"/>
        <w:ind w:firstLine="600"/>
        <w:rPr>
          <w:rFonts w:ascii="Times New Roman" w:hAnsi="Times New Roman" w:eastAsia="仿宋_GB2312"/>
          <w:kern w:val="0"/>
          <w:sz w:val="30"/>
          <w:szCs w:val="30"/>
        </w:rPr>
      </w:pPr>
      <w:r>
        <w:rPr>
          <w:rFonts w:ascii="Times New Roman" w:hAnsi="Times New Roman" w:eastAsia="仿宋_GB2312"/>
          <w:kern w:val="0"/>
          <w:sz w:val="30"/>
          <w:szCs w:val="30"/>
        </w:rPr>
        <w:t xml:space="preserve">问：境外上市公司的境内股东针对其增持、减持或转让境外上市公司股份等业务，在境内银行开立什么专户，办理相关业务的资金汇兑与划转？                 </w:t>
      </w:r>
    </w:p>
    <w:p>
      <w:pPr>
        <w:pStyle w:val="40"/>
        <w:ind w:firstLine="600"/>
        <w:rPr>
          <w:rFonts w:ascii="Times New Roman" w:hAnsi="Times New Roman" w:eastAsia="仿宋_GB2312"/>
          <w:kern w:val="0"/>
          <w:sz w:val="30"/>
          <w:szCs w:val="30"/>
        </w:rPr>
      </w:pPr>
      <w:r>
        <w:rPr>
          <w:rFonts w:ascii="Times New Roman" w:hAnsi="Times New Roman" w:eastAsia="仿宋_GB2312"/>
          <w:kern w:val="0"/>
          <w:sz w:val="30"/>
          <w:szCs w:val="30"/>
        </w:rPr>
        <w:t>答：境外上市公司的境内股东应当凭境外持股业务登记凭证，针对其增持、减持或转让境外上市公司股份等业务，在境内银行开立资本项目—居民境外证券与衍生品账户（账户代码为2403），办理相关业务的资金汇兑与划转。</w:t>
      </w:r>
    </w:p>
    <w:p>
      <w:pPr>
        <w:rPr>
          <w:rFonts w:ascii="Times New Roman" w:hAnsi="Times New Roman" w:eastAsia="仿宋_GB2312" w:cs="Times New Roman"/>
          <w:kern w:val="0"/>
          <w:sz w:val="30"/>
          <w:szCs w:val="30"/>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adjustRightInd w:val="0"/>
        <w:snapToGrid w:val="0"/>
        <w:spacing w:line="360" w:lineRule="auto"/>
        <w:rPr>
          <w:rFonts w:ascii="Times New Roman" w:hAnsi="Times New Roman" w:eastAsia="华文仿宋" w:cs="Times New Roman"/>
        </w:rPr>
      </w:pP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华文楷体">
    <w:altName w:val="楷体_GB2312"/>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4</w:t>
    </w:r>
    <w:r>
      <w:rPr>
        <w:lang w:val="zh-CN"/>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31E"/>
    <w:rsid w:val="00003372"/>
    <w:rsid w:val="00022191"/>
    <w:rsid w:val="00023783"/>
    <w:rsid w:val="0003577E"/>
    <w:rsid w:val="00041960"/>
    <w:rsid w:val="00042B58"/>
    <w:rsid w:val="00054B00"/>
    <w:rsid w:val="00055270"/>
    <w:rsid w:val="0006560A"/>
    <w:rsid w:val="00072F8A"/>
    <w:rsid w:val="000750C8"/>
    <w:rsid w:val="00080630"/>
    <w:rsid w:val="00091661"/>
    <w:rsid w:val="00092D53"/>
    <w:rsid w:val="00096CBB"/>
    <w:rsid w:val="00097F7B"/>
    <w:rsid w:val="000B6901"/>
    <w:rsid w:val="000B728B"/>
    <w:rsid w:val="000C15B3"/>
    <w:rsid w:val="000C2B33"/>
    <w:rsid w:val="000D1995"/>
    <w:rsid w:val="000D6926"/>
    <w:rsid w:val="000D7478"/>
    <w:rsid w:val="000F70D4"/>
    <w:rsid w:val="0012267E"/>
    <w:rsid w:val="0012271F"/>
    <w:rsid w:val="00130519"/>
    <w:rsid w:val="00131565"/>
    <w:rsid w:val="00135BEE"/>
    <w:rsid w:val="0014667A"/>
    <w:rsid w:val="00154B58"/>
    <w:rsid w:val="00157C64"/>
    <w:rsid w:val="00157E81"/>
    <w:rsid w:val="00170126"/>
    <w:rsid w:val="00177059"/>
    <w:rsid w:val="00177D41"/>
    <w:rsid w:val="00181D3E"/>
    <w:rsid w:val="00196FAE"/>
    <w:rsid w:val="001A3E49"/>
    <w:rsid w:val="001A72AA"/>
    <w:rsid w:val="001B1E2C"/>
    <w:rsid w:val="001C44C7"/>
    <w:rsid w:val="001D65A2"/>
    <w:rsid w:val="001E1407"/>
    <w:rsid w:val="001E6F07"/>
    <w:rsid w:val="001F4BD4"/>
    <w:rsid w:val="001F7297"/>
    <w:rsid w:val="00205D07"/>
    <w:rsid w:val="00212F39"/>
    <w:rsid w:val="00217116"/>
    <w:rsid w:val="00231EED"/>
    <w:rsid w:val="00233841"/>
    <w:rsid w:val="00235F24"/>
    <w:rsid w:val="002417D2"/>
    <w:rsid w:val="00241FE8"/>
    <w:rsid w:val="0024527E"/>
    <w:rsid w:val="00252C70"/>
    <w:rsid w:val="00252EA9"/>
    <w:rsid w:val="00253F7B"/>
    <w:rsid w:val="00263B1F"/>
    <w:rsid w:val="00276F39"/>
    <w:rsid w:val="00291C17"/>
    <w:rsid w:val="0029313A"/>
    <w:rsid w:val="002B0B1C"/>
    <w:rsid w:val="002B598D"/>
    <w:rsid w:val="002B61C1"/>
    <w:rsid w:val="002E1323"/>
    <w:rsid w:val="002E4F44"/>
    <w:rsid w:val="002F3868"/>
    <w:rsid w:val="002F4243"/>
    <w:rsid w:val="00302119"/>
    <w:rsid w:val="00302E87"/>
    <w:rsid w:val="0030707B"/>
    <w:rsid w:val="00310261"/>
    <w:rsid w:val="0031289E"/>
    <w:rsid w:val="00317879"/>
    <w:rsid w:val="00343044"/>
    <w:rsid w:val="00344B01"/>
    <w:rsid w:val="003467FF"/>
    <w:rsid w:val="00353AC4"/>
    <w:rsid w:val="003616B4"/>
    <w:rsid w:val="0037314C"/>
    <w:rsid w:val="0037756E"/>
    <w:rsid w:val="003A21CD"/>
    <w:rsid w:val="003A4738"/>
    <w:rsid w:val="003A57B2"/>
    <w:rsid w:val="003C7132"/>
    <w:rsid w:val="003D77A5"/>
    <w:rsid w:val="003E627D"/>
    <w:rsid w:val="003E6BF6"/>
    <w:rsid w:val="003E6DB2"/>
    <w:rsid w:val="003F221D"/>
    <w:rsid w:val="003F3097"/>
    <w:rsid w:val="003F6BFA"/>
    <w:rsid w:val="00402AE8"/>
    <w:rsid w:val="00405FE6"/>
    <w:rsid w:val="004105BC"/>
    <w:rsid w:val="00421C27"/>
    <w:rsid w:val="004245D7"/>
    <w:rsid w:val="00426B97"/>
    <w:rsid w:val="00440A1F"/>
    <w:rsid w:val="00443603"/>
    <w:rsid w:val="00443604"/>
    <w:rsid w:val="004501EA"/>
    <w:rsid w:val="00460436"/>
    <w:rsid w:val="00460458"/>
    <w:rsid w:val="0046792D"/>
    <w:rsid w:val="004767DF"/>
    <w:rsid w:val="00493CCC"/>
    <w:rsid w:val="004A0218"/>
    <w:rsid w:val="004A7840"/>
    <w:rsid w:val="004B545A"/>
    <w:rsid w:val="004B7E80"/>
    <w:rsid w:val="004C457E"/>
    <w:rsid w:val="004C48D5"/>
    <w:rsid w:val="004C4965"/>
    <w:rsid w:val="004D03B7"/>
    <w:rsid w:val="004D1436"/>
    <w:rsid w:val="004D57AE"/>
    <w:rsid w:val="004F59B4"/>
    <w:rsid w:val="005056D4"/>
    <w:rsid w:val="00515263"/>
    <w:rsid w:val="00526B2B"/>
    <w:rsid w:val="005362B0"/>
    <w:rsid w:val="00542447"/>
    <w:rsid w:val="00557FD0"/>
    <w:rsid w:val="00564312"/>
    <w:rsid w:val="0059362C"/>
    <w:rsid w:val="005A177F"/>
    <w:rsid w:val="005A2981"/>
    <w:rsid w:val="005B55AD"/>
    <w:rsid w:val="005C5659"/>
    <w:rsid w:val="005C6937"/>
    <w:rsid w:val="005C7F02"/>
    <w:rsid w:val="005D1C27"/>
    <w:rsid w:val="005E1C0F"/>
    <w:rsid w:val="005F0A86"/>
    <w:rsid w:val="005F144A"/>
    <w:rsid w:val="005F1C00"/>
    <w:rsid w:val="005F62C1"/>
    <w:rsid w:val="0061621E"/>
    <w:rsid w:val="00630AA8"/>
    <w:rsid w:val="00630B2E"/>
    <w:rsid w:val="00643D2A"/>
    <w:rsid w:val="00664E11"/>
    <w:rsid w:val="006674AC"/>
    <w:rsid w:val="00673B30"/>
    <w:rsid w:val="00696E5D"/>
    <w:rsid w:val="006B5B86"/>
    <w:rsid w:val="006C5908"/>
    <w:rsid w:val="006C633E"/>
    <w:rsid w:val="006D2FD6"/>
    <w:rsid w:val="006D462A"/>
    <w:rsid w:val="006D734F"/>
    <w:rsid w:val="006E043F"/>
    <w:rsid w:val="006E4695"/>
    <w:rsid w:val="006E4B8B"/>
    <w:rsid w:val="006E5901"/>
    <w:rsid w:val="0071091C"/>
    <w:rsid w:val="00714961"/>
    <w:rsid w:val="007337C5"/>
    <w:rsid w:val="00744BD5"/>
    <w:rsid w:val="00745748"/>
    <w:rsid w:val="00750E36"/>
    <w:rsid w:val="00753CB0"/>
    <w:rsid w:val="00755460"/>
    <w:rsid w:val="00761FB7"/>
    <w:rsid w:val="00762107"/>
    <w:rsid w:val="00764CB9"/>
    <w:rsid w:val="00765B05"/>
    <w:rsid w:val="007815A3"/>
    <w:rsid w:val="00785F45"/>
    <w:rsid w:val="007904A0"/>
    <w:rsid w:val="007A2780"/>
    <w:rsid w:val="007A68EA"/>
    <w:rsid w:val="007B06FC"/>
    <w:rsid w:val="007B0FEF"/>
    <w:rsid w:val="007B2DB5"/>
    <w:rsid w:val="007D2C11"/>
    <w:rsid w:val="007D6171"/>
    <w:rsid w:val="007D69EA"/>
    <w:rsid w:val="007E2C7B"/>
    <w:rsid w:val="007E411B"/>
    <w:rsid w:val="007F0863"/>
    <w:rsid w:val="007F2F3B"/>
    <w:rsid w:val="00802307"/>
    <w:rsid w:val="00815491"/>
    <w:rsid w:val="0082168E"/>
    <w:rsid w:val="00821968"/>
    <w:rsid w:val="00837CA6"/>
    <w:rsid w:val="008471B6"/>
    <w:rsid w:val="00851521"/>
    <w:rsid w:val="0085686A"/>
    <w:rsid w:val="00860878"/>
    <w:rsid w:val="008731FF"/>
    <w:rsid w:val="0088294A"/>
    <w:rsid w:val="0089282A"/>
    <w:rsid w:val="008A37C7"/>
    <w:rsid w:val="008A4538"/>
    <w:rsid w:val="008A704B"/>
    <w:rsid w:val="008B08D2"/>
    <w:rsid w:val="008B4EE5"/>
    <w:rsid w:val="008B5807"/>
    <w:rsid w:val="008D5FA0"/>
    <w:rsid w:val="008E2D38"/>
    <w:rsid w:val="008F5724"/>
    <w:rsid w:val="00902633"/>
    <w:rsid w:val="009027D8"/>
    <w:rsid w:val="0090372F"/>
    <w:rsid w:val="00911E27"/>
    <w:rsid w:val="0092129A"/>
    <w:rsid w:val="00925BB2"/>
    <w:rsid w:val="00930C8C"/>
    <w:rsid w:val="0093562D"/>
    <w:rsid w:val="009360EA"/>
    <w:rsid w:val="0094694C"/>
    <w:rsid w:val="00947C57"/>
    <w:rsid w:val="00951149"/>
    <w:rsid w:val="00960EDB"/>
    <w:rsid w:val="009622DB"/>
    <w:rsid w:val="009664BC"/>
    <w:rsid w:val="009766BB"/>
    <w:rsid w:val="00980F02"/>
    <w:rsid w:val="009903F9"/>
    <w:rsid w:val="00991B77"/>
    <w:rsid w:val="0099225C"/>
    <w:rsid w:val="00997523"/>
    <w:rsid w:val="009A0C5D"/>
    <w:rsid w:val="009B69A7"/>
    <w:rsid w:val="009C4672"/>
    <w:rsid w:val="009C491B"/>
    <w:rsid w:val="009D0911"/>
    <w:rsid w:val="009D24F8"/>
    <w:rsid w:val="009D688C"/>
    <w:rsid w:val="009F7A36"/>
    <w:rsid w:val="00A00C5C"/>
    <w:rsid w:val="00A249C2"/>
    <w:rsid w:val="00A24FAB"/>
    <w:rsid w:val="00A26D7A"/>
    <w:rsid w:val="00A301E7"/>
    <w:rsid w:val="00A40838"/>
    <w:rsid w:val="00A42E69"/>
    <w:rsid w:val="00A45CA7"/>
    <w:rsid w:val="00A51415"/>
    <w:rsid w:val="00A6014E"/>
    <w:rsid w:val="00A60356"/>
    <w:rsid w:val="00A71B3E"/>
    <w:rsid w:val="00A81DF1"/>
    <w:rsid w:val="00A90EF3"/>
    <w:rsid w:val="00A95830"/>
    <w:rsid w:val="00AA7717"/>
    <w:rsid w:val="00AB131E"/>
    <w:rsid w:val="00AB142C"/>
    <w:rsid w:val="00AB644F"/>
    <w:rsid w:val="00AC3F5E"/>
    <w:rsid w:val="00AE0390"/>
    <w:rsid w:val="00AE416D"/>
    <w:rsid w:val="00AE7ACF"/>
    <w:rsid w:val="00B054BC"/>
    <w:rsid w:val="00B06409"/>
    <w:rsid w:val="00B17D66"/>
    <w:rsid w:val="00B35D3A"/>
    <w:rsid w:val="00B422F1"/>
    <w:rsid w:val="00B71531"/>
    <w:rsid w:val="00B730D9"/>
    <w:rsid w:val="00B7456C"/>
    <w:rsid w:val="00B84131"/>
    <w:rsid w:val="00B8630E"/>
    <w:rsid w:val="00B931F4"/>
    <w:rsid w:val="00B95573"/>
    <w:rsid w:val="00B96395"/>
    <w:rsid w:val="00BA2AF8"/>
    <w:rsid w:val="00BB2650"/>
    <w:rsid w:val="00BB5BDC"/>
    <w:rsid w:val="00BB7B76"/>
    <w:rsid w:val="00BD233D"/>
    <w:rsid w:val="00BD5789"/>
    <w:rsid w:val="00BF039C"/>
    <w:rsid w:val="00BF4EF0"/>
    <w:rsid w:val="00C02E44"/>
    <w:rsid w:val="00C147D2"/>
    <w:rsid w:val="00C2075F"/>
    <w:rsid w:val="00C23799"/>
    <w:rsid w:val="00C274C9"/>
    <w:rsid w:val="00C31E02"/>
    <w:rsid w:val="00C32823"/>
    <w:rsid w:val="00C34BC8"/>
    <w:rsid w:val="00C54291"/>
    <w:rsid w:val="00C65F28"/>
    <w:rsid w:val="00C672C3"/>
    <w:rsid w:val="00C712B2"/>
    <w:rsid w:val="00C97FED"/>
    <w:rsid w:val="00CA1DBB"/>
    <w:rsid w:val="00CA2622"/>
    <w:rsid w:val="00CA7F2C"/>
    <w:rsid w:val="00CA7FF8"/>
    <w:rsid w:val="00CB5DE7"/>
    <w:rsid w:val="00CC068D"/>
    <w:rsid w:val="00CC4922"/>
    <w:rsid w:val="00CD1FF6"/>
    <w:rsid w:val="00CE25C7"/>
    <w:rsid w:val="00CE3335"/>
    <w:rsid w:val="00CE4849"/>
    <w:rsid w:val="00CE5C8E"/>
    <w:rsid w:val="00CE5F49"/>
    <w:rsid w:val="00CF66C8"/>
    <w:rsid w:val="00D01626"/>
    <w:rsid w:val="00D022CC"/>
    <w:rsid w:val="00D33A4D"/>
    <w:rsid w:val="00D33F76"/>
    <w:rsid w:val="00D41F5E"/>
    <w:rsid w:val="00D43DC0"/>
    <w:rsid w:val="00D47486"/>
    <w:rsid w:val="00D54E56"/>
    <w:rsid w:val="00D634A9"/>
    <w:rsid w:val="00D6407D"/>
    <w:rsid w:val="00D67CAC"/>
    <w:rsid w:val="00D754EE"/>
    <w:rsid w:val="00D93E78"/>
    <w:rsid w:val="00D9684F"/>
    <w:rsid w:val="00DB304F"/>
    <w:rsid w:val="00DC6E91"/>
    <w:rsid w:val="00DC700C"/>
    <w:rsid w:val="00DC7514"/>
    <w:rsid w:val="00DD3845"/>
    <w:rsid w:val="00E002F1"/>
    <w:rsid w:val="00E1687A"/>
    <w:rsid w:val="00E20A2E"/>
    <w:rsid w:val="00E2573A"/>
    <w:rsid w:val="00E277DE"/>
    <w:rsid w:val="00E27EE9"/>
    <w:rsid w:val="00E3239D"/>
    <w:rsid w:val="00E3439B"/>
    <w:rsid w:val="00E42C5F"/>
    <w:rsid w:val="00E45CCF"/>
    <w:rsid w:val="00E65A1B"/>
    <w:rsid w:val="00E72F1F"/>
    <w:rsid w:val="00E83051"/>
    <w:rsid w:val="00E934AB"/>
    <w:rsid w:val="00E97B71"/>
    <w:rsid w:val="00EA06AC"/>
    <w:rsid w:val="00EA08BF"/>
    <w:rsid w:val="00EA24FB"/>
    <w:rsid w:val="00EB0A09"/>
    <w:rsid w:val="00EB3204"/>
    <w:rsid w:val="00EB50BA"/>
    <w:rsid w:val="00EC1EE6"/>
    <w:rsid w:val="00EC3D33"/>
    <w:rsid w:val="00ED302A"/>
    <w:rsid w:val="00ED3A42"/>
    <w:rsid w:val="00EE02BC"/>
    <w:rsid w:val="00EE6970"/>
    <w:rsid w:val="00EF38D0"/>
    <w:rsid w:val="00EF3DDF"/>
    <w:rsid w:val="00EF4A8C"/>
    <w:rsid w:val="00F2678C"/>
    <w:rsid w:val="00F27B38"/>
    <w:rsid w:val="00F321F0"/>
    <w:rsid w:val="00F40278"/>
    <w:rsid w:val="00F41832"/>
    <w:rsid w:val="00F41ABD"/>
    <w:rsid w:val="00F504AF"/>
    <w:rsid w:val="00F54278"/>
    <w:rsid w:val="00F56988"/>
    <w:rsid w:val="00F620FB"/>
    <w:rsid w:val="00F6571F"/>
    <w:rsid w:val="00F75451"/>
    <w:rsid w:val="00F8255C"/>
    <w:rsid w:val="00F8687E"/>
    <w:rsid w:val="00F90E20"/>
    <w:rsid w:val="00F93331"/>
    <w:rsid w:val="00F95549"/>
    <w:rsid w:val="00FA1E24"/>
    <w:rsid w:val="00FA24FB"/>
    <w:rsid w:val="00FA632B"/>
    <w:rsid w:val="00FB38EA"/>
    <w:rsid w:val="00FB5E0F"/>
    <w:rsid w:val="00FB6AFF"/>
    <w:rsid w:val="00FC4D8F"/>
    <w:rsid w:val="00FD06D3"/>
    <w:rsid w:val="00FE3157"/>
    <w:rsid w:val="00FE6865"/>
    <w:rsid w:val="00FE6993"/>
    <w:rsid w:val="458E4994"/>
    <w:rsid w:val="47BF707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29"/>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0"/>
    <w:qFormat/>
    <w:uiPriority w:val="9"/>
    <w:pPr>
      <w:ind w:right="300"/>
      <w:outlineLvl w:val="2"/>
    </w:pPr>
    <w:rPr>
      <w:rFonts w:ascii="仿宋_GB2312" w:hAnsi="Calibri" w:eastAsia="仿宋_GB2312" w:cs="Times New Roman"/>
      <w:sz w:val="30"/>
      <w:szCs w:val="30"/>
    </w:rPr>
  </w:style>
  <w:style w:type="character" w:default="1" w:styleId="13">
    <w:name w:val="Default Paragraph Font"/>
    <w:semiHidden/>
    <w:unhideWhenUsed/>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link w:val="34"/>
    <w:unhideWhenUsed/>
    <w:qFormat/>
    <w:uiPriority w:val="0"/>
    <w:rPr>
      <w:rFonts w:ascii="宋体"/>
      <w:sz w:val="18"/>
      <w:szCs w:val="18"/>
    </w:rPr>
  </w:style>
  <w:style w:type="paragraph" w:styleId="6">
    <w:name w:val="annotation text"/>
    <w:basedOn w:val="1"/>
    <w:link w:val="26"/>
    <w:unhideWhenUsed/>
    <w:qFormat/>
    <w:uiPriority w:val="99"/>
    <w:pPr>
      <w:jc w:val="left"/>
    </w:pPr>
    <w:rPr>
      <w:rFonts w:ascii="Calibri" w:hAnsi="Calibri" w:eastAsia="宋体" w:cs="Times New Roman"/>
    </w:rPr>
  </w:style>
  <w:style w:type="paragraph" w:styleId="7">
    <w:name w:val="Balloon Text"/>
    <w:basedOn w:val="1"/>
    <w:link w:val="22"/>
    <w:unhideWhenUsed/>
    <w:qFormat/>
    <w:uiPriority w:val="0"/>
    <w:rPr>
      <w:sz w:val="18"/>
      <w:szCs w:val="18"/>
    </w:rPr>
  </w:style>
  <w:style w:type="paragraph" w:styleId="8">
    <w:name w:val="footer"/>
    <w:basedOn w:val="1"/>
    <w:link w:val="20"/>
    <w:unhideWhenUsed/>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2"/>
    <w:semiHidden/>
    <w:qFormat/>
    <w:uiPriority w:val="0"/>
    <w:pPr>
      <w:snapToGrid w:val="0"/>
      <w:jc w:val="left"/>
    </w:pPr>
    <w:rPr>
      <w:rFonts w:ascii="Times New Roman" w:hAnsi="Times New Roman"/>
      <w:sz w:val="18"/>
      <w:szCs w:val="18"/>
    </w:rPr>
  </w:style>
  <w:style w:type="paragraph" w:styleId="11">
    <w:name w:val="HTML Preformatted"/>
    <w:basedOn w:val="1"/>
    <w:link w:val="23"/>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qFormat/>
    <w:uiPriority w:val="99"/>
    <w:rPr>
      <w:rFonts w:hint="default" w:ascii="ˎ̥" w:hAnsi="ˎ̥"/>
      <w:color w:val="0453CC"/>
      <w:sz w:val="20"/>
      <w:szCs w:val="20"/>
      <w:u w:val="none"/>
    </w:rPr>
  </w:style>
  <w:style w:type="character" w:styleId="15">
    <w:name w:val="annotation reference"/>
    <w:basedOn w:val="13"/>
    <w:semiHidden/>
    <w:unhideWhenUsed/>
    <w:qFormat/>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9">
    <w:name w:val="页眉 Char"/>
    <w:basedOn w:val="13"/>
    <w:link w:val="9"/>
    <w:qFormat/>
    <w:uiPriority w:val="99"/>
    <w:rPr>
      <w:sz w:val="18"/>
      <w:szCs w:val="18"/>
    </w:rPr>
  </w:style>
  <w:style w:type="character" w:customStyle="1" w:styleId="20">
    <w:name w:val="页脚 Char"/>
    <w:basedOn w:val="13"/>
    <w:link w:val="8"/>
    <w:qFormat/>
    <w:uiPriority w:val="99"/>
    <w:rPr>
      <w:sz w:val="18"/>
      <w:szCs w:val="18"/>
    </w:rPr>
  </w:style>
  <w:style w:type="paragraph" w:styleId="21">
    <w:name w:val="List Paragraph"/>
    <w:basedOn w:val="1"/>
    <w:qFormat/>
    <w:uiPriority w:val="34"/>
    <w:pPr>
      <w:ind w:firstLine="420" w:firstLineChars="200"/>
    </w:pPr>
  </w:style>
  <w:style w:type="character" w:customStyle="1" w:styleId="22">
    <w:name w:val="批注框文本 Char"/>
    <w:basedOn w:val="13"/>
    <w:link w:val="7"/>
    <w:semiHidden/>
    <w:qFormat/>
    <w:uiPriority w:val="0"/>
    <w:rPr>
      <w:sz w:val="18"/>
      <w:szCs w:val="18"/>
    </w:rPr>
  </w:style>
  <w:style w:type="character" w:customStyle="1" w:styleId="23">
    <w:name w:val="HTML 预设格式 Char"/>
    <w:basedOn w:val="13"/>
    <w:link w:val="11"/>
    <w:qFormat/>
    <w:uiPriority w:val="99"/>
    <w:rPr>
      <w:rFonts w:ascii="宋体" w:hAnsi="宋体" w:eastAsia="宋体" w:cs="宋体"/>
      <w:kern w:val="0"/>
      <w:sz w:val="24"/>
      <w:szCs w:val="24"/>
    </w:rPr>
  </w:style>
  <w:style w:type="paragraph" w:customStyle="1" w:styleId="24">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5">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26">
    <w:name w:val="批注文字 Char"/>
    <w:basedOn w:val="13"/>
    <w:link w:val="6"/>
    <w:semiHidden/>
    <w:qFormat/>
    <w:uiPriority w:val="0"/>
    <w:rPr>
      <w:rFonts w:ascii="Calibri" w:hAnsi="Calibri" w:eastAsia="宋体" w:cs="Times New Roman"/>
    </w:rPr>
  </w:style>
  <w:style w:type="paragraph" w:customStyle="1" w:styleId="27">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8">
    <w:name w:val="标题 1 Char"/>
    <w:basedOn w:val="13"/>
    <w:link w:val="2"/>
    <w:qFormat/>
    <w:uiPriority w:val="9"/>
    <w:rPr>
      <w:rFonts w:ascii="黑体" w:hAnsi="黑体" w:eastAsia="黑体" w:cs="宋体"/>
      <w:color w:val="000000"/>
      <w:kern w:val="0"/>
      <w:sz w:val="30"/>
      <w:szCs w:val="30"/>
    </w:rPr>
  </w:style>
  <w:style w:type="character" w:customStyle="1" w:styleId="29">
    <w:name w:val="标题 2 Char"/>
    <w:basedOn w:val="13"/>
    <w:link w:val="3"/>
    <w:qFormat/>
    <w:uiPriority w:val="0"/>
    <w:rPr>
      <w:rFonts w:ascii="Cambria" w:hAnsi="Cambria" w:eastAsia="宋体" w:cs="Times New Roman"/>
      <w:b/>
      <w:bCs/>
      <w:sz w:val="32"/>
      <w:szCs w:val="32"/>
    </w:rPr>
  </w:style>
  <w:style w:type="character" w:customStyle="1" w:styleId="30">
    <w:name w:val="标题 3 Char"/>
    <w:basedOn w:val="13"/>
    <w:link w:val="4"/>
    <w:qFormat/>
    <w:uiPriority w:val="9"/>
    <w:rPr>
      <w:rFonts w:ascii="仿宋_GB2312" w:hAnsi="Calibri" w:eastAsia="仿宋_GB2312" w:cs="Times New Roman"/>
      <w:sz w:val="30"/>
      <w:szCs w:val="30"/>
    </w:rPr>
  </w:style>
  <w:style w:type="character" w:customStyle="1" w:styleId="31">
    <w:name w:val="脚注文本 Char"/>
    <w:basedOn w:val="13"/>
    <w:semiHidden/>
    <w:qFormat/>
    <w:uiPriority w:val="99"/>
    <w:rPr>
      <w:kern w:val="2"/>
      <w:sz w:val="18"/>
      <w:szCs w:val="18"/>
    </w:rPr>
  </w:style>
  <w:style w:type="character" w:customStyle="1" w:styleId="32">
    <w:name w:val="脚注文本 Char1"/>
    <w:basedOn w:val="13"/>
    <w:link w:val="10"/>
    <w:semiHidden/>
    <w:qFormat/>
    <w:uiPriority w:val="0"/>
    <w:rPr>
      <w:rFonts w:ascii="Times New Roman" w:hAnsi="Times New Roman"/>
      <w:sz w:val="18"/>
      <w:szCs w:val="18"/>
    </w:rPr>
  </w:style>
  <w:style w:type="character" w:customStyle="1" w:styleId="33">
    <w:name w:val="标题 4 Char Char"/>
    <w:qFormat/>
    <w:uiPriority w:val="0"/>
    <w:rPr>
      <w:rFonts w:ascii="Calibri" w:hAnsi="Calibri"/>
      <w:b/>
      <w:bCs/>
      <w:sz w:val="28"/>
      <w:szCs w:val="28"/>
      <w:lang w:eastAsia="en-US" w:bidi="en-US"/>
    </w:rPr>
  </w:style>
  <w:style w:type="character" w:customStyle="1" w:styleId="34">
    <w:name w:val="文档结构图 Char"/>
    <w:basedOn w:val="13"/>
    <w:link w:val="5"/>
    <w:qFormat/>
    <w:uiPriority w:val="0"/>
    <w:rPr>
      <w:rFonts w:ascii="宋体"/>
      <w:sz w:val="18"/>
      <w:szCs w:val="18"/>
    </w:rPr>
  </w:style>
  <w:style w:type="character" w:customStyle="1" w:styleId="35">
    <w:name w:val="批注文字 Char1"/>
    <w:basedOn w:val="13"/>
    <w:semiHidden/>
    <w:qFormat/>
    <w:uiPriority w:val="99"/>
    <w:rPr>
      <w:kern w:val="2"/>
      <w:sz w:val="21"/>
      <w:szCs w:val="22"/>
    </w:rPr>
  </w:style>
  <w:style w:type="character" w:customStyle="1" w:styleId="36">
    <w:name w:val="Intense Emphasis"/>
    <w:basedOn w:val="13"/>
    <w:qFormat/>
    <w:uiPriority w:val="21"/>
    <w:rPr>
      <w:b/>
      <w:bCs/>
      <w:i/>
      <w:iCs/>
      <w:color w:val="4F81BD"/>
    </w:rPr>
  </w:style>
  <w:style w:type="character" w:customStyle="1" w:styleId="37">
    <w:name w:val="文档结构图 Char1"/>
    <w:basedOn w:val="13"/>
    <w:semiHidden/>
    <w:qFormat/>
    <w:uiPriority w:val="99"/>
    <w:rPr>
      <w:rFonts w:ascii="宋体" w:eastAsia="宋体"/>
      <w:sz w:val="18"/>
      <w:szCs w:val="18"/>
    </w:rPr>
  </w:style>
  <w:style w:type="character" w:customStyle="1" w:styleId="38">
    <w:name w:val="脚注文本 Char2"/>
    <w:basedOn w:val="13"/>
    <w:semiHidden/>
    <w:qFormat/>
    <w:uiPriority w:val="99"/>
    <w:rPr>
      <w:sz w:val="18"/>
      <w:szCs w:val="18"/>
    </w:rPr>
  </w:style>
  <w:style w:type="paragraph" w:customStyle="1" w:styleId="39">
    <w:name w:val="列出段落1"/>
    <w:basedOn w:val="1"/>
    <w:qFormat/>
    <w:uiPriority w:val="34"/>
    <w:pPr>
      <w:ind w:firstLine="420" w:firstLineChars="200"/>
    </w:pPr>
    <w:rPr>
      <w:rFonts w:ascii="Calibri" w:hAnsi="Calibri" w:eastAsia="宋体" w:cs="Times New Roman"/>
    </w:rPr>
  </w:style>
  <w:style w:type="paragraph" w:customStyle="1" w:styleId="40">
    <w:name w:val="列出段落4"/>
    <w:basedOn w:val="1"/>
    <w:qFormat/>
    <w:uiPriority w:val="0"/>
    <w:pPr>
      <w:ind w:firstLine="200" w:firstLineChars="200"/>
    </w:pPr>
    <w:rPr>
      <w:rFonts w:ascii="Calibri" w:hAnsi="Calibri" w:eastAsia="宋体" w:cs="Times New Roman"/>
    </w:rPr>
  </w:style>
  <w:style w:type="paragraph" w:customStyle="1" w:styleId="41">
    <w:name w:val="列出段落3"/>
    <w:basedOn w:val="1"/>
    <w:qFormat/>
    <w:uiPriority w:val="0"/>
    <w:pPr>
      <w:ind w:firstLine="420" w:firstLineChars="200"/>
    </w:pPr>
    <w:rPr>
      <w:rFonts w:ascii="Times New Roman" w:hAnsi="Times New Roman" w:eastAsia="宋体" w:cs="Times New Roman"/>
      <w:szCs w:val="24"/>
    </w:rPr>
  </w:style>
  <w:style w:type="paragraph" w:customStyle="1" w:styleId="42">
    <w:name w:val="p0"/>
    <w:basedOn w:val="1"/>
    <w:qFormat/>
    <w:uiPriority w:val="0"/>
    <w:pPr>
      <w:widowControl/>
    </w:pPr>
    <w:rPr>
      <w:rFonts w:ascii="Calibri" w:hAnsi="Calibri" w:eastAsia="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713D45-7B9F-4CA5-B373-06E9A7B8F628}">
  <ds:schemaRefs/>
</ds:datastoreItem>
</file>

<file path=docProps/app.xml><?xml version="1.0" encoding="utf-8"?>
<Properties xmlns="http://schemas.openxmlformats.org/officeDocument/2006/extended-properties" xmlns:vt="http://schemas.openxmlformats.org/officeDocument/2006/docPropsVTypes">
  <Template>Normal</Template>
  <Pages>11</Pages>
  <Words>668</Words>
  <Characters>3809</Characters>
  <Lines>31</Lines>
  <Paragraphs>8</Paragraphs>
  <TotalTime>3</TotalTime>
  <ScaleCrop>false</ScaleCrop>
  <LinksUpToDate>false</LinksUpToDate>
  <CharactersWithSpaces>4469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2020-08-25T01:23:00Z</dcterms:created>
  <dc:creator>裴建君2</dc:creator>
  <cp:lastModifiedBy>康婷</cp:lastModifiedBy>
  <cp:lastPrinted>2017-11-24T00:22:00Z</cp:lastPrinted>
  <dcterms:modified xsi:type="dcterms:W3CDTF">2021-06-23T06:34:30Z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