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Default ContentType="image/png" Extension="png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 w:val="0"/>
        <w:wordWrap/>
        <w:adjustRightInd/>
        <w:snapToGrid/>
        <w:spacing w:before="624" w:beforeLines="200" w:after="624" w:afterLines="200" w:line="360" w:lineRule="auto"/>
        <w:ind w:left="0" w:leftChars="0" w:right="0" w:firstLine="0" w:firstLineChars="0"/>
        <w:jc w:val="center"/>
        <w:textAlignment w:val="auto"/>
        <w:outlineLvl w:val="9"/>
        <w:rPr>
          <w:rFonts w:hint="eastAsia" w:ascii="黑体" w:hAnsi="黑体" w:eastAsia="黑体" w:cs="黑体"/>
          <w:b/>
          <w:bCs w:val="0"/>
          <w:sz w:val="48"/>
          <w:szCs w:val="48"/>
        </w:rPr>
      </w:pPr>
      <w:r>
        <w:rPr>
          <w:rFonts w:hint="eastAsia" w:ascii="黑体" w:hAnsi="黑体" w:eastAsia="黑体" w:cs="黑体"/>
          <w:b/>
          <w:bCs w:val="0"/>
          <w:sz w:val="48"/>
          <w:szCs w:val="48"/>
        </w:rPr>
        <w:t>国际收支网上申报</w:t>
      </w:r>
      <w:r>
        <w:rPr>
          <w:rFonts w:hint="eastAsia" w:ascii="黑体" w:hAnsi="黑体" w:eastAsia="黑体" w:cs="黑体"/>
          <w:b/>
          <w:bCs w:val="0"/>
          <w:sz w:val="48"/>
          <w:szCs w:val="48"/>
          <w:lang w:eastAsia="zh-CN"/>
        </w:rPr>
        <w:t>业务</w:t>
      </w:r>
      <w:r>
        <w:rPr>
          <w:rFonts w:hint="eastAsia" w:ascii="黑体" w:hAnsi="黑体" w:eastAsia="黑体" w:cs="黑体"/>
          <w:b/>
          <w:bCs w:val="0"/>
          <w:sz w:val="48"/>
          <w:szCs w:val="48"/>
        </w:rPr>
        <w:t>操作指引</w:t>
      </w:r>
    </w:p>
    <w:p>
      <w:pPr>
        <w:spacing w:beforeLines="0" w:afterLines="0" w:line="360" w:lineRule="auto"/>
        <w:ind w:firstLine="600" w:firstLineChars="200"/>
        <w:rPr>
          <w:rFonts w:hint="eastAsia" w:ascii="仿宋_GB2312" w:hAnsi="宋体" w:eastAsia="仿宋_GB2312"/>
          <w:sz w:val="30"/>
          <w:szCs w:val="30"/>
        </w:rPr>
      </w:pPr>
    </w:p>
    <w:p>
      <w:pPr>
        <w:spacing w:beforeLines="0" w:afterLines="0" w:line="360" w:lineRule="auto"/>
        <w:ind w:firstLine="600" w:firstLineChars="200"/>
        <w:rPr>
          <w:rFonts w:hint="eastAsia" w:ascii="仿宋_GB2312" w:hAnsi="宋体" w:eastAsia="仿宋_GB2312"/>
          <w:sz w:val="30"/>
          <w:szCs w:val="30"/>
          <w:lang w:eastAsia="zh-CN"/>
        </w:rPr>
      </w:pPr>
      <w:r>
        <w:rPr>
          <w:rFonts w:hint="eastAsia" w:ascii="仿宋_GB2312" w:hAnsi="宋体" w:eastAsia="仿宋_GB2312"/>
          <w:sz w:val="30"/>
          <w:szCs w:val="30"/>
        </w:rPr>
        <w:t>国际收支网上申报是国家外汇管理局</w:t>
      </w:r>
      <w:r>
        <w:rPr>
          <w:rFonts w:hint="eastAsia" w:ascii="仿宋_GB2312" w:hAnsi="宋体" w:eastAsia="仿宋_GB2312"/>
          <w:sz w:val="30"/>
          <w:szCs w:val="30"/>
          <w:lang w:eastAsia="zh-CN"/>
        </w:rPr>
        <w:t>为</w:t>
      </w:r>
      <w:r>
        <w:rPr>
          <w:rFonts w:hint="eastAsia" w:ascii="仿宋_GB2312" w:hAnsi="宋体" w:eastAsia="仿宋_GB2312"/>
          <w:sz w:val="30"/>
          <w:szCs w:val="30"/>
        </w:rPr>
        <w:t>促进</w:t>
      </w:r>
      <w:r>
        <w:rPr>
          <w:rFonts w:hint="eastAsia" w:ascii="仿宋_GB2312" w:hAnsi="宋体" w:eastAsia="仿宋_GB2312"/>
          <w:color w:val="auto"/>
          <w:sz w:val="30"/>
          <w:szCs w:val="30"/>
        </w:rPr>
        <w:t>申报主体自主申报</w:t>
      </w:r>
      <w:r>
        <w:rPr>
          <w:rFonts w:hint="eastAsia" w:ascii="仿宋_GB2312" w:hAnsi="宋体" w:eastAsia="仿宋_GB2312"/>
          <w:color w:val="auto"/>
          <w:sz w:val="30"/>
          <w:szCs w:val="30"/>
          <w:lang w:eastAsia="zh-CN"/>
        </w:rPr>
        <w:t>、提升外</w:t>
      </w:r>
      <w:r>
        <w:rPr>
          <w:rFonts w:hint="eastAsia" w:ascii="仿宋_GB2312" w:hAnsi="宋体" w:eastAsia="仿宋_GB2312"/>
          <w:sz w:val="30"/>
          <w:szCs w:val="30"/>
          <w:lang w:eastAsia="zh-CN"/>
        </w:rPr>
        <w:t>汇业务办理便利化而</w:t>
      </w:r>
      <w:r>
        <w:rPr>
          <w:rFonts w:hint="eastAsia" w:ascii="仿宋_GB2312" w:hAnsi="宋体" w:eastAsia="仿宋_GB2312"/>
          <w:sz w:val="30"/>
          <w:szCs w:val="30"/>
        </w:rPr>
        <w:t>推出的一种国际收支申报形式</w:t>
      </w:r>
      <w:r>
        <w:rPr>
          <w:rFonts w:hint="eastAsia" w:ascii="仿宋_GB2312" w:hAnsi="宋体" w:eastAsia="仿宋_GB2312"/>
          <w:sz w:val="30"/>
          <w:szCs w:val="30"/>
          <w:lang w:eastAsia="zh-CN"/>
        </w:rPr>
        <w:t>，企业可</w:t>
      </w:r>
      <w:r>
        <w:rPr>
          <w:rFonts w:hint="eastAsia" w:ascii="仿宋_GB2312" w:hAnsi="宋体" w:eastAsia="仿宋_GB2312"/>
          <w:sz w:val="30"/>
          <w:szCs w:val="30"/>
        </w:rPr>
        <w:t>通过</w:t>
      </w:r>
      <w:r>
        <w:rPr>
          <w:rFonts w:hint="eastAsia" w:ascii="仿宋_GB2312" w:hAnsi="宋体" w:eastAsia="仿宋_GB2312"/>
          <w:sz w:val="30"/>
          <w:szCs w:val="30"/>
          <w:lang w:eastAsia="zh-CN"/>
        </w:rPr>
        <w:t>国家外汇管理局</w:t>
      </w:r>
      <w:r>
        <w:rPr>
          <w:rFonts w:hint="eastAsia" w:ascii="仿宋_GB2312" w:hAnsi="宋体" w:eastAsia="仿宋_GB2312"/>
          <w:sz w:val="30"/>
          <w:szCs w:val="30"/>
          <w:lang w:val="en-US" w:eastAsia="zh-CN"/>
        </w:rPr>
        <w:t>数字外管平台</w:t>
      </w:r>
      <w:r>
        <w:rPr>
          <w:rFonts w:hint="eastAsia" w:ascii="仿宋_GB2312" w:hAnsi="宋体" w:eastAsia="仿宋_GB2312"/>
          <w:sz w:val="30"/>
          <w:szCs w:val="30"/>
        </w:rPr>
        <w:t>对</w:t>
      </w:r>
      <w:r>
        <w:rPr>
          <w:rFonts w:hint="eastAsia" w:ascii="仿宋_GB2312" w:hAnsi="宋体" w:eastAsia="仿宋_GB2312"/>
          <w:sz w:val="30"/>
          <w:szCs w:val="30"/>
          <w:lang w:val="en-US" w:eastAsia="zh-CN"/>
        </w:rPr>
        <w:t>涉外</w:t>
      </w:r>
      <w:r>
        <w:rPr>
          <w:rFonts w:hint="eastAsia" w:ascii="仿宋_GB2312" w:hAnsi="宋体" w:eastAsia="仿宋_GB2312"/>
          <w:sz w:val="30"/>
          <w:szCs w:val="30"/>
          <w:lang w:eastAsia="zh-CN"/>
        </w:rPr>
        <w:t>收入</w:t>
      </w:r>
      <w:r>
        <w:rPr>
          <w:rFonts w:hint="eastAsia" w:ascii="仿宋_GB2312" w:hAnsi="宋体" w:eastAsia="仿宋_GB2312"/>
          <w:sz w:val="30"/>
          <w:szCs w:val="30"/>
        </w:rPr>
        <w:t>交易进行申报</w:t>
      </w:r>
      <w:r>
        <w:rPr>
          <w:rFonts w:hint="eastAsia" w:ascii="仿宋_GB2312" w:hAnsi="宋体" w:eastAsia="仿宋_GB2312"/>
          <w:sz w:val="30"/>
          <w:szCs w:val="30"/>
          <w:lang w:eastAsia="zh-CN"/>
        </w:rPr>
        <w:t>。</w:t>
      </w:r>
    </w:p>
    <w:p>
      <w:pPr>
        <w:spacing w:beforeLines="0" w:afterLines="0" w:line="360" w:lineRule="auto"/>
        <w:ind w:firstLine="600" w:firstLineChars="200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本指引对国际收支网上申报的开通步骤、具体操作方法和注意事项做了详细的说明</w:t>
      </w:r>
      <w:r>
        <w:rPr>
          <w:rFonts w:hint="eastAsia" w:ascii="仿宋_GB2312" w:hAnsi="宋体" w:eastAsia="仿宋_GB2312"/>
          <w:sz w:val="30"/>
          <w:szCs w:val="30"/>
          <w:lang w:eastAsia="zh-CN"/>
        </w:rPr>
        <w:t>，旨在</w:t>
      </w:r>
      <w:r>
        <w:rPr>
          <w:rFonts w:hint="eastAsia" w:ascii="仿宋_GB2312" w:hAnsi="宋体" w:eastAsia="仿宋_GB2312"/>
          <w:sz w:val="30"/>
          <w:szCs w:val="30"/>
        </w:rPr>
        <w:t>帮助银行和企业正确进行国际收支网上申报</w:t>
      </w:r>
      <w:r>
        <w:rPr>
          <w:rFonts w:hint="eastAsia" w:ascii="仿宋_GB2312" w:hAnsi="宋体" w:eastAsia="仿宋_GB2312"/>
          <w:sz w:val="30"/>
          <w:szCs w:val="30"/>
          <w:lang w:eastAsia="zh-CN"/>
        </w:rPr>
        <w:t>。</w:t>
      </w:r>
    </w:p>
    <w:p>
      <w:pPr>
        <w:widowControl w:val="0"/>
        <w:wordWrap/>
        <w:adjustRightInd/>
        <w:snapToGrid/>
        <w:spacing w:before="156" w:beforeLines="50" w:after="156" w:afterLines="50" w:line="360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黑体" w:hAnsi="黑体" w:eastAsia="黑体" w:cs="黑体"/>
          <w:b/>
          <w:sz w:val="30"/>
          <w:szCs w:val="30"/>
          <w:lang w:eastAsia="zh-CN"/>
        </w:rPr>
      </w:pPr>
    </w:p>
    <w:p>
      <w:pPr>
        <w:widowControl w:val="0"/>
        <w:wordWrap/>
        <w:adjustRightInd/>
        <w:snapToGrid/>
        <w:spacing w:before="156" w:beforeLines="50" w:after="156" w:afterLines="50" w:line="360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黑体" w:hAnsi="黑体" w:eastAsia="黑体" w:cs="黑体"/>
          <w:b/>
          <w:sz w:val="30"/>
          <w:szCs w:val="30"/>
          <w:lang w:eastAsia="zh-CN"/>
        </w:rPr>
      </w:pPr>
    </w:p>
    <w:p>
      <w:pPr>
        <w:widowControl w:val="0"/>
        <w:wordWrap/>
        <w:adjustRightInd/>
        <w:snapToGrid/>
        <w:spacing w:before="156" w:beforeLines="50" w:after="156" w:afterLines="50" w:line="360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黑体" w:hAnsi="黑体" w:eastAsia="黑体" w:cs="黑体"/>
          <w:b/>
          <w:sz w:val="30"/>
          <w:szCs w:val="30"/>
          <w:lang w:eastAsia="zh-CN"/>
        </w:rPr>
      </w:pPr>
    </w:p>
    <w:p>
      <w:pPr>
        <w:widowControl w:val="0"/>
        <w:wordWrap/>
        <w:adjustRightInd/>
        <w:snapToGrid/>
        <w:spacing w:before="156" w:beforeLines="50" w:after="156" w:afterLines="50" w:line="360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黑体" w:hAnsi="黑体" w:eastAsia="黑体" w:cs="黑体"/>
          <w:b/>
          <w:sz w:val="30"/>
          <w:szCs w:val="30"/>
          <w:lang w:eastAsia="zh-CN"/>
        </w:rPr>
      </w:pPr>
    </w:p>
    <w:p>
      <w:pPr>
        <w:widowControl w:val="0"/>
        <w:wordWrap/>
        <w:adjustRightInd/>
        <w:snapToGrid/>
        <w:spacing w:before="156" w:beforeLines="50" w:after="156" w:afterLines="50" w:line="360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黑体" w:hAnsi="黑体" w:eastAsia="黑体" w:cs="黑体"/>
          <w:b/>
          <w:sz w:val="30"/>
          <w:szCs w:val="30"/>
          <w:lang w:eastAsia="zh-CN"/>
        </w:rPr>
      </w:pPr>
    </w:p>
    <w:p>
      <w:pPr>
        <w:widowControl w:val="0"/>
        <w:wordWrap/>
        <w:adjustRightInd/>
        <w:snapToGrid/>
        <w:spacing w:before="156" w:beforeLines="50" w:after="156" w:afterLines="50" w:line="360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黑体" w:hAnsi="黑体" w:eastAsia="黑体" w:cs="黑体"/>
          <w:b/>
          <w:sz w:val="30"/>
          <w:szCs w:val="30"/>
          <w:lang w:eastAsia="zh-CN"/>
        </w:rPr>
      </w:pPr>
    </w:p>
    <w:p>
      <w:pPr>
        <w:widowControl w:val="0"/>
        <w:wordWrap/>
        <w:adjustRightInd/>
        <w:snapToGrid/>
        <w:spacing w:before="156" w:beforeLines="50" w:after="156" w:afterLines="50" w:line="360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黑体" w:hAnsi="黑体" w:eastAsia="黑体" w:cs="黑体"/>
          <w:b/>
          <w:sz w:val="30"/>
          <w:szCs w:val="30"/>
          <w:lang w:val="en-US" w:eastAsia="zh-CN"/>
        </w:rPr>
      </w:pPr>
    </w:p>
    <w:p>
      <w:pPr>
        <w:widowControl w:val="0"/>
        <w:wordWrap/>
        <w:adjustRightInd/>
        <w:snapToGrid/>
        <w:spacing w:before="156" w:beforeLines="50" w:after="156" w:afterLines="50" w:line="360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b w:val="0"/>
          <w:bCs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/>
          <w:sz w:val="30"/>
          <w:szCs w:val="30"/>
          <w:lang w:val="en-US" w:eastAsia="zh-CN"/>
        </w:rPr>
        <w:t xml:space="preserve">           </w:t>
      </w:r>
      <w:r>
        <w:rPr>
          <w:rFonts w:hint="eastAsia" w:ascii="黑体" w:hAnsi="黑体" w:eastAsia="黑体" w:cs="黑体"/>
          <w:b w:val="0"/>
          <w:bCs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/>
          <w:sz w:val="30"/>
          <w:szCs w:val="30"/>
          <w:lang w:eastAsia="zh-CN"/>
        </w:rPr>
        <w:t>制作时间：</w:t>
      </w: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2020年3月</w:t>
      </w:r>
    </w:p>
    <w:p>
      <w:pPr>
        <w:widowControl w:val="0"/>
        <w:wordWrap/>
        <w:adjustRightInd/>
        <w:snapToGrid/>
        <w:spacing w:before="156" w:beforeLines="50" w:after="156" w:afterLines="50" w:line="360" w:lineRule="auto"/>
        <w:ind w:left="0" w:leftChars="0" w:right="0" w:firstLine="0" w:firstLineChars="0"/>
        <w:jc w:val="center"/>
        <w:textAlignment w:val="auto"/>
        <w:outlineLvl w:val="9"/>
        <w:rPr>
          <w:rFonts w:hint="eastAsia" w:ascii="仿宋" w:hAnsi="仿宋" w:eastAsia="仿宋" w:cs="仿宋"/>
          <w:b w:val="0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  <w:lang w:eastAsia="zh-CN"/>
        </w:rPr>
        <w:t>制作机构：国家外汇管理局福建省分局</w:t>
      </w:r>
    </w:p>
    <w:p>
      <w:pPr>
        <w:widowControl w:val="0"/>
        <w:wordWrap/>
        <w:adjustRightInd/>
        <w:snapToGrid/>
        <w:spacing w:before="156" w:beforeLines="50" w:after="156" w:afterLines="50" w:line="360" w:lineRule="auto"/>
        <w:ind w:left="0" w:leftChars="0" w:right="0" w:firstLine="0" w:firstLineChars="0"/>
        <w:jc w:val="center"/>
        <w:textAlignment w:val="auto"/>
        <w:outlineLvl w:val="9"/>
        <w:rPr>
          <w:rFonts w:hint="eastAsia" w:ascii="黑体" w:hAnsi="黑体" w:eastAsia="黑体" w:cs="黑体"/>
          <w:b/>
          <w:sz w:val="30"/>
          <w:szCs w:val="30"/>
        </w:rPr>
      </w:pPr>
      <w:r>
        <w:rPr>
          <w:rFonts w:hint="eastAsia" w:ascii="黑体" w:hAnsi="黑体" w:eastAsia="黑体" w:cs="黑体"/>
          <w:b/>
          <w:sz w:val="30"/>
          <w:szCs w:val="30"/>
        </w:rPr>
        <w:br w:type="page"/>
      </w:r>
      <w:r>
        <w:rPr>
          <w:rFonts w:hint="eastAsia" w:ascii="黑体" w:hAnsi="黑体" w:eastAsia="黑体" w:cs="黑体"/>
          <w:b/>
          <w:sz w:val="30"/>
          <w:szCs w:val="30"/>
        </w:rPr>
        <w:t>第一部分 开通国际收支网上申报的步骤</w:t>
      </w:r>
    </w:p>
    <w:p>
      <w:pPr>
        <w:spacing w:beforeLines="0" w:afterLines="0" w:line="360" w:lineRule="auto"/>
        <w:ind w:firstLine="600" w:firstLineChars="200"/>
        <w:rPr>
          <w:rFonts w:hint="eastAsia" w:ascii="仿宋_GB2312" w:hAnsi="宋体" w:eastAsia="仿宋_GB2312"/>
          <w:sz w:val="30"/>
          <w:szCs w:val="30"/>
          <w:lang w:eastAsia="zh-CN"/>
        </w:rPr>
      </w:pPr>
      <w:r>
        <w:rPr>
          <w:rFonts w:hint="eastAsia" w:ascii="仿宋_GB2312" w:hAnsi="宋体" w:eastAsia="仿宋_GB2312"/>
          <w:sz w:val="30"/>
          <w:szCs w:val="30"/>
        </w:rPr>
        <w:t>企业</w:t>
      </w:r>
      <w:r>
        <w:rPr>
          <w:rFonts w:hint="eastAsia" w:ascii="仿宋_GB2312" w:hAnsi="宋体" w:eastAsia="仿宋_GB2312"/>
          <w:sz w:val="30"/>
          <w:szCs w:val="30"/>
          <w:lang w:eastAsia="zh-CN"/>
        </w:rPr>
        <w:t>向</w:t>
      </w:r>
      <w:r>
        <w:rPr>
          <w:rFonts w:hint="eastAsia" w:ascii="仿宋_GB2312" w:hAnsi="宋体" w:eastAsia="仿宋_GB2312"/>
          <w:sz w:val="30"/>
          <w:szCs w:val="30"/>
        </w:rPr>
        <w:t>开户银行</w:t>
      </w:r>
      <w:r>
        <w:rPr>
          <w:rFonts w:hint="eastAsia" w:ascii="仿宋_GB2312" w:hAnsi="宋体" w:eastAsia="仿宋_GB2312"/>
          <w:sz w:val="30"/>
          <w:szCs w:val="30"/>
          <w:lang w:eastAsia="zh-CN"/>
        </w:rPr>
        <w:t>申请</w:t>
      </w:r>
      <w:r>
        <w:rPr>
          <w:rFonts w:hint="eastAsia" w:ascii="仿宋_GB2312" w:hAnsi="宋体" w:eastAsia="仿宋_GB2312"/>
          <w:sz w:val="30"/>
          <w:szCs w:val="30"/>
        </w:rPr>
        <w:t>→开户银行开通企业网上申报→开户银行打印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-SA"/>
        </w:rPr>
        <w:t>“国际收支网上申报用户信息”</w:t>
      </w:r>
      <w:r>
        <w:rPr>
          <w:rFonts w:hint="eastAsia" w:ascii="仿宋_GB2312" w:hAnsi="宋体" w:eastAsia="仿宋_GB2312"/>
          <w:sz w:val="30"/>
          <w:szCs w:val="30"/>
        </w:rPr>
        <w:t>→企业根据申报操作指引进行实际业务操作</w:t>
      </w:r>
      <w:r>
        <w:rPr>
          <w:rFonts w:hint="eastAsia" w:ascii="仿宋_GB2312" w:hAnsi="宋体" w:eastAsia="仿宋_GB2312"/>
          <w:sz w:val="30"/>
          <w:szCs w:val="30"/>
          <w:lang w:eastAsia="zh-CN"/>
        </w:rPr>
        <w:t>。</w:t>
      </w:r>
    </w:p>
    <w:p>
      <w:pPr>
        <w:widowControl w:val="0"/>
        <w:wordWrap/>
        <w:adjustRightInd/>
        <w:snapToGrid/>
        <w:spacing w:before="156" w:beforeLines="50" w:after="156" w:afterLines="50" w:line="360" w:lineRule="auto"/>
        <w:ind w:left="0" w:leftChars="0" w:right="0" w:firstLine="0" w:firstLineChars="0"/>
        <w:jc w:val="center"/>
        <w:textAlignment w:val="auto"/>
        <w:outlineLvl w:val="9"/>
        <w:rPr>
          <w:rFonts w:hint="eastAsia" w:ascii="黑体" w:hAnsi="黑体" w:eastAsia="黑体" w:cs="黑体"/>
          <w:b/>
          <w:sz w:val="30"/>
          <w:szCs w:val="30"/>
        </w:rPr>
      </w:pPr>
    </w:p>
    <w:p>
      <w:pPr>
        <w:widowControl w:val="0"/>
        <w:wordWrap/>
        <w:adjustRightInd/>
        <w:snapToGrid/>
        <w:spacing w:before="156" w:beforeLines="50" w:after="156" w:afterLines="50" w:line="360" w:lineRule="auto"/>
        <w:ind w:left="0" w:leftChars="0" w:right="0" w:firstLine="0" w:firstLineChars="0"/>
        <w:jc w:val="center"/>
        <w:textAlignment w:val="auto"/>
        <w:outlineLvl w:val="9"/>
        <w:rPr>
          <w:rFonts w:hint="eastAsia" w:ascii="黑体" w:hAnsi="黑体" w:eastAsia="黑体" w:cs="黑体"/>
          <w:b/>
          <w:sz w:val="30"/>
          <w:szCs w:val="30"/>
        </w:rPr>
      </w:pPr>
      <w:r>
        <w:rPr>
          <w:rFonts w:hint="eastAsia" w:ascii="黑体" w:hAnsi="黑体" w:eastAsia="黑体" w:cs="黑体"/>
          <w:b/>
          <w:sz w:val="30"/>
          <w:szCs w:val="30"/>
        </w:rPr>
        <w:t>第二部分  银行端为企业开通网上申报功能</w:t>
      </w:r>
    </w:p>
    <w:p>
      <w:pPr>
        <w:widowControl w:val="0"/>
        <w:wordWrap/>
        <w:adjustRightInd/>
        <w:snapToGrid/>
        <w:spacing w:beforeLines="0" w:afterLines="0" w:line="360" w:lineRule="auto"/>
        <w:ind w:left="0" w:leftChars="0" w:right="0" w:firstLine="60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一、</w:t>
      </w:r>
      <w:r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  <w:t>客户填写单位基本情况表</w:t>
      </w:r>
    </w:p>
    <w:p>
      <w:pPr>
        <w:widowControl w:val="0"/>
        <w:wordWrap/>
        <w:adjustRightInd/>
        <w:snapToGrid/>
        <w:spacing w:beforeLines="0" w:afterLines="0" w:line="360" w:lineRule="auto"/>
        <w:ind w:left="0" w:leftChars="0" w:right="0" w:firstLine="600" w:firstLineChars="2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客户到开户银行填写《单位基本情况表》，填写相关基本信息，其中，申报方式选择“开通网上申报”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。见下图：</w:t>
      </w:r>
    </w:p>
    <w:p>
      <w:pPr>
        <w:pStyle w:val="7"/>
        <w:spacing w:line="360" w:lineRule="auto"/>
        <w:jc w:val="center"/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hAnsi="宋体" w:eastAsia="仿宋_GB2312" w:cs="宋体"/>
          <w:kern w:val="0"/>
          <w:sz w:val="28"/>
          <w:szCs w:val="28"/>
          <w:lang w:val="en-US" w:eastAsia="zh-CN" w:bidi="ar-SA"/>
        </w:rPr>
        <w:pict>
          <v:shape id="Right Arrow 22" o:spid="_x0000_s1026" type="#_x0000_t13" style="position:absolute;left:0;margin-left:16.5pt;margin-top:281.15pt;height:14.25pt;width:36.75pt;rotation:0f;z-index:251658240;" o:ole="f" fillcolor="#FFFFFF" filled="t" o:preferrelative="t" stroked="t" coordorigin="0,0" coordsize="21600,21600" adj="16201,5400">
            <v:stroke color="#00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 w:bidi="ar-SA"/>
        </w:rPr>
        <w:pict>
          <v:shape id="Picture 1" o:spid="_x0000_s1027" alt="C:\Users\THTF\Desktop\图片1.png图片1" type="#_x0000_t75" style="height:440.1pt;width:378.7pt;rotation:0f;" o:ole="f" fillcolor="#FFFFFF" filled="f" o:preferrelative="t" stroked="f" coordorigin="0,0" coordsize="21600,21600">
            <v:fill on="f" color2="#FFFFFF" focus="0%"/>
            <v:imagedata gain="65536f" blacklevel="0f" gamma="0" o:title="图片1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beforeLines="0" w:afterLines="0" w:line="360" w:lineRule="auto"/>
        <w:ind w:left="0" w:leftChars="0" w:right="0" w:firstLine="602" w:firstLineChars="200"/>
        <w:jc w:val="both"/>
        <w:textAlignment w:val="auto"/>
        <w:outlineLvl w:val="9"/>
        <w:rPr>
          <w:rFonts w:hint="eastAsia" w:ascii="仿宋_GB2312" w:eastAsia="仿宋_GB2312"/>
          <w:b/>
          <w:bCs/>
          <w:sz w:val="30"/>
          <w:szCs w:val="30"/>
        </w:rPr>
      </w:pPr>
      <w:r>
        <w:rPr>
          <w:rFonts w:hint="eastAsia" w:ascii="仿宋_GB2312" w:eastAsia="仿宋_GB2312"/>
          <w:b/>
          <w:bCs/>
          <w:sz w:val="30"/>
          <w:szCs w:val="30"/>
        </w:rPr>
        <w:t>二、</w:t>
      </w:r>
      <w:r>
        <w:rPr>
          <w:rFonts w:hint="eastAsia" w:ascii="仿宋_GB2312" w:eastAsia="仿宋_GB2312"/>
          <w:b/>
          <w:bCs/>
          <w:sz w:val="30"/>
          <w:szCs w:val="30"/>
          <w:lang w:eastAsia="zh-CN"/>
        </w:rPr>
        <w:t>银行开通网上申报功能</w:t>
      </w:r>
    </w:p>
    <w:p>
      <w:pPr>
        <w:widowControl w:val="0"/>
        <w:wordWrap w:val="0"/>
        <w:adjustRightInd/>
        <w:snapToGrid/>
        <w:spacing w:beforeLines="0" w:afterLines="0" w:line="360" w:lineRule="auto"/>
        <w:ind w:left="0" w:leftChars="0" w:right="0" w:firstLine="600" w:firstLineChars="200"/>
        <w:jc w:val="both"/>
        <w:textAlignment w:val="auto"/>
        <w:outlineLvl w:val="9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银行经办人员登陆国家外汇管理局</w:t>
      </w:r>
      <w:r>
        <w:rPr>
          <w:rFonts w:hint="eastAsia" w:ascii="仿宋_GB2312" w:eastAsia="仿宋_GB2312"/>
          <w:sz w:val="30"/>
          <w:szCs w:val="30"/>
          <w:lang w:eastAsia="zh-CN"/>
        </w:rPr>
        <w:t>数字外管</w:t>
      </w:r>
      <w:r>
        <w:rPr>
          <w:rFonts w:hint="eastAsia" w:ascii="仿宋_GB2312" w:eastAsia="仿宋_GB2312"/>
          <w:sz w:val="30"/>
          <w:szCs w:val="30"/>
        </w:rPr>
        <w:t>平台（http://asone.safe/asone），</w:t>
      </w:r>
      <w:r>
        <w:rPr>
          <w:rFonts w:hint="eastAsia" w:ascii="仿宋_GB2312" w:eastAsia="仿宋_GB2312"/>
          <w:sz w:val="30"/>
          <w:szCs w:val="30"/>
          <w:lang w:eastAsia="zh-CN"/>
        </w:rPr>
        <w:t>在“业务办理</w:t>
      </w:r>
      <w:r>
        <w:rPr>
          <w:rFonts w:hint="eastAsia" w:ascii="仿宋_GB2312" w:eastAsia="仿宋_GB2312"/>
          <w:sz w:val="30"/>
          <w:szCs w:val="30"/>
        </w:rPr>
        <w:t>---</w:t>
      </w:r>
      <w:r>
        <w:rPr>
          <w:rFonts w:hint="eastAsia" w:ascii="仿宋_GB2312" w:eastAsia="仿宋_GB2312"/>
          <w:sz w:val="30"/>
          <w:szCs w:val="30"/>
          <w:lang w:eastAsia="zh-CN"/>
        </w:rPr>
        <w:t>国际收支</w:t>
      </w:r>
      <w:r>
        <w:rPr>
          <w:rFonts w:hint="eastAsia" w:ascii="仿宋_GB2312" w:eastAsia="仿宋_GB2312"/>
          <w:sz w:val="30"/>
          <w:szCs w:val="30"/>
        </w:rPr>
        <w:t>网上申报管理---企业网上申报管理</w:t>
      </w:r>
      <w:r>
        <w:rPr>
          <w:rFonts w:hint="eastAsia" w:ascii="仿宋_GB2312" w:eastAsia="仿宋_GB2312"/>
          <w:sz w:val="30"/>
          <w:szCs w:val="30"/>
          <w:lang w:eastAsia="zh-CN"/>
        </w:rPr>
        <w:t>”模块</w:t>
      </w:r>
      <w:r>
        <w:rPr>
          <w:rFonts w:hint="eastAsia" w:ascii="仿宋_GB2312" w:eastAsia="仿宋_GB2312"/>
          <w:sz w:val="30"/>
          <w:szCs w:val="30"/>
        </w:rPr>
        <w:t>，输入企业组织</w:t>
      </w:r>
      <w:r>
        <w:rPr>
          <w:rFonts w:hint="eastAsia" w:ascii="仿宋_GB2312" w:eastAsia="仿宋_GB2312"/>
          <w:sz w:val="30"/>
          <w:szCs w:val="30"/>
          <w:lang w:eastAsia="zh-CN"/>
        </w:rPr>
        <w:t>机构</w:t>
      </w:r>
      <w:r>
        <w:rPr>
          <w:rFonts w:hint="eastAsia" w:ascii="仿宋_GB2312" w:eastAsia="仿宋_GB2312"/>
          <w:sz w:val="30"/>
          <w:szCs w:val="30"/>
        </w:rPr>
        <w:t>代码，点击查询，在“开通/关闭网上申报”栏选择</w:t>
      </w:r>
      <w:r>
        <w:rPr>
          <w:rFonts w:hint="eastAsia" w:ascii="仿宋_GB2312" w:eastAsia="仿宋_GB2312"/>
          <w:sz w:val="30"/>
          <w:szCs w:val="30"/>
          <w:lang w:eastAsia="zh-CN"/>
        </w:rPr>
        <w:t>“</w:t>
      </w:r>
      <w:r>
        <w:rPr>
          <w:rFonts w:hint="eastAsia" w:ascii="仿宋_GB2312" w:eastAsia="仿宋_GB2312"/>
          <w:sz w:val="30"/>
          <w:szCs w:val="30"/>
        </w:rPr>
        <w:t>开通</w:t>
      </w:r>
      <w:r>
        <w:rPr>
          <w:rFonts w:hint="eastAsia" w:ascii="仿宋_GB2312" w:eastAsia="仿宋_GB2312"/>
          <w:sz w:val="30"/>
          <w:szCs w:val="30"/>
          <w:lang w:eastAsia="zh-CN"/>
        </w:rPr>
        <w:t>”</w:t>
      </w:r>
      <w:r>
        <w:rPr>
          <w:rFonts w:hint="eastAsia" w:ascii="仿宋_GB2312" w:eastAsia="仿宋_GB2312"/>
          <w:sz w:val="30"/>
          <w:szCs w:val="30"/>
        </w:rPr>
        <w:t xml:space="preserve">，点击“确认”， </w:t>
      </w:r>
      <w:r>
        <w:rPr>
          <w:rFonts w:hint="eastAsia" w:ascii="仿宋_GB2312" w:eastAsia="仿宋_GB2312"/>
          <w:sz w:val="30"/>
          <w:szCs w:val="30"/>
          <w:lang w:eastAsia="zh-CN"/>
        </w:rPr>
        <w:t>再</w:t>
      </w:r>
      <w:r>
        <w:rPr>
          <w:rFonts w:hint="eastAsia" w:ascii="仿宋_GB2312" w:eastAsia="仿宋_GB2312"/>
          <w:sz w:val="30"/>
          <w:szCs w:val="30"/>
        </w:rPr>
        <w:t>点击“打印初始密码”，打印出“国际收支网上申报用户信息”，将打印件交给客户</w:t>
      </w:r>
      <w:r>
        <w:rPr>
          <w:rFonts w:hint="eastAsia" w:ascii="仿宋_GB2312" w:eastAsia="仿宋_GB2312"/>
          <w:sz w:val="30"/>
          <w:szCs w:val="30"/>
          <w:lang w:eastAsia="zh-CN"/>
        </w:rPr>
        <w:t>。见</w:t>
      </w:r>
      <w:r>
        <w:rPr>
          <w:rFonts w:hint="eastAsia" w:ascii="仿宋_GB2312" w:eastAsia="仿宋_GB2312"/>
          <w:sz w:val="30"/>
          <w:szCs w:val="30"/>
        </w:rPr>
        <w:t>下图</w:t>
      </w:r>
      <w:r>
        <w:rPr>
          <w:rFonts w:hint="eastAsia" w:ascii="仿宋_GB2312" w:eastAsia="仿宋_GB2312"/>
          <w:sz w:val="30"/>
          <w:szCs w:val="30"/>
          <w:lang w:eastAsia="zh-CN"/>
        </w:rPr>
        <w:t>：</w:t>
      </w:r>
    </w:p>
    <w:p>
      <w:pPr>
        <w:spacing w:line="360" w:lineRule="auto"/>
        <w:jc w:val="center"/>
        <w:rPr>
          <w:rFonts w:ascii="仿宋_GB2312" w:hAnsi="Calibri" w:eastAsia="仿宋_GB2312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Calibri" w:eastAsia="仿宋_GB2312" w:cs="Times New Roman"/>
          <w:kern w:val="2"/>
          <w:sz w:val="28"/>
          <w:szCs w:val="28"/>
          <w:lang w:val="en-US" w:eastAsia="zh-CN" w:bidi="ar-SA"/>
        </w:rPr>
        <w:pict>
          <v:shape id="Picture 5" o:spid="_x0000_s1028" type="#_x0000_t75" style="height:304.65pt;width:450.6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_GB2312" w:eastAsia="仿宋_GB2312"/>
          <w:sz w:val="28"/>
          <w:szCs w:val="28"/>
        </w:rPr>
        <w:t xml:space="preserve"> </w:t>
      </w:r>
      <w:r>
        <w:rPr>
          <w:rFonts w:ascii="仿宋_GB2312" w:hAnsi="Calibri" w:eastAsia="仿宋_GB2312" w:cs="Times New Roman"/>
          <w:kern w:val="2"/>
          <w:sz w:val="28"/>
          <w:szCs w:val="28"/>
          <w:lang w:val="en-US" w:eastAsia="zh-CN" w:bidi="ar-SA"/>
        </w:rPr>
        <w:pict>
          <v:shape id="Picture 23" o:spid="_x0000_s1029" type="#_x0000_t75" style="height:326.35pt;width:446.7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hAnsi="宋体" w:eastAsia="仿宋_GB2312" w:cs="Arial"/>
          <w:kern w:val="0"/>
          <w:sz w:val="28"/>
          <w:szCs w:val="28"/>
          <w:lang w:val="en-US" w:eastAsia="zh-CN" w:bidi="ar-SA"/>
        </w:rPr>
        <w:pict>
          <v:shape id="Picture 7" o:spid="_x0000_s1030" type="#_x0000_t75" style="height:78.3pt;width:415.25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beforeLines="0" w:afterLines="0" w:line="360" w:lineRule="auto"/>
        <w:ind w:firstLine="602" w:firstLineChars="200"/>
        <w:rPr>
          <w:rFonts w:ascii="仿宋_GB2312" w:eastAsia="仿宋_GB2312"/>
          <w:b/>
          <w:bCs/>
          <w:sz w:val="30"/>
          <w:szCs w:val="30"/>
        </w:rPr>
      </w:pPr>
      <w:r>
        <w:rPr>
          <w:rFonts w:hint="eastAsia" w:ascii="仿宋_GB2312" w:eastAsia="仿宋_GB2312"/>
          <w:b/>
          <w:bCs/>
          <w:sz w:val="30"/>
          <w:szCs w:val="30"/>
        </w:rPr>
        <w:t>三、银行应告知客户的几个重要注意事项</w:t>
      </w:r>
    </w:p>
    <w:p>
      <w:pPr>
        <w:spacing w:beforeLines="0" w:afterLines="0" w:line="360" w:lineRule="auto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1．客户自办理开通国际收支网上申报</w:t>
      </w:r>
      <w:r>
        <w:rPr>
          <w:rFonts w:hint="eastAsia" w:ascii="仿宋_GB2312" w:eastAsia="仿宋_GB2312"/>
          <w:b/>
          <w:bCs/>
          <w:sz w:val="30"/>
          <w:szCs w:val="30"/>
        </w:rPr>
        <w:t>次日</w:t>
      </w:r>
      <w:r>
        <w:rPr>
          <w:rFonts w:hint="eastAsia" w:ascii="仿宋_GB2312" w:eastAsia="仿宋_GB2312"/>
          <w:b/>
          <w:bCs/>
          <w:sz w:val="30"/>
          <w:szCs w:val="30"/>
          <w:lang w:eastAsia="zh-CN"/>
        </w:rPr>
        <w:t>（含）</w:t>
      </w:r>
      <w:r>
        <w:rPr>
          <w:rFonts w:hint="eastAsia" w:ascii="仿宋_GB2312" w:eastAsia="仿宋_GB2312"/>
          <w:b/>
          <w:bCs/>
          <w:sz w:val="30"/>
          <w:szCs w:val="30"/>
        </w:rPr>
        <w:t>起</w:t>
      </w:r>
      <w:r>
        <w:rPr>
          <w:rFonts w:hint="eastAsia" w:ascii="仿宋_GB2312" w:eastAsia="仿宋_GB2312"/>
          <w:sz w:val="30"/>
          <w:szCs w:val="30"/>
        </w:rPr>
        <w:t>发生的业务，才可以通过</w:t>
      </w:r>
      <w:r>
        <w:rPr>
          <w:rFonts w:hint="eastAsia" w:ascii="仿宋_GB2312" w:eastAsia="仿宋_GB2312"/>
          <w:sz w:val="30"/>
          <w:szCs w:val="30"/>
          <w:lang w:eastAsia="zh-CN"/>
        </w:rPr>
        <w:t>办理国际收支网上</w:t>
      </w:r>
      <w:r>
        <w:rPr>
          <w:rFonts w:hint="eastAsia" w:ascii="仿宋_GB2312" w:eastAsia="仿宋_GB2312"/>
          <w:sz w:val="30"/>
          <w:szCs w:val="30"/>
        </w:rPr>
        <w:t>申报，</w:t>
      </w:r>
      <w:r>
        <w:rPr>
          <w:rFonts w:hint="eastAsia" w:ascii="仿宋_GB2312" w:eastAsia="仿宋_GB2312"/>
          <w:b/>
          <w:bCs/>
          <w:sz w:val="30"/>
          <w:szCs w:val="30"/>
        </w:rPr>
        <w:t>当日</w:t>
      </w:r>
      <w:r>
        <w:rPr>
          <w:rFonts w:hint="eastAsia" w:ascii="仿宋_GB2312" w:eastAsia="仿宋_GB2312"/>
          <w:b/>
          <w:bCs/>
          <w:sz w:val="30"/>
          <w:szCs w:val="30"/>
          <w:lang w:eastAsia="zh-CN"/>
        </w:rPr>
        <w:t>及以前</w:t>
      </w:r>
      <w:r>
        <w:rPr>
          <w:rFonts w:hint="eastAsia" w:ascii="仿宋_GB2312" w:eastAsia="仿宋_GB2312"/>
          <w:sz w:val="30"/>
          <w:szCs w:val="30"/>
        </w:rPr>
        <w:t>发生的业务</w:t>
      </w:r>
      <w:r>
        <w:rPr>
          <w:rFonts w:hint="eastAsia" w:ascii="仿宋_GB2312" w:eastAsia="仿宋_GB2312"/>
          <w:b/>
          <w:bCs/>
          <w:sz w:val="30"/>
          <w:szCs w:val="30"/>
        </w:rPr>
        <w:t>依然使用纸质申报。</w:t>
      </w:r>
    </w:p>
    <w:p>
      <w:pPr>
        <w:spacing w:beforeLines="0" w:afterLines="0" w:line="360" w:lineRule="auto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2．客户如不再进行国际收支网上申报的，需要到银行办理国际收支网上申报关闭手续。</w:t>
      </w:r>
    </w:p>
    <w:p>
      <w:pPr>
        <w:spacing w:beforeLines="0" w:afterLines="0" w:line="360" w:lineRule="auto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3．如客户曾经开通国家外汇管理局</w:t>
      </w:r>
      <w:r>
        <w:rPr>
          <w:rFonts w:hint="eastAsia" w:ascii="仿宋_GB2312" w:eastAsia="仿宋_GB2312"/>
          <w:sz w:val="30"/>
          <w:szCs w:val="30"/>
          <w:lang w:eastAsia="zh-CN"/>
        </w:rPr>
        <w:t>数字外管</w:t>
      </w:r>
      <w:r>
        <w:rPr>
          <w:rFonts w:hint="eastAsia" w:ascii="仿宋_GB2312" w:eastAsia="仿宋_GB2312"/>
          <w:sz w:val="30"/>
          <w:szCs w:val="30"/>
        </w:rPr>
        <w:t>平台上的网上业务（如</w:t>
      </w:r>
      <w:r>
        <w:rPr>
          <w:rFonts w:hint="eastAsia" w:ascii="仿宋_GB2312" w:eastAsia="仿宋_GB2312"/>
          <w:sz w:val="30"/>
          <w:szCs w:val="30"/>
          <w:lang w:eastAsia="zh-CN"/>
        </w:rPr>
        <w:t>货物贸易外汇</w:t>
      </w:r>
      <w:r>
        <w:rPr>
          <w:rFonts w:hint="eastAsia" w:ascii="仿宋_GB2312" w:eastAsia="仿宋_GB2312"/>
          <w:sz w:val="30"/>
          <w:szCs w:val="30"/>
        </w:rPr>
        <w:t>业务），并且修改过</w:t>
      </w:r>
      <w:r>
        <w:rPr>
          <w:rFonts w:hint="eastAsia" w:ascii="仿宋_GB2312" w:eastAsia="仿宋_GB2312"/>
          <w:sz w:val="30"/>
          <w:szCs w:val="30"/>
          <w:lang w:eastAsia="zh-CN"/>
        </w:rPr>
        <w:t>管理员（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ba</w:t>
      </w:r>
      <w:r>
        <w:rPr>
          <w:rFonts w:hint="eastAsia" w:ascii="仿宋_GB2312" w:eastAsia="仿宋_GB2312"/>
          <w:sz w:val="30"/>
          <w:szCs w:val="30"/>
          <w:lang w:eastAsia="zh-CN"/>
        </w:rPr>
        <w:t>）</w:t>
      </w:r>
      <w:r>
        <w:rPr>
          <w:rFonts w:hint="eastAsia" w:ascii="仿宋_GB2312" w:eastAsia="仿宋_GB2312"/>
          <w:sz w:val="30"/>
          <w:szCs w:val="30"/>
        </w:rPr>
        <w:t>登陆密码，则应使用修改过的密码进行登陆。</w:t>
      </w:r>
    </w:p>
    <w:p>
      <w:pPr>
        <w:widowControl w:val="0"/>
        <w:wordWrap w:val="0"/>
        <w:adjustRightInd/>
        <w:snapToGrid/>
        <w:spacing w:beforeLines="0" w:afterLines="0" w:line="360" w:lineRule="auto"/>
        <w:ind w:left="0" w:leftChars="0" w:right="0" w:firstLine="600" w:firstLineChars="200"/>
        <w:jc w:val="both"/>
        <w:textAlignment w:val="auto"/>
        <w:outlineLvl w:val="9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4．客户后续需根据银行打印的《国际收支网上申报用户信息》登陆国家外汇管理局</w:t>
      </w:r>
      <w:r>
        <w:rPr>
          <w:rFonts w:hint="eastAsia" w:ascii="仿宋_GB2312" w:eastAsia="仿宋_GB2312"/>
          <w:sz w:val="30"/>
          <w:szCs w:val="30"/>
          <w:lang w:eastAsia="zh-CN"/>
        </w:rPr>
        <w:t>数字外管</w:t>
      </w:r>
      <w:r>
        <w:rPr>
          <w:rFonts w:hint="eastAsia" w:ascii="仿宋_GB2312" w:eastAsia="仿宋_GB2312"/>
          <w:sz w:val="30"/>
          <w:szCs w:val="30"/>
        </w:rPr>
        <w:t>平台（http://zwfw.safe.gov.cn/asone/），使用</w:t>
      </w:r>
      <w:r>
        <w:rPr>
          <w:rFonts w:hint="eastAsia" w:ascii="仿宋_GB2312" w:eastAsia="仿宋_GB2312"/>
          <w:sz w:val="30"/>
          <w:szCs w:val="30"/>
          <w:lang w:eastAsia="zh-CN"/>
        </w:rPr>
        <w:t>机构代码、用户代码</w:t>
      </w:r>
      <w:r>
        <w:rPr>
          <w:rFonts w:hint="eastAsia" w:ascii="仿宋_GB2312" w:eastAsia="仿宋_GB2312"/>
          <w:sz w:val="30"/>
          <w:szCs w:val="30"/>
        </w:rPr>
        <w:t>（</w:t>
      </w:r>
      <w:r>
        <w:rPr>
          <w:rFonts w:hint="eastAsia" w:ascii="仿宋_GB2312" w:eastAsia="仿宋_GB2312"/>
          <w:sz w:val="30"/>
          <w:szCs w:val="30"/>
          <w:lang w:eastAsia="zh-CN"/>
        </w:rPr>
        <w:t>即</w:t>
      </w:r>
      <w:r>
        <w:rPr>
          <w:rFonts w:hint="eastAsia" w:ascii="仿宋_GB2312" w:eastAsia="仿宋_GB2312"/>
          <w:sz w:val="30"/>
          <w:szCs w:val="30"/>
        </w:rPr>
        <w:t>用户管理员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ba</w:t>
      </w:r>
      <w:r>
        <w:rPr>
          <w:rFonts w:hint="eastAsia" w:ascii="仿宋_GB2312" w:eastAsia="仿宋_GB2312"/>
          <w:sz w:val="30"/>
          <w:szCs w:val="30"/>
        </w:rPr>
        <w:t>）和用户密码</w:t>
      </w:r>
      <w:r>
        <w:rPr>
          <w:rFonts w:hint="eastAsia" w:ascii="仿宋_GB2312" w:eastAsia="仿宋_GB2312"/>
          <w:sz w:val="30"/>
          <w:szCs w:val="30"/>
          <w:lang w:eastAsia="zh-CN"/>
        </w:rPr>
        <w:t>登陆后，新建操作员并为其</w:t>
      </w:r>
      <w:r>
        <w:rPr>
          <w:rFonts w:hint="eastAsia" w:ascii="仿宋_GB2312" w:eastAsia="仿宋_GB2312"/>
          <w:sz w:val="30"/>
          <w:szCs w:val="30"/>
        </w:rPr>
        <w:t>进行权限设置</w:t>
      </w:r>
      <w:r>
        <w:rPr>
          <w:rFonts w:hint="eastAsia" w:ascii="仿宋_GB2312" w:eastAsia="仿宋_GB2312"/>
          <w:sz w:val="30"/>
          <w:szCs w:val="30"/>
          <w:lang w:eastAsia="zh-CN"/>
        </w:rPr>
        <w:t>（若已有操作员，可直接进行增加网上申报权限）</w:t>
      </w:r>
      <w:r>
        <w:rPr>
          <w:rFonts w:hint="eastAsia" w:ascii="仿宋_GB2312" w:eastAsia="仿宋_GB2312"/>
          <w:sz w:val="30"/>
          <w:szCs w:val="30"/>
        </w:rPr>
        <w:t>，之后再使用设置好的</w:t>
      </w:r>
      <w:r>
        <w:rPr>
          <w:rFonts w:hint="eastAsia" w:ascii="仿宋_GB2312" w:eastAsia="仿宋_GB2312"/>
          <w:sz w:val="30"/>
          <w:szCs w:val="30"/>
          <w:lang w:eastAsia="zh-CN"/>
        </w:rPr>
        <w:t>操作员用户</w:t>
      </w:r>
      <w:r>
        <w:rPr>
          <w:rFonts w:hint="eastAsia" w:ascii="仿宋_GB2312" w:eastAsia="仿宋_GB2312"/>
          <w:sz w:val="30"/>
          <w:szCs w:val="30"/>
        </w:rPr>
        <w:t>办理网上国际收支申报业务。</w:t>
      </w:r>
    </w:p>
    <w:p>
      <w:pPr>
        <w:widowControl w:val="0"/>
        <w:wordWrap/>
        <w:adjustRightInd/>
        <w:snapToGrid/>
        <w:spacing w:before="156" w:beforeLines="50" w:after="156" w:afterLines="50" w:line="360" w:lineRule="auto"/>
        <w:ind w:left="0" w:leftChars="0" w:right="0" w:firstLine="0" w:firstLineChars="0"/>
        <w:jc w:val="center"/>
        <w:textAlignment w:val="auto"/>
        <w:outlineLvl w:val="9"/>
        <w:rPr>
          <w:rFonts w:hint="eastAsia" w:ascii="黑体" w:hAnsi="黑体" w:eastAsia="黑体" w:cs="黑体"/>
          <w:b/>
          <w:sz w:val="30"/>
          <w:szCs w:val="30"/>
        </w:rPr>
      </w:pPr>
      <w:r>
        <w:rPr>
          <w:rFonts w:hint="eastAsia" w:ascii="黑体" w:hAnsi="黑体" w:eastAsia="黑体" w:cs="黑体"/>
          <w:b/>
          <w:sz w:val="30"/>
          <w:szCs w:val="30"/>
        </w:rPr>
        <w:t>第三部分  企业客户端操作流程</w:t>
      </w:r>
    </w:p>
    <w:p>
      <w:pPr>
        <w:spacing w:beforeLines="0" w:afterLines="0" w:line="360" w:lineRule="auto"/>
        <w:ind w:firstLine="602" w:firstLineChars="200"/>
        <w:rPr>
          <w:rFonts w:ascii="仿宋_GB2312" w:eastAsia="仿宋_GB2312"/>
          <w:b/>
          <w:bCs/>
          <w:sz w:val="30"/>
          <w:szCs w:val="30"/>
        </w:rPr>
      </w:pPr>
      <w:bookmarkStart w:id="0" w:name="_Toc234647683"/>
      <w:bookmarkStart w:id="1" w:name="_Toc213220618"/>
      <w:bookmarkStart w:id="2" w:name="_Toc211731067"/>
      <w:r>
        <w:rPr>
          <w:rFonts w:hint="eastAsia" w:ascii="仿宋_GB2312" w:eastAsia="仿宋_GB2312"/>
          <w:b/>
          <w:bCs/>
          <w:sz w:val="30"/>
          <w:szCs w:val="30"/>
        </w:rPr>
        <w:t>一、浏览器设置</w:t>
      </w:r>
      <w:bookmarkEnd w:id="0"/>
    </w:p>
    <w:p>
      <w:pPr>
        <w:wordWrap w:val="0"/>
        <w:adjustRightInd/>
        <w:spacing w:beforeLines="0" w:afterLines="0" w:line="360" w:lineRule="auto"/>
        <w:ind w:firstLine="600" w:firstLineChars="200"/>
        <w:jc w:val="both"/>
        <w:rPr>
          <w:rFonts w:hint="eastAsia" w:ascii="仿宋_GB2312" w:hAnsi="Times New Roman" w:eastAsia="仿宋_GB2312"/>
          <w:color w:val="auto"/>
          <w:kern w:val="0"/>
          <w:sz w:val="30"/>
          <w:szCs w:val="30"/>
        </w:rPr>
      </w:pPr>
      <w:r>
        <w:rPr>
          <w:rFonts w:hint="eastAsia" w:ascii="仿宋_GB2312" w:hAnsi="Times New Roman" w:eastAsia="仿宋_GB2312"/>
          <w:color w:val="auto"/>
          <w:kern w:val="0"/>
          <w:sz w:val="30"/>
          <w:szCs w:val="30"/>
          <w:lang w:eastAsia="zh-CN"/>
        </w:rPr>
        <w:t>企业</w:t>
      </w:r>
      <w:r>
        <w:rPr>
          <w:rFonts w:hint="eastAsia" w:ascii="仿宋_GB2312" w:hAnsi="Times New Roman" w:eastAsia="仿宋_GB2312"/>
          <w:color w:val="auto"/>
          <w:kern w:val="0"/>
          <w:sz w:val="30"/>
          <w:szCs w:val="30"/>
        </w:rPr>
        <w:t>登录</w:t>
      </w:r>
      <w:r>
        <w:rPr>
          <w:rFonts w:hint="eastAsia" w:ascii="仿宋_GB2312" w:hAnsi="Times New Roman" w:eastAsia="仿宋_GB2312"/>
          <w:color w:val="auto"/>
          <w:kern w:val="0"/>
          <w:sz w:val="30"/>
          <w:szCs w:val="30"/>
          <w:lang w:eastAsia="zh-CN"/>
        </w:rPr>
        <w:t>国家外汇管理局数字外管</w:t>
      </w:r>
      <w:r>
        <w:rPr>
          <w:rFonts w:hint="eastAsia" w:ascii="仿宋_GB2312" w:hAnsi="Times New Roman" w:eastAsia="仿宋_GB2312"/>
          <w:color w:val="auto"/>
          <w:kern w:val="0"/>
          <w:sz w:val="30"/>
          <w:szCs w:val="30"/>
        </w:rPr>
        <w:t>平台（http://zwfw.safe.gov.cn/asone）</w:t>
      </w:r>
      <w:r>
        <w:rPr>
          <w:rFonts w:hint="eastAsia" w:ascii="仿宋_GB2312" w:hAnsi="Times New Roman" w:eastAsia="仿宋_GB2312"/>
          <w:color w:val="auto"/>
          <w:kern w:val="0"/>
          <w:sz w:val="30"/>
          <w:szCs w:val="30"/>
          <w:lang w:eastAsia="zh-CN"/>
        </w:rPr>
        <w:t>（以下简称数字外管平台）</w:t>
      </w:r>
      <w:r>
        <w:rPr>
          <w:rFonts w:hint="eastAsia" w:ascii="仿宋_GB2312" w:hAnsi="Times New Roman" w:eastAsia="仿宋_GB2312"/>
          <w:color w:val="auto"/>
          <w:kern w:val="0"/>
          <w:sz w:val="30"/>
          <w:szCs w:val="30"/>
        </w:rPr>
        <w:t>访问外汇应用系统前，需要对浏览器进行设置。</w:t>
      </w:r>
    </w:p>
    <w:p>
      <w:pPr>
        <w:pStyle w:val="3"/>
        <w:numPr>
          <w:numId w:val="0"/>
        </w:numPr>
        <w:spacing w:beforeLines="0" w:afterLines="0" w:line="360" w:lineRule="auto"/>
        <w:ind w:left="420" w:leftChars="200" w:firstLine="0" w:firstLineChars="0"/>
        <w:rPr>
          <w:rFonts w:hint="eastAsia" w:ascii="仿宋_GB2312" w:eastAsia="仿宋_GB2312"/>
          <w:b/>
          <w:bCs/>
          <w:sz w:val="30"/>
          <w:szCs w:val="30"/>
        </w:rPr>
      </w:pPr>
      <w:bookmarkStart w:id="3" w:name="_Toc9600509"/>
      <w:r>
        <w:rPr>
          <w:rFonts w:hint="eastAsia" w:ascii="仿宋_GB2312" w:eastAsia="仿宋_GB2312"/>
          <w:b/>
          <w:bCs/>
          <w:sz w:val="30"/>
          <w:szCs w:val="30"/>
          <w:lang w:eastAsia="zh-CN"/>
        </w:rPr>
        <w:t>（一）</w:t>
      </w:r>
      <w:r>
        <w:rPr>
          <w:rFonts w:hint="eastAsia" w:ascii="仿宋_GB2312" w:eastAsia="仿宋_GB2312"/>
          <w:b/>
          <w:bCs/>
          <w:sz w:val="30"/>
          <w:szCs w:val="30"/>
        </w:rPr>
        <w:t>操作系统兼容性</w:t>
      </w:r>
      <w:bookmarkEnd w:id="3"/>
    </w:p>
    <w:p>
      <w:pPr>
        <w:autoSpaceDE w:val="0"/>
        <w:autoSpaceDN w:val="0"/>
        <w:adjustRightInd/>
        <w:spacing w:beforeLines="0" w:afterLines="0" w:line="360" w:lineRule="auto"/>
        <w:ind w:firstLine="600" w:firstLineChars="200"/>
        <w:jc w:val="both"/>
        <w:rPr>
          <w:rFonts w:hint="eastAsia" w:ascii="仿宋_GB2312" w:hAnsi="宋体" w:eastAsia="仿宋_GB2312"/>
          <w:color w:val="000000"/>
          <w:kern w:val="0"/>
          <w:sz w:val="30"/>
          <w:szCs w:val="30"/>
        </w:rPr>
      </w:pPr>
      <w:r>
        <w:rPr>
          <w:rFonts w:hint="eastAsia" w:ascii="仿宋_GB2312" w:hAnsi="宋体" w:eastAsia="仿宋_GB2312"/>
          <w:color w:val="000000"/>
          <w:kern w:val="0"/>
          <w:sz w:val="30"/>
          <w:szCs w:val="30"/>
          <w:lang w:eastAsia="zh-CN"/>
        </w:rPr>
        <w:t>数字外管平台以及</w:t>
      </w:r>
      <w:r>
        <w:rPr>
          <w:rFonts w:ascii="仿宋_GB2312" w:hAnsi="宋体" w:eastAsia="仿宋_GB2312"/>
          <w:color w:val="000000"/>
          <w:kern w:val="0"/>
          <w:sz w:val="30"/>
          <w:szCs w:val="30"/>
        </w:rPr>
        <w:t>通过</w:t>
      </w:r>
      <w:r>
        <w:rPr>
          <w:rFonts w:hint="eastAsia" w:ascii="仿宋_GB2312" w:hAnsi="宋体" w:eastAsia="仿宋_GB2312"/>
          <w:color w:val="000000"/>
          <w:kern w:val="0"/>
          <w:sz w:val="30"/>
          <w:szCs w:val="30"/>
          <w:lang w:eastAsia="zh-CN"/>
        </w:rPr>
        <w:t>数字外管</w:t>
      </w:r>
      <w:r>
        <w:rPr>
          <w:rFonts w:ascii="仿宋_GB2312" w:hAnsi="宋体" w:eastAsia="仿宋_GB2312"/>
          <w:color w:val="000000"/>
          <w:kern w:val="0"/>
          <w:sz w:val="30"/>
          <w:szCs w:val="30"/>
        </w:rPr>
        <w:t>平台登录</w:t>
      </w:r>
      <w:r>
        <w:rPr>
          <w:rFonts w:hint="eastAsia" w:ascii="仿宋_GB2312" w:hAnsi="宋体" w:eastAsia="仿宋_GB2312"/>
          <w:color w:val="000000"/>
          <w:kern w:val="0"/>
          <w:sz w:val="30"/>
          <w:szCs w:val="30"/>
        </w:rPr>
        <w:t>的</w:t>
      </w:r>
      <w:r>
        <w:rPr>
          <w:rFonts w:ascii="仿宋_GB2312" w:hAnsi="宋体" w:eastAsia="仿宋_GB2312"/>
          <w:color w:val="000000"/>
          <w:kern w:val="0"/>
          <w:sz w:val="30"/>
          <w:szCs w:val="30"/>
        </w:rPr>
        <w:t>外汇应用系统全面</w:t>
      </w:r>
      <w:r>
        <w:rPr>
          <w:rFonts w:hint="eastAsia" w:ascii="仿宋_GB2312" w:hAnsi="宋体" w:eastAsia="仿宋_GB2312"/>
          <w:color w:val="000000"/>
          <w:kern w:val="0"/>
          <w:sz w:val="30"/>
          <w:szCs w:val="30"/>
        </w:rPr>
        <w:t>兼容W</w:t>
      </w:r>
      <w:r>
        <w:rPr>
          <w:rFonts w:ascii="仿宋_GB2312" w:hAnsi="宋体" w:eastAsia="仿宋_GB2312"/>
          <w:color w:val="000000"/>
          <w:kern w:val="0"/>
          <w:sz w:val="30"/>
          <w:szCs w:val="30"/>
        </w:rPr>
        <w:t>indows</w:t>
      </w:r>
      <w:r>
        <w:rPr>
          <w:rFonts w:hint="eastAsia" w:ascii="仿宋_GB2312" w:hAnsi="宋体" w:eastAsia="仿宋_GB2312"/>
          <w:color w:val="000000"/>
          <w:kern w:val="0"/>
          <w:sz w:val="30"/>
          <w:szCs w:val="30"/>
        </w:rPr>
        <w:t>操作</w:t>
      </w:r>
      <w:r>
        <w:rPr>
          <w:rFonts w:ascii="仿宋_GB2312" w:hAnsi="宋体" w:eastAsia="仿宋_GB2312"/>
          <w:color w:val="000000"/>
          <w:kern w:val="0"/>
          <w:sz w:val="30"/>
          <w:szCs w:val="30"/>
        </w:rPr>
        <w:t>系统平台。</w:t>
      </w:r>
      <w:r>
        <w:rPr>
          <w:rFonts w:hint="eastAsia" w:ascii="仿宋_GB2312" w:hAnsi="宋体" w:eastAsia="仿宋_GB2312"/>
          <w:color w:val="000000"/>
          <w:kern w:val="0"/>
          <w:sz w:val="30"/>
          <w:szCs w:val="30"/>
        </w:rPr>
        <w:t>对于</w:t>
      </w:r>
      <w:r>
        <w:rPr>
          <w:rFonts w:ascii="仿宋_GB2312" w:hAnsi="宋体" w:eastAsia="仿宋_GB2312"/>
          <w:color w:val="000000"/>
          <w:kern w:val="0"/>
          <w:sz w:val="30"/>
          <w:szCs w:val="30"/>
        </w:rPr>
        <w:t>其他操作系统的兼容性</w:t>
      </w:r>
      <w:r>
        <w:rPr>
          <w:rFonts w:hint="eastAsia" w:ascii="仿宋_GB2312" w:hAnsi="宋体" w:eastAsia="仿宋_GB2312"/>
          <w:color w:val="000000"/>
          <w:kern w:val="0"/>
          <w:sz w:val="30"/>
          <w:szCs w:val="30"/>
        </w:rPr>
        <w:t>，</w:t>
      </w:r>
      <w:r>
        <w:rPr>
          <w:rFonts w:hint="eastAsia" w:ascii="仿宋_GB2312" w:hAnsi="宋体" w:eastAsia="仿宋_GB2312"/>
          <w:color w:val="000000"/>
          <w:kern w:val="0"/>
          <w:sz w:val="30"/>
          <w:szCs w:val="30"/>
          <w:lang w:eastAsia="zh-CN"/>
        </w:rPr>
        <w:t>见</w:t>
      </w:r>
      <w:r>
        <w:rPr>
          <w:rFonts w:ascii="仿宋_GB2312" w:hAnsi="宋体" w:eastAsia="仿宋_GB2312"/>
          <w:color w:val="000000"/>
          <w:kern w:val="0"/>
          <w:sz w:val="30"/>
          <w:szCs w:val="30"/>
        </w:rPr>
        <w:t>下表。</w:t>
      </w:r>
    </w:p>
    <w:tbl>
      <w:tblPr>
        <w:tblStyle w:val="10"/>
        <w:tblW w:w="93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5"/>
        <w:gridCol w:w="1418"/>
        <w:gridCol w:w="1417"/>
        <w:gridCol w:w="1418"/>
        <w:gridCol w:w="1417"/>
        <w:gridCol w:w="1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05" w:type="dxa"/>
            <w:tcBorders>
              <w:tl2br w:val="single" w:color="auto" w:sz="4" w:space="0"/>
            </w:tcBorders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W</w:t>
            </w:r>
            <w:r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  <w:t>indows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操作</w:t>
            </w:r>
            <w:r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  <w:t>系统</w:t>
            </w:r>
          </w:p>
        </w:tc>
        <w:tc>
          <w:tcPr>
            <w:tcW w:w="1417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苹果桌面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操作系统</w:t>
            </w:r>
          </w:p>
        </w:tc>
        <w:tc>
          <w:tcPr>
            <w:tcW w:w="1418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苹果</w:t>
            </w:r>
            <w:r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  <w:t>手机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  <w:t>操作系统</w:t>
            </w:r>
          </w:p>
        </w:tc>
        <w:tc>
          <w:tcPr>
            <w:tcW w:w="1417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安卓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  <w:t>操作系统</w:t>
            </w:r>
          </w:p>
        </w:tc>
        <w:tc>
          <w:tcPr>
            <w:tcW w:w="1440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其他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  <w:t>操作系统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05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  <w:lang w:eastAsia="zh-CN"/>
              </w:rPr>
              <w:t>数字外管</w:t>
            </w: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平台</w:t>
            </w:r>
            <w:r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  <w:t>访问</w:t>
            </w:r>
          </w:p>
        </w:tc>
        <w:tc>
          <w:tcPr>
            <w:tcW w:w="1418" w:type="dxa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兼容</w:t>
            </w:r>
          </w:p>
        </w:tc>
        <w:tc>
          <w:tcPr>
            <w:tcW w:w="1417" w:type="dxa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不兼容</w:t>
            </w:r>
          </w:p>
        </w:tc>
        <w:tc>
          <w:tcPr>
            <w:tcW w:w="1418" w:type="dxa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兼容</w:t>
            </w:r>
          </w:p>
        </w:tc>
        <w:tc>
          <w:tcPr>
            <w:tcW w:w="1417" w:type="dxa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兼容</w:t>
            </w:r>
          </w:p>
        </w:tc>
        <w:tc>
          <w:tcPr>
            <w:tcW w:w="1440" w:type="dxa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不兼容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05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外汇</w:t>
            </w:r>
            <w:r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  <w:t>应用系统操作</w:t>
            </w:r>
          </w:p>
        </w:tc>
        <w:tc>
          <w:tcPr>
            <w:tcW w:w="1418" w:type="dxa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兼容</w:t>
            </w:r>
          </w:p>
        </w:tc>
        <w:tc>
          <w:tcPr>
            <w:tcW w:w="1417" w:type="dxa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不兼容</w:t>
            </w:r>
          </w:p>
        </w:tc>
        <w:tc>
          <w:tcPr>
            <w:tcW w:w="1418" w:type="dxa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不兼容</w:t>
            </w:r>
          </w:p>
        </w:tc>
        <w:tc>
          <w:tcPr>
            <w:tcW w:w="1417" w:type="dxa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不兼容</w:t>
            </w:r>
          </w:p>
        </w:tc>
        <w:tc>
          <w:tcPr>
            <w:tcW w:w="1440" w:type="dxa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不兼容</w:t>
            </w:r>
          </w:p>
        </w:tc>
      </w:tr>
    </w:tbl>
    <w:p>
      <w:pPr>
        <w:spacing w:beforeLines="0" w:afterLines="0" w:line="360" w:lineRule="auto"/>
        <w:ind w:firstLine="602" w:firstLineChars="20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  <w:t>（二）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浏览器兼容性</w:t>
      </w:r>
    </w:p>
    <w:p>
      <w:pPr>
        <w:adjustRightInd/>
        <w:spacing w:beforeLines="0" w:afterLines="0" w:line="360" w:lineRule="auto"/>
        <w:ind w:firstLine="600" w:firstLineChars="200"/>
        <w:jc w:val="both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数字外管</w:t>
      </w:r>
      <w:r>
        <w:rPr>
          <w:rFonts w:hint="eastAsia" w:ascii="仿宋" w:hAnsi="仿宋" w:eastAsia="仿宋" w:cs="仿宋"/>
          <w:sz w:val="30"/>
          <w:szCs w:val="30"/>
        </w:rPr>
        <w:t>平台主要支持基于Windows平台的浏览器，兼容IE浏览器。并兼容大部分常见浏览器，如360浏览器，谷歌浏览器，火狐浏览器等。</w:t>
      </w:r>
    </w:p>
    <w:p>
      <w:pPr>
        <w:adjustRightInd/>
        <w:spacing w:beforeLines="0" w:afterLines="0" w:line="360" w:lineRule="auto"/>
        <w:ind w:firstLine="600" w:firstLineChars="200"/>
        <w:jc w:val="both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通过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数字外管</w:t>
      </w:r>
      <w:r>
        <w:rPr>
          <w:rFonts w:hint="eastAsia" w:ascii="仿宋" w:hAnsi="仿宋" w:eastAsia="仿宋" w:cs="仿宋"/>
          <w:sz w:val="30"/>
          <w:szCs w:val="30"/>
        </w:rPr>
        <w:t>平台访问的外汇应用系统，主要基于IE浏览器进行开发，部分外汇应用系统存在对除IE浏览器之外其他浏览器不兼容的现象，所以建议使用IE浏览器进行业务访问。</w:t>
      </w:r>
    </w:p>
    <w:p>
      <w:pPr>
        <w:adjustRightInd/>
        <w:spacing w:beforeLines="0" w:afterLines="0" w:line="360" w:lineRule="auto"/>
        <w:ind w:firstLine="600" w:firstLineChars="200"/>
        <w:jc w:val="both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除Windows操作系统外，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数字外管平台</w:t>
      </w:r>
      <w:r>
        <w:rPr>
          <w:rFonts w:hint="eastAsia" w:ascii="仿宋" w:hAnsi="仿宋" w:eastAsia="仿宋" w:cs="仿宋"/>
          <w:sz w:val="30"/>
          <w:szCs w:val="30"/>
        </w:rPr>
        <w:t>暂不支持在其他操作系统上通过浏览器进行外汇应用系统业务操作。对于各浏览器的兼容性，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见</w:t>
      </w:r>
      <w:r>
        <w:rPr>
          <w:rFonts w:hint="eastAsia" w:ascii="仿宋" w:hAnsi="仿宋" w:eastAsia="仿宋" w:cs="仿宋"/>
          <w:sz w:val="30"/>
          <w:szCs w:val="30"/>
        </w:rPr>
        <w:t>下表：</w:t>
      </w:r>
    </w:p>
    <w:tbl>
      <w:tblPr>
        <w:tblStyle w:val="10"/>
        <w:tblW w:w="92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0"/>
        <w:gridCol w:w="1035"/>
        <w:gridCol w:w="1245"/>
        <w:gridCol w:w="1200"/>
        <w:gridCol w:w="1230"/>
        <w:gridCol w:w="1067"/>
        <w:gridCol w:w="12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20" w:type="dxa"/>
            <w:tcBorders>
              <w:tl2br w:val="single" w:color="auto" w:sz="4" w:space="0"/>
            </w:tcBorders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35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  <w:t>IE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浏览器</w:t>
            </w:r>
          </w:p>
        </w:tc>
        <w:tc>
          <w:tcPr>
            <w:tcW w:w="1245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谷歌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浏览器</w:t>
            </w:r>
          </w:p>
        </w:tc>
        <w:tc>
          <w:tcPr>
            <w:tcW w:w="1200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3</w:t>
            </w:r>
            <w:r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  <w:t>60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浏览器</w:t>
            </w:r>
          </w:p>
        </w:tc>
        <w:tc>
          <w:tcPr>
            <w:tcW w:w="1230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火狐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浏览器</w:t>
            </w:r>
          </w:p>
        </w:tc>
        <w:tc>
          <w:tcPr>
            <w:tcW w:w="1067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E</w:t>
            </w:r>
            <w:r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  <w:t>dge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浏览器</w:t>
            </w:r>
          </w:p>
        </w:tc>
        <w:tc>
          <w:tcPr>
            <w:tcW w:w="1243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其他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浏览器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20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  <w:lang w:eastAsia="zh-CN"/>
              </w:rPr>
              <w:t>数字外管平台</w:t>
            </w:r>
            <w:r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  <w:t>访问</w:t>
            </w:r>
          </w:p>
        </w:tc>
        <w:tc>
          <w:tcPr>
            <w:tcW w:w="1035" w:type="dxa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兼容</w:t>
            </w:r>
          </w:p>
        </w:tc>
        <w:tc>
          <w:tcPr>
            <w:tcW w:w="1245" w:type="dxa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兼容</w:t>
            </w:r>
          </w:p>
        </w:tc>
        <w:tc>
          <w:tcPr>
            <w:tcW w:w="1200" w:type="dxa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兼容</w:t>
            </w:r>
          </w:p>
        </w:tc>
        <w:tc>
          <w:tcPr>
            <w:tcW w:w="1230" w:type="dxa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兼容</w:t>
            </w:r>
          </w:p>
        </w:tc>
        <w:tc>
          <w:tcPr>
            <w:tcW w:w="1067" w:type="dxa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不兼容</w:t>
            </w:r>
          </w:p>
        </w:tc>
        <w:tc>
          <w:tcPr>
            <w:tcW w:w="1243" w:type="dxa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部分兼容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20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外汇</w:t>
            </w:r>
            <w:r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  <w:t>应用系统操作</w:t>
            </w:r>
          </w:p>
        </w:tc>
        <w:tc>
          <w:tcPr>
            <w:tcW w:w="1035" w:type="dxa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兼容</w:t>
            </w:r>
          </w:p>
        </w:tc>
        <w:tc>
          <w:tcPr>
            <w:tcW w:w="1245" w:type="dxa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部分兼容</w:t>
            </w:r>
          </w:p>
        </w:tc>
        <w:tc>
          <w:tcPr>
            <w:tcW w:w="1200" w:type="dxa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部分兼容</w:t>
            </w:r>
          </w:p>
        </w:tc>
        <w:tc>
          <w:tcPr>
            <w:tcW w:w="1230" w:type="dxa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部分兼容</w:t>
            </w:r>
          </w:p>
        </w:tc>
        <w:tc>
          <w:tcPr>
            <w:tcW w:w="1067" w:type="dxa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不兼容</w:t>
            </w:r>
          </w:p>
        </w:tc>
        <w:tc>
          <w:tcPr>
            <w:tcW w:w="1243" w:type="dxa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部分兼容</w:t>
            </w:r>
          </w:p>
        </w:tc>
      </w:tr>
    </w:tbl>
    <w:p>
      <w:pPr>
        <w:autoSpaceDE w:val="0"/>
        <w:autoSpaceDN w:val="0"/>
        <w:adjustRightInd w:val="0"/>
        <w:ind w:firstLine="560" w:firstLineChars="200"/>
        <w:jc w:val="left"/>
        <w:rPr>
          <w:rFonts w:hint="eastAsia" w:ascii="仿宋_GB2312" w:hAnsi="宋体" w:eastAsia="仿宋_GB2312"/>
          <w:color w:val="000000"/>
          <w:kern w:val="0"/>
          <w:sz w:val="30"/>
          <w:szCs w:val="30"/>
        </w:rPr>
      </w:pPr>
      <w:r>
        <w:rPr>
          <w:rFonts w:hint="eastAsia" w:ascii="仿宋_GB2312" w:hAnsi="宋体" w:eastAsia="仿宋_GB2312"/>
          <w:color w:val="000000"/>
          <w:kern w:val="0"/>
          <w:sz w:val="28"/>
          <w:szCs w:val="28"/>
        </w:rPr>
        <w:t>注</w:t>
      </w:r>
      <w:r>
        <w:rPr>
          <w:rFonts w:ascii="仿宋_GB2312" w:hAnsi="宋体" w:eastAsia="仿宋_GB2312"/>
          <w:color w:val="000000"/>
          <w:kern w:val="0"/>
          <w:sz w:val="28"/>
          <w:szCs w:val="28"/>
        </w:rPr>
        <w:t>：</w:t>
      </w:r>
      <w:r>
        <w:rPr>
          <w:rFonts w:hint="eastAsia" w:ascii="仿宋_GB2312" w:hAnsi="宋体" w:eastAsia="仿宋_GB2312"/>
          <w:color w:val="000000"/>
          <w:kern w:val="0"/>
          <w:sz w:val="28"/>
          <w:szCs w:val="28"/>
        </w:rPr>
        <w:t>不支持W</w:t>
      </w:r>
      <w:r>
        <w:rPr>
          <w:rFonts w:ascii="仿宋_GB2312" w:hAnsi="宋体" w:eastAsia="仿宋_GB2312"/>
          <w:color w:val="000000"/>
          <w:kern w:val="0"/>
          <w:sz w:val="28"/>
          <w:szCs w:val="28"/>
        </w:rPr>
        <w:t>indows10</w:t>
      </w:r>
      <w:r>
        <w:rPr>
          <w:rFonts w:hint="eastAsia" w:ascii="仿宋_GB2312" w:hAnsi="宋体" w:eastAsia="仿宋_GB2312"/>
          <w:color w:val="000000"/>
          <w:kern w:val="0"/>
          <w:sz w:val="28"/>
          <w:szCs w:val="28"/>
        </w:rPr>
        <w:t>系统</w:t>
      </w:r>
      <w:r>
        <w:rPr>
          <w:rFonts w:ascii="仿宋_GB2312" w:hAnsi="宋体" w:eastAsia="仿宋_GB2312"/>
          <w:color w:val="000000"/>
          <w:kern w:val="0"/>
          <w:sz w:val="28"/>
          <w:szCs w:val="28"/>
        </w:rPr>
        <w:t>自带</w:t>
      </w:r>
      <w:r>
        <w:rPr>
          <w:rFonts w:hint="eastAsia" w:ascii="仿宋_GB2312" w:hAnsi="宋体" w:eastAsia="仿宋_GB2312"/>
          <w:color w:val="000000"/>
          <w:kern w:val="0"/>
          <w:sz w:val="28"/>
          <w:szCs w:val="28"/>
        </w:rPr>
        <w:t>E</w:t>
      </w:r>
      <w:r>
        <w:rPr>
          <w:rFonts w:ascii="仿宋_GB2312" w:hAnsi="宋体" w:eastAsia="仿宋_GB2312"/>
          <w:color w:val="000000"/>
          <w:kern w:val="0"/>
          <w:sz w:val="28"/>
          <w:szCs w:val="28"/>
        </w:rPr>
        <w:t>dge浏览器</w:t>
      </w:r>
      <w:r>
        <w:rPr>
          <w:rFonts w:hint="eastAsia" w:ascii="仿宋_GB2312" w:hAnsi="宋体" w:eastAsia="仿宋_GB2312"/>
          <w:color w:val="000000"/>
          <w:kern w:val="0"/>
          <w:sz w:val="28"/>
          <w:szCs w:val="28"/>
        </w:rPr>
        <w:t>。</w:t>
      </w:r>
    </w:p>
    <w:p>
      <w:pPr>
        <w:pStyle w:val="3"/>
        <w:numPr>
          <w:numId w:val="0"/>
        </w:numPr>
        <w:spacing w:beforeLines="0" w:afterLines="0" w:line="360" w:lineRule="auto"/>
        <w:ind w:left="420" w:leftChars="200" w:firstLine="0" w:firstLineChars="0"/>
        <w:jc w:val="both"/>
        <w:rPr>
          <w:rFonts w:hint="eastAsia" w:ascii="仿宋_GB2312" w:eastAsia="仿宋_GB2312"/>
          <w:b/>
          <w:bCs/>
          <w:sz w:val="30"/>
          <w:szCs w:val="30"/>
        </w:rPr>
      </w:pPr>
      <w:r>
        <w:rPr>
          <w:rFonts w:hint="eastAsia" w:ascii="仿宋_GB2312" w:hAnsi="Times New Roman" w:eastAsia="仿宋_GB2312"/>
          <w:b/>
          <w:bCs/>
          <w:color w:val="auto"/>
          <w:kern w:val="0"/>
          <w:sz w:val="30"/>
          <w:szCs w:val="30"/>
          <w:lang w:val="en-US" w:eastAsia="zh-CN"/>
        </w:rPr>
        <w:t>（三）</w:t>
      </w:r>
      <w:bookmarkStart w:id="4" w:name="_Toc9600511"/>
      <w:r>
        <w:rPr>
          <w:rFonts w:hint="eastAsia" w:ascii="仿宋_GB2312" w:eastAsia="仿宋_GB2312"/>
          <w:b/>
          <w:bCs/>
          <w:sz w:val="30"/>
          <w:szCs w:val="30"/>
        </w:rPr>
        <w:t>IE版本兼容性</w:t>
      </w:r>
      <w:bookmarkEnd w:id="4"/>
    </w:p>
    <w:p>
      <w:pPr>
        <w:autoSpaceDE w:val="0"/>
        <w:autoSpaceDN w:val="0"/>
        <w:adjustRightInd w:val="0"/>
        <w:spacing w:beforeLines="0" w:afterLines="0" w:line="360" w:lineRule="auto"/>
        <w:ind w:firstLine="600" w:firstLineChars="200"/>
        <w:jc w:val="both"/>
        <w:rPr>
          <w:rFonts w:hint="eastAsia" w:ascii="仿宋_GB2312" w:hAnsi="宋体" w:eastAsia="仿宋_GB2312"/>
          <w:color w:val="000000"/>
          <w:kern w:val="0"/>
          <w:sz w:val="30"/>
          <w:szCs w:val="30"/>
        </w:rPr>
      </w:pPr>
      <w:r>
        <w:rPr>
          <w:rFonts w:hint="eastAsia" w:ascii="仿宋_GB2312" w:hAnsi="宋体" w:eastAsia="仿宋_GB2312"/>
          <w:color w:val="000000"/>
          <w:kern w:val="0"/>
          <w:sz w:val="30"/>
          <w:szCs w:val="30"/>
        </w:rPr>
        <w:t>I</w:t>
      </w:r>
      <w:r>
        <w:rPr>
          <w:rFonts w:ascii="仿宋_GB2312" w:hAnsi="宋体" w:eastAsia="仿宋_GB2312"/>
          <w:color w:val="000000"/>
          <w:kern w:val="0"/>
          <w:sz w:val="30"/>
          <w:szCs w:val="30"/>
        </w:rPr>
        <w:t>E</w:t>
      </w:r>
      <w:r>
        <w:rPr>
          <w:rFonts w:hint="eastAsia" w:ascii="仿宋_GB2312" w:hAnsi="宋体" w:eastAsia="仿宋_GB2312"/>
          <w:color w:val="000000"/>
          <w:kern w:val="0"/>
          <w:sz w:val="30"/>
          <w:szCs w:val="30"/>
        </w:rPr>
        <w:t>版本不同对于外汇</w:t>
      </w:r>
      <w:r>
        <w:rPr>
          <w:rFonts w:ascii="仿宋_GB2312" w:hAnsi="宋体" w:eastAsia="仿宋_GB2312"/>
          <w:color w:val="000000"/>
          <w:kern w:val="0"/>
          <w:sz w:val="30"/>
          <w:szCs w:val="30"/>
        </w:rPr>
        <w:t>应用系统</w:t>
      </w:r>
      <w:r>
        <w:rPr>
          <w:rFonts w:hint="eastAsia" w:ascii="仿宋_GB2312" w:hAnsi="宋体" w:eastAsia="仿宋_GB2312"/>
          <w:color w:val="000000"/>
          <w:kern w:val="0"/>
          <w:sz w:val="30"/>
          <w:szCs w:val="30"/>
        </w:rPr>
        <w:t>的</w:t>
      </w:r>
      <w:r>
        <w:rPr>
          <w:rFonts w:ascii="仿宋_GB2312" w:hAnsi="宋体" w:eastAsia="仿宋_GB2312"/>
          <w:color w:val="000000"/>
          <w:kern w:val="0"/>
          <w:sz w:val="30"/>
          <w:szCs w:val="30"/>
        </w:rPr>
        <w:t>部分业务操作会出现不兼容</w:t>
      </w:r>
      <w:r>
        <w:rPr>
          <w:rFonts w:hint="eastAsia" w:ascii="仿宋_GB2312" w:hAnsi="宋体" w:eastAsia="仿宋_GB2312"/>
          <w:color w:val="000000"/>
          <w:kern w:val="0"/>
          <w:sz w:val="30"/>
          <w:szCs w:val="30"/>
        </w:rPr>
        <w:t>现象</w:t>
      </w:r>
      <w:r>
        <w:rPr>
          <w:rFonts w:ascii="仿宋_GB2312" w:hAnsi="宋体" w:eastAsia="仿宋_GB2312"/>
          <w:color w:val="000000"/>
          <w:kern w:val="0"/>
          <w:sz w:val="30"/>
          <w:szCs w:val="30"/>
        </w:rPr>
        <w:t>，</w:t>
      </w:r>
      <w:r>
        <w:rPr>
          <w:rFonts w:hint="eastAsia" w:ascii="仿宋_GB2312" w:hAnsi="宋体" w:eastAsia="仿宋_GB2312"/>
          <w:color w:val="000000"/>
          <w:kern w:val="0"/>
          <w:sz w:val="30"/>
          <w:szCs w:val="30"/>
        </w:rPr>
        <w:t>对于</w:t>
      </w:r>
      <w:r>
        <w:rPr>
          <w:rFonts w:ascii="仿宋_GB2312" w:hAnsi="宋体" w:eastAsia="仿宋_GB2312"/>
          <w:color w:val="000000"/>
          <w:kern w:val="0"/>
          <w:sz w:val="30"/>
          <w:szCs w:val="30"/>
        </w:rPr>
        <w:t>各版本的操作建议</w:t>
      </w:r>
      <w:r>
        <w:rPr>
          <w:rFonts w:hint="eastAsia" w:ascii="仿宋_GB2312" w:hAnsi="宋体" w:eastAsia="仿宋_GB2312"/>
          <w:color w:val="000000"/>
          <w:kern w:val="0"/>
          <w:sz w:val="30"/>
          <w:szCs w:val="30"/>
        </w:rPr>
        <w:t>见</w:t>
      </w:r>
      <w:r>
        <w:rPr>
          <w:rFonts w:ascii="仿宋_GB2312" w:hAnsi="宋体" w:eastAsia="仿宋_GB2312"/>
          <w:color w:val="000000"/>
          <w:kern w:val="0"/>
          <w:sz w:val="30"/>
          <w:szCs w:val="30"/>
        </w:rPr>
        <w:t>下</w:t>
      </w:r>
      <w:r>
        <w:rPr>
          <w:rFonts w:hint="eastAsia" w:ascii="仿宋_GB2312" w:hAnsi="宋体" w:eastAsia="仿宋_GB2312"/>
          <w:color w:val="000000"/>
          <w:kern w:val="0"/>
          <w:sz w:val="30"/>
          <w:szCs w:val="30"/>
        </w:rPr>
        <w:t>表，特别注明货物贸易系统不支持</w:t>
      </w:r>
      <w:r>
        <w:rPr>
          <w:rFonts w:ascii="仿宋_GB2312" w:hAnsi="宋体" w:eastAsia="仿宋_GB2312"/>
          <w:color w:val="000000"/>
          <w:kern w:val="0"/>
          <w:sz w:val="30"/>
          <w:szCs w:val="30"/>
        </w:rPr>
        <w:t>IE10</w:t>
      </w:r>
      <w:r>
        <w:rPr>
          <w:rFonts w:hint="eastAsia" w:ascii="仿宋_GB2312" w:hAnsi="宋体" w:eastAsia="仿宋_GB2312"/>
          <w:color w:val="000000"/>
          <w:kern w:val="0"/>
          <w:sz w:val="30"/>
          <w:szCs w:val="30"/>
        </w:rPr>
        <w:t>和I</w:t>
      </w:r>
      <w:r>
        <w:rPr>
          <w:rFonts w:ascii="仿宋_GB2312" w:hAnsi="宋体" w:eastAsia="仿宋_GB2312"/>
          <w:color w:val="000000"/>
          <w:kern w:val="0"/>
          <w:sz w:val="30"/>
          <w:szCs w:val="30"/>
        </w:rPr>
        <w:t>E11</w:t>
      </w:r>
      <w:r>
        <w:rPr>
          <w:rFonts w:hint="eastAsia" w:ascii="仿宋_GB2312" w:hAnsi="宋体" w:eastAsia="仿宋_GB2312"/>
          <w:color w:val="000000"/>
          <w:kern w:val="0"/>
          <w:sz w:val="30"/>
          <w:szCs w:val="30"/>
        </w:rPr>
        <w:t>版本：</w:t>
      </w:r>
    </w:p>
    <w:tbl>
      <w:tblPr>
        <w:tblStyle w:val="10"/>
        <w:tblpPr w:leftFromText="180" w:rightFromText="180" w:vertAnchor="text" w:horzAnchor="page" w:tblpX="1255" w:tblpY="291"/>
        <w:tblOverlap w:val="never"/>
        <w:tblW w:w="96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5"/>
        <w:gridCol w:w="1350"/>
        <w:gridCol w:w="1185"/>
        <w:gridCol w:w="1200"/>
        <w:gridCol w:w="1250"/>
        <w:gridCol w:w="1242"/>
        <w:gridCol w:w="12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5" w:type="dxa"/>
            <w:tcBorders>
              <w:tl2br w:val="single" w:color="auto" w:sz="4" w:space="0"/>
            </w:tcBorders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0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6.0版本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  <w:t>IE</w:t>
            </w: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浏览器</w:t>
            </w:r>
          </w:p>
        </w:tc>
        <w:tc>
          <w:tcPr>
            <w:tcW w:w="1185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  <w:t>7</w:t>
            </w: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.0版本</w:t>
            </w:r>
            <w:r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  <w:t>IE</w:t>
            </w: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浏览器</w:t>
            </w:r>
          </w:p>
        </w:tc>
        <w:tc>
          <w:tcPr>
            <w:tcW w:w="1200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  <w:t>8</w:t>
            </w: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.0版本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  <w:t>IE</w:t>
            </w: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浏览器</w:t>
            </w:r>
          </w:p>
        </w:tc>
        <w:tc>
          <w:tcPr>
            <w:tcW w:w="1250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  <w:t>9</w:t>
            </w: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.0版本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  <w:t>IE</w:t>
            </w: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浏览器</w:t>
            </w:r>
          </w:p>
        </w:tc>
        <w:tc>
          <w:tcPr>
            <w:tcW w:w="1242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  <w:t>10</w:t>
            </w: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.0版本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  <w:t>IE</w:t>
            </w: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浏览器</w:t>
            </w:r>
          </w:p>
        </w:tc>
        <w:tc>
          <w:tcPr>
            <w:tcW w:w="1243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  <w:t>11</w:t>
            </w: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.0版本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  <w:t>IE</w:t>
            </w: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浏览器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5" w:type="dxa"/>
            <w:vAlign w:val="top"/>
          </w:tcPr>
          <w:p>
            <w:pPr>
              <w:jc w:val="center"/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  <w:lang w:eastAsia="zh-CN"/>
              </w:rPr>
              <w:t>数字外管</w:t>
            </w: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平台</w:t>
            </w:r>
            <w:r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  <w:t>访问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兼容</w:t>
            </w:r>
          </w:p>
        </w:tc>
        <w:tc>
          <w:tcPr>
            <w:tcW w:w="1185" w:type="dxa"/>
            <w:vAlign w:val="top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兼容</w:t>
            </w:r>
          </w:p>
        </w:tc>
        <w:tc>
          <w:tcPr>
            <w:tcW w:w="1200" w:type="dxa"/>
            <w:vAlign w:val="top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兼容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兼容</w:t>
            </w:r>
          </w:p>
        </w:tc>
        <w:tc>
          <w:tcPr>
            <w:tcW w:w="1242" w:type="dxa"/>
            <w:vAlign w:val="top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兼容</w:t>
            </w:r>
          </w:p>
        </w:tc>
        <w:tc>
          <w:tcPr>
            <w:tcW w:w="1243" w:type="dxa"/>
            <w:vAlign w:val="top"/>
          </w:tcPr>
          <w:p>
            <w:pPr>
              <w:jc w:val="center"/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兼容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5" w:type="dxa"/>
            <w:vAlign w:val="top"/>
          </w:tcPr>
          <w:p>
            <w:pPr>
              <w:jc w:val="center"/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外汇</w:t>
            </w:r>
            <w:r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  <w:t>应用系统操作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建议</w:t>
            </w:r>
            <w:r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  <w:t>升级</w:t>
            </w:r>
          </w:p>
        </w:tc>
        <w:tc>
          <w:tcPr>
            <w:tcW w:w="1185" w:type="dxa"/>
            <w:vAlign w:val="top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兼容</w:t>
            </w:r>
          </w:p>
        </w:tc>
        <w:tc>
          <w:tcPr>
            <w:tcW w:w="1200" w:type="dxa"/>
            <w:vAlign w:val="top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兼容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兼容</w:t>
            </w:r>
          </w:p>
        </w:tc>
        <w:tc>
          <w:tcPr>
            <w:tcW w:w="1242" w:type="dxa"/>
            <w:vAlign w:val="top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建议降级</w:t>
            </w:r>
          </w:p>
        </w:tc>
        <w:tc>
          <w:tcPr>
            <w:tcW w:w="1243" w:type="dxa"/>
            <w:vAlign w:val="top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建议降级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5" w:type="dxa"/>
            <w:vAlign w:val="top"/>
          </w:tcPr>
          <w:p>
            <w:pPr>
              <w:jc w:val="center"/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货物贸易系统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建议</w:t>
            </w:r>
            <w:r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  <w:t>升级</w:t>
            </w:r>
          </w:p>
        </w:tc>
        <w:tc>
          <w:tcPr>
            <w:tcW w:w="1185" w:type="dxa"/>
            <w:vAlign w:val="top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兼容</w:t>
            </w:r>
          </w:p>
        </w:tc>
        <w:tc>
          <w:tcPr>
            <w:tcW w:w="1200" w:type="dxa"/>
            <w:vAlign w:val="top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兼容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兼容</w:t>
            </w:r>
          </w:p>
        </w:tc>
        <w:tc>
          <w:tcPr>
            <w:tcW w:w="1242" w:type="dxa"/>
            <w:vAlign w:val="top"/>
          </w:tcPr>
          <w:p>
            <w:pPr>
              <w:jc w:val="center"/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不支持</w:t>
            </w:r>
          </w:p>
        </w:tc>
        <w:tc>
          <w:tcPr>
            <w:tcW w:w="1243" w:type="dxa"/>
            <w:vAlign w:val="top"/>
          </w:tcPr>
          <w:p>
            <w:pPr>
              <w:jc w:val="center"/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4"/>
                <w:szCs w:val="24"/>
              </w:rPr>
              <w:t>不支持</w:t>
            </w:r>
          </w:p>
        </w:tc>
      </w:tr>
    </w:tbl>
    <w:p>
      <w:pPr>
        <w:pStyle w:val="3"/>
        <w:numPr>
          <w:numId w:val="0"/>
        </w:numPr>
        <w:spacing w:beforeLines="0" w:afterLines="0" w:line="360" w:lineRule="auto"/>
        <w:ind w:left="420" w:leftChars="200" w:firstLine="0" w:firstLineChars="0"/>
        <w:rPr>
          <w:rFonts w:hint="eastAsia" w:ascii="仿宋" w:hAnsi="仿宋" w:eastAsia="仿宋" w:cs="仿宋"/>
          <w:b/>
          <w:bCs/>
          <w:color w:val="auto"/>
          <w:kern w:val="2"/>
          <w:sz w:val="30"/>
          <w:szCs w:val="30"/>
          <w:lang w:eastAsia="zh-CN"/>
        </w:rPr>
      </w:pPr>
      <w:bookmarkStart w:id="5" w:name="_Toc9600512"/>
      <w:r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  <w:t>（四）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浏览器设置说明</w:t>
      </w:r>
      <w:bookmarkEnd w:id="5"/>
    </w:p>
    <w:p>
      <w:pPr>
        <w:pStyle w:val="3"/>
        <w:numPr>
          <w:numId w:val="0"/>
        </w:numPr>
        <w:spacing w:beforeLines="0" w:afterLines="0" w:line="360" w:lineRule="auto"/>
        <w:ind w:firstLine="600" w:firstLineChars="200"/>
        <w:jc w:val="both"/>
        <w:rPr>
          <w:rFonts w:hint="eastAsia" w:ascii="仿宋" w:hAnsi="仿宋" w:eastAsia="仿宋" w:cs="仿宋"/>
          <w:b w:val="0"/>
          <w:bCs w:val="0"/>
          <w:color w:val="auto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0"/>
          <w:szCs w:val="30"/>
          <w:lang w:val="en-US" w:eastAsia="zh-CN"/>
        </w:rPr>
        <w:t>目前，对登陆数字外管平台的浏览器设置主要分为两个版本：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一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0"/>
          <w:szCs w:val="30"/>
          <w:lang w:val="en-US" w:eastAsia="zh-CN"/>
        </w:rPr>
        <w:t>是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0"/>
          <w:szCs w:val="30"/>
        </w:rPr>
        <w:t>IE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0"/>
          <w:szCs w:val="30"/>
          <w:lang w:val="en-US" w:eastAsia="zh-CN"/>
        </w:rPr>
        <w:t>8-9版本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0"/>
          <w:szCs w:val="30"/>
        </w:rPr>
        <w:t>浏览器设置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0"/>
          <w:szCs w:val="30"/>
          <w:lang w:eastAsia="zh-CN"/>
        </w:rPr>
        <w:t>；二是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0"/>
          <w:szCs w:val="30"/>
        </w:rPr>
        <w:t>IE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0"/>
          <w:szCs w:val="30"/>
          <w:lang w:val="en-US" w:eastAsia="zh-CN"/>
        </w:rPr>
        <w:t>10-11版本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0"/>
          <w:szCs w:val="30"/>
        </w:rPr>
        <w:t>浏览器设置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0"/>
          <w:szCs w:val="30"/>
          <w:lang w:eastAsia="zh-CN"/>
        </w:rPr>
        <w:t>，主要设置项目及流程如下：</w:t>
      </w:r>
    </w:p>
    <w:p>
      <w:pPr>
        <w:spacing w:beforeLines="0" w:afterLines="0" w:line="360" w:lineRule="auto"/>
        <w:ind w:firstLine="600" w:firstLineChars="20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仿宋"/>
          <w:sz w:val="30"/>
          <w:szCs w:val="30"/>
        </w:rPr>
        <w:t>IE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8-9版本设置项目及流程： </w:t>
      </w:r>
    </w:p>
    <w:p>
      <w:pPr>
        <w:spacing w:beforeLines="0" w:afterLines="0" w:line="360" w:lineRule="auto"/>
        <w:ind w:firstLine="600" w:firstLineChars="20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①IE浏览器版本查看→②设置受信任站点→</w:t>
      </w:r>
      <w:bookmarkStart w:id="6" w:name="_Toc9600516"/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③设置Cookie级别</w:t>
      </w:r>
      <w:bookmarkEnd w:id="6"/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→</w:t>
      </w:r>
      <w:bookmarkStart w:id="7" w:name="_Toc9600517"/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④设置兼容性视图</w:t>
      </w:r>
      <w:bookmarkEnd w:id="7"/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→</w:t>
      </w:r>
      <w:bookmarkStart w:id="8" w:name="_Toc9600518"/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⑤弹出窗口设置</w:t>
      </w:r>
      <w:bookmarkEnd w:id="8"/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→</w:t>
      </w:r>
      <w:bookmarkStart w:id="9" w:name="_Toc9600519"/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⑥打印页面设置</w:t>
      </w:r>
      <w:bookmarkEnd w:id="9"/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→</w:t>
      </w:r>
      <w:bookmarkStart w:id="10" w:name="_Toc9600520"/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⑦脚本调试开关设置</w:t>
      </w:r>
      <w:bookmarkEnd w:id="10"/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→</w:t>
      </w:r>
      <w:bookmarkStart w:id="11" w:name="_Toc5851546"/>
      <w:bookmarkStart w:id="12" w:name="_Toc9600521"/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⑧清除浏览器缓存信息</w:t>
      </w:r>
      <w:bookmarkEnd w:id="11"/>
      <w:bookmarkEnd w:id="12"/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→</w:t>
      </w:r>
      <w:bookmarkStart w:id="13" w:name="_Toc9600522"/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⑨Java运行环境（JRE）安装及设置</w:t>
      </w:r>
      <w:bookmarkEnd w:id="13"/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→</w:t>
      </w:r>
      <w:bookmarkStart w:id="14" w:name="_Toc9600523"/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⑩下载安装数据报送插件</w:t>
      </w:r>
      <w:bookmarkEnd w:id="14"/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。</w:t>
      </w:r>
    </w:p>
    <w:p>
      <w:pPr>
        <w:spacing w:beforeLines="0" w:afterLines="0" w:line="360" w:lineRule="auto"/>
        <w:ind w:firstLine="600" w:firstLineChars="20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2.IE10-11版本设置项目及流程：</w:t>
      </w:r>
    </w:p>
    <w:p>
      <w:pPr>
        <w:spacing w:beforeLines="0" w:afterLines="0" w:line="360" w:lineRule="auto"/>
        <w:ind w:firstLine="600" w:firstLineChars="20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①IE浏览器版本查看→②设置受信任站点→③设置Cookie级别→④设置兼容性视图→⑤弹出窗口设置→⑥清除浏览器缓存信息→⑦Java运行环境（JRE）安装及设置→⑧下载安装数据报送插件。</w:t>
      </w:r>
    </w:p>
    <w:p>
      <w:pPr>
        <w:spacing w:beforeLines="0" w:afterLines="0" w:line="360" w:lineRule="auto"/>
        <w:ind w:firstLine="600" w:firstLineChars="20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具体设置流程及方法可通过在数字外管平台登陆页面左侧“公告栏—常用下载—外汇应用系统访问设置手册”下载获取。见下图：</w:t>
      </w:r>
    </w:p>
    <w:p>
      <w:pPr>
        <w:jc w:val="center"/>
        <w:rPr>
          <w:rFonts w:hint="eastAsia" w:ascii="仿宋_GB2312" w:hAnsi="宋体" w:eastAsia="仿宋_GB2312" w:cs="Times New Roman"/>
          <w:b w:val="0"/>
          <w:bCs w:val="0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_GB2312" w:hAnsi="宋体" w:eastAsia="仿宋_GB2312" w:cs="Times New Roman"/>
          <w:b w:val="0"/>
          <w:bCs w:val="0"/>
          <w:color w:val="000000"/>
          <w:kern w:val="0"/>
          <w:sz w:val="30"/>
          <w:szCs w:val="30"/>
          <w:lang w:val="en-US" w:eastAsia="zh-CN" w:bidi="ar-SA"/>
        </w:rPr>
        <w:pict>
          <v:shape id="Picture 8" o:spid="_x0000_s1031" type="#_x0000_t75" style="height:318.2pt;width:447.6pt;rotation:0f;" o:ole="f" fillcolor="#FFFFFF" filled="f" o:preferrelative="t" stroked="f" coordorigin="0,0" coordsize="21600,21600">
            <v:fill on="f" color2="#FFFFFF" focus="0%"/>
            <v:imagedata gain="65536f" blacklevel="0f" gamma="0" o:title="1583465230(1)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360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eastAsia="仿宋_GB2312"/>
          <w:b/>
          <w:bCs/>
          <w:sz w:val="28"/>
          <w:szCs w:val="28"/>
        </w:rPr>
      </w:pPr>
      <w:bookmarkStart w:id="15" w:name="_Toc209014537"/>
      <w:bookmarkStart w:id="16" w:name="_Toc211308538"/>
      <w:bookmarkStart w:id="17" w:name="_Toc234647684"/>
    </w:p>
    <w:p>
      <w:pPr>
        <w:widowControl w:val="0"/>
        <w:wordWrap/>
        <w:adjustRightInd/>
        <w:snapToGrid/>
        <w:spacing w:line="360" w:lineRule="auto"/>
        <w:ind w:left="0" w:leftChars="0" w:right="0" w:firstLine="0" w:firstLineChars="0"/>
        <w:jc w:val="center"/>
        <w:textAlignment w:val="auto"/>
        <w:outlineLvl w:val="9"/>
        <w:rPr>
          <w:rFonts w:hint="eastAsia" w:ascii="仿宋_GB2312" w:eastAsia="仿宋_GB2312"/>
          <w:b/>
          <w:bCs/>
          <w:sz w:val="28"/>
          <w:szCs w:val="28"/>
          <w:lang w:eastAsia="zh-CN"/>
        </w:rPr>
      </w:pPr>
      <w:r>
        <w:rPr>
          <w:rFonts w:hint="eastAsia" w:ascii="仿宋_GB2312" w:hAnsi="Calibri" w:eastAsia="仿宋_GB2312" w:cs="Times New Roman"/>
          <w:b w:val="0"/>
          <w:bCs w:val="0"/>
          <w:kern w:val="2"/>
          <w:sz w:val="30"/>
          <w:szCs w:val="30"/>
          <w:lang w:val="en-US" w:eastAsia="zh-CN" w:bidi="ar-SA"/>
        </w:rPr>
        <w:pict>
          <v:shape id="Picture 9" o:spid="_x0000_s1032" type="#_x0000_t75" style="height:274.85pt;width:427.2pt;rotation:0f;" o:ole="f" fillcolor="#FFFFFF" filled="f" o:preferrelative="t" stroked="f" coordorigin="0,0" coordsize="21600,21600">
            <v:fill on="f" color2="#FFFFFF" focus="0%"/>
            <v:imagedata gain="65536f" blacklevel="0f" gamma="0" o:title="1583465279(1)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beforeLines="0" w:afterLines="0" w:line="360" w:lineRule="auto"/>
        <w:ind w:left="0" w:leftChars="0" w:right="0" w:firstLine="60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sz w:val="30"/>
          <w:szCs w:val="30"/>
        </w:rPr>
      </w:pPr>
    </w:p>
    <w:p>
      <w:pPr>
        <w:widowControl w:val="0"/>
        <w:wordWrap/>
        <w:adjustRightInd/>
        <w:snapToGrid/>
        <w:spacing w:beforeLines="0" w:afterLines="0" w:line="360" w:lineRule="auto"/>
        <w:ind w:left="0" w:leftChars="0" w:right="0" w:firstLine="60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二、业务管理员</w:t>
      </w:r>
      <w:bookmarkEnd w:id="15"/>
      <w:bookmarkEnd w:id="16"/>
      <w:bookmarkEnd w:id="17"/>
      <w:r>
        <w:rPr>
          <w:rFonts w:hint="eastAsia" w:ascii="仿宋" w:hAnsi="仿宋" w:eastAsia="仿宋" w:cs="仿宋"/>
          <w:b/>
          <w:bCs/>
          <w:sz w:val="30"/>
          <w:szCs w:val="30"/>
        </w:rPr>
        <w:t>新建企业业务操作员</w:t>
      </w:r>
    </w:p>
    <w:bookmarkEnd w:id="1"/>
    <w:bookmarkEnd w:id="2"/>
    <w:p>
      <w:pPr>
        <w:pStyle w:val="11"/>
        <w:widowControl w:val="0"/>
        <w:wordWrap w:val="0"/>
        <w:adjustRightInd/>
        <w:snapToGrid/>
        <w:spacing w:beforeLines="0" w:afterLines="0" w:line="360" w:lineRule="auto"/>
        <w:ind w:left="0" w:leftChars="0" w:right="0" w:firstLine="600" w:firstLineChars="0"/>
        <w:jc w:val="both"/>
        <w:textAlignment w:val="auto"/>
        <w:outlineLvl w:val="9"/>
        <w:rPr>
          <w:rFonts w:hint="eastAsia" w:ascii="仿宋_GB2312" w:hAnsi="Times New Roman" w:eastAsia="仿宋_GB2312" w:cs="Times New Roman"/>
          <w:kern w:val="0"/>
          <w:sz w:val="30"/>
          <w:szCs w:val="30"/>
        </w:rPr>
      </w:pPr>
      <w:r>
        <w:rPr>
          <w:rFonts w:hint="eastAsia" w:ascii="仿宋_GB2312" w:hAnsi="Times New Roman" w:eastAsia="仿宋_GB2312"/>
          <w:kern w:val="0"/>
          <w:sz w:val="30"/>
          <w:szCs w:val="30"/>
        </w:rPr>
        <w:t>（一）在IE浏览器地址栏中输入</w:t>
      </w:r>
      <w:r>
        <w:rPr>
          <w:rFonts w:hint="eastAsia" w:ascii="仿宋_GB2312" w:hAnsi="Times New Roman" w:eastAsia="仿宋_GB2312" w:cs="Times New Roman"/>
          <w:kern w:val="0"/>
          <w:sz w:val="30"/>
          <w:szCs w:val="30"/>
        </w:rPr>
        <w:t>http://zwfw.safe.gov.cn/asone/，然后回车，会出现登录首页。</w:t>
      </w:r>
      <w:r>
        <w:rPr>
          <w:rFonts w:hint="eastAsia" w:ascii="仿宋_GB2312" w:hAnsi="Times New Roman" w:eastAsia="仿宋_GB2312" w:cs="Times New Roman"/>
          <w:kern w:val="0"/>
          <w:sz w:val="30"/>
          <w:szCs w:val="30"/>
          <w:lang w:eastAsia="zh-CN"/>
        </w:rPr>
        <w:t>见下图：</w:t>
      </w:r>
    </w:p>
    <w:p>
      <w:pPr>
        <w:pStyle w:val="11"/>
        <w:widowControl w:val="0"/>
        <w:wordWrap/>
        <w:adjustRightInd/>
        <w:snapToGrid w:val="0"/>
        <w:spacing w:line="360" w:lineRule="auto"/>
        <w:ind w:left="0" w:leftChars="0" w:right="0" w:firstLine="0" w:firstLineChars="0"/>
        <w:jc w:val="center"/>
        <w:textAlignment w:val="auto"/>
        <w:outlineLvl w:val="9"/>
        <w:rPr>
          <w:rFonts w:hint="eastAsia" w:ascii="仿宋_GB2312" w:hAnsi="宋体" w:eastAsia="仿宋_GB2312" w:cs="Arial"/>
          <w:sz w:val="28"/>
          <w:szCs w:val="28"/>
        </w:rPr>
      </w:pPr>
      <w:r>
        <w:rPr>
          <w:rFonts w:ascii="仿宋_GB2312" w:hAnsi="宋体" w:eastAsia="仿宋_GB2312" w:cs="Times New Roman"/>
          <w:b/>
          <w:kern w:val="2"/>
          <w:sz w:val="28"/>
          <w:szCs w:val="28"/>
          <w:lang w:val="en-US" w:eastAsia="zh-CN" w:bidi="ar-SA"/>
        </w:rPr>
        <w:pict>
          <v:shape id="Picture 10" o:spid="_x0000_s1033" type="#_x0000_t75" style="height:251.25pt;width:451.1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  <w:widowControl/>
        <w:wordWrap w:val="0"/>
        <w:adjustRightInd/>
        <w:snapToGrid/>
        <w:spacing w:before="0" w:beforeLines="0" w:beforeAutospacing="0" w:after="0" w:afterLines="0" w:afterAutospacing="0" w:line="360" w:lineRule="auto"/>
        <w:ind w:left="0" w:leftChars="0" w:right="0" w:firstLine="600" w:firstLineChars="2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-SA"/>
        </w:rPr>
        <w:t>在首页右侧用户登录框中，机构代码处输入企业的组织机构代码、用户代码输入ba,用户密码详见银行为企业打印的“国际收支网上申报用户信息”上的密码，然后单击“登录”按钮登录。</w:t>
      </w:r>
    </w:p>
    <w:p>
      <w:pPr>
        <w:pStyle w:val="7"/>
        <w:widowControl/>
        <w:wordWrap w:val="0"/>
        <w:adjustRightInd/>
        <w:snapToGrid/>
        <w:spacing w:before="0" w:beforeLines="0" w:beforeAutospacing="0" w:after="0" w:afterLines="0" w:afterAutospacing="0" w:line="360" w:lineRule="auto"/>
        <w:ind w:left="0" w:leftChars="0" w:right="0" w:firstLine="600" w:firstLineChars="200"/>
        <w:jc w:val="both"/>
        <w:textAlignment w:val="auto"/>
        <w:outlineLvl w:val="9"/>
        <w:rPr>
          <w:rFonts w:hint="eastAsia" w:ascii="仿宋" w:hAnsi="仿宋" w:eastAsia="仿宋" w:cs="仿宋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-SA"/>
        </w:rPr>
        <w:t>（二）使用企业业务管理员用户(ba)登录到数字外管平台后，单击“用户角色管理”</w:t>
      </w:r>
      <w:r>
        <w:rPr>
          <w:rFonts w:hint="default" w:ascii="Arial" w:hAnsi="Arial" w:eastAsia="仿宋" w:cs="Arial"/>
          <w:kern w:val="0"/>
          <w:sz w:val="30"/>
          <w:szCs w:val="30"/>
          <w:lang w:val="en-US" w:eastAsia="zh-CN" w:bidi="ar-SA"/>
        </w:rPr>
        <w:t>→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-SA"/>
        </w:rPr>
        <w:t>“业务操作员维护”</w:t>
      </w:r>
      <w:r>
        <w:rPr>
          <w:rFonts w:hint="default" w:ascii="Arial" w:hAnsi="Arial" w:eastAsia="仿宋" w:cs="Arial"/>
          <w:kern w:val="0"/>
          <w:sz w:val="30"/>
          <w:szCs w:val="30"/>
          <w:lang w:val="en-US" w:eastAsia="zh-CN" w:bidi="ar-SA"/>
        </w:rPr>
        <w:t>→</w:t>
      </w:r>
      <w:r>
        <w:rPr>
          <w:rFonts w:hint="eastAsia" w:ascii="Arial" w:hAnsi="Arial" w:eastAsia="仿宋" w:cs="Arial"/>
          <w:kern w:val="0"/>
          <w:sz w:val="30"/>
          <w:szCs w:val="30"/>
          <w:lang w:val="en-US" w:eastAsia="zh-CN" w:bidi="ar-SA"/>
        </w:rPr>
        <w:t>“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-SA"/>
        </w:rPr>
        <w:t>增加</w:t>
      </w:r>
      <w:r>
        <w:rPr>
          <w:rFonts w:hint="eastAsia" w:ascii="Arial" w:hAnsi="Arial" w:eastAsia="仿宋" w:cs="Arial"/>
          <w:kern w:val="0"/>
          <w:sz w:val="30"/>
          <w:szCs w:val="30"/>
          <w:lang w:val="en-US" w:eastAsia="zh-CN" w:bidi="ar-SA"/>
        </w:rPr>
        <w:t>”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-SA"/>
        </w:rPr>
        <w:t>。见下图：</w:t>
      </w:r>
    </w:p>
    <w:p>
      <w:pPr>
        <w:widowControl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Picture 11" o:spid="_x0000_s1034" alt="C:\Users\THTF\Desktop\企业管理).png企业管理)" type="#_x0000_t75" style="height:252.2pt;width:451.85pt;rotation:0f;" o:ole="f" fillcolor="#FFFFFF" filled="f" o:preferrelative="t" stroked="f" coordorigin="0,0" coordsize="21600,21600">
            <v:fill on="f" color2="#FFFFFF" focus="0%"/>
            <v:imagedata gain="65536f" blacklevel="0f" gamma="0" o:title="企业管理)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napToGrid w:val="0"/>
        <w:spacing w:line="360" w:lineRule="auto"/>
        <w:rPr>
          <w:rFonts w:ascii="仿宋_GB2312" w:hAnsi="宋体" w:eastAsia="仿宋_GB2312"/>
          <w:sz w:val="28"/>
          <w:szCs w:val="28"/>
        </w:rPr>
      </w:pPr>
    </w:p>
    <w:p>
      <w:pPr>
        <w:pStyle w:val="7"/>
        <w:jc w:val="center"/>
        <w:rPr>
          <w:rFonts w:hint="eastAsia" w:ascii="微软雅黑" w:hAnsi="微软雅黑" w:eastAsia="微软雅黑"/>
          <w:color w:val="000000"/>
          <w:sz w:val="29"/>
          <w:szCs w:val="29"/>
          <w:lang w:eastAsia="zh-CN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9"/>
          <w:szCs w:val="29"/>
          <w:lang w:val="en-US" w:eastAsia="zh-CN" w:bidi="ar-SA"/>
        </w:rPr>
        <w:pict>
          <v:shape id="Picture 12" o:spid="_x0000_s1035" alt="C:\Users\THTF\Desktop\企业管理2.jpg企业管理2" type="#_x0000_t75" style="height:279.35pt;width:471.3pt;rotation:0f;" o:ole="f" fillcolor="#FFFFFF" filled="f" o:preferrelative="t" stroked="f" coordorigin="0,0" coordsize="21600,21600">
            <v:fill on="f" color2="#FFFFFF" focus="0%"/>
            <v:imagedata gain="65536f" blacklevel="0f" gamma="0" o:title="企业管理2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pacing w:beforeLines="0" w:afterLines="0" w:line="360" w:lineRule="auto"/>
        <w:ind w:left="0" w:leftChars="0" w:right="0" w:firstLine="600" w:firstLineChars="200"/>
        <w:jc w:val="both"/>
        <w:textAlignment w:val="auto"/>
        <w:outlineLvl w:val="9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在上图业务操作员的增加界面，输入用户代码、用户名称（为企业业务操作员姓名）、联系电话、邮箱地址、初始密码，其中用户代码、用户名称、初始密码为必填项，用户代码不能重复，在角色分配区域，为该业务操作员分配角色，单击保存按钮。</w:t>
      </w:r>
      <w:r>
        <w:rPr>
          <w:rFonts w:hint="eastAsia" w:ascii="仿宋_GB2312" w:eastAsia="仿宋_GB2312"/>
          <w:sz w:val="30"/>
          <w:szCs w:val="30"/>
          <w:lang w:eastAsia="zh-CN"/>
        </w:rPr>
        <w:t>见</w:t>
      </w:r>
      <w:r>
        <w:rPr>
          <w:rFonts w:hint="eastAsia" w:ascii="仿宋_GB2312" w:eastAsia="仿宋_GB2312"/>
          <w:sz w:val="30"/>
          <w:szCs w:val="30"/>
        </w:rPr>
        <w:t>下图：</w:t>
      </w:r>
    </w:p>
    <w:p>
      <w:pPr>
        <w:pStyle w:val="7"/>
        <w:rPr>
          <w:rFonts w:hint="eastAsia" w:ascii="微软雅黑" w:hAnsi="微软雅黑" w:eastAsia="微软雅黑"/>
          <w:color w:val="000000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Picture 33" o:spid="_x0000_s1036" type="#_x0000_t75" style="height:284.45pt;width:425.6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360" w:lineRule="auto"/>
        <w:ind w:left="0" w:leftChars="0" w:right="0" w:firstLine="60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三、注意事项</w:t>
      </w:r>
    </w:p>
    <w:p>
      <w:pPr>
        <w:widowControl w:val="0"/>
        <w:wordWrap/>
        <w:adjustRightInd/>
        <w:snapToGrid/>
        <w:spacing w:line="360" w:lineRule="auto"/>
        <w:ind w:left="0" w:leftChars="0" w:right="0" w:firstLine="600" w:firstLineChars="2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.</w:t>
      </w:r>
      <w:r>
        <w:rPr>
          <w:rFonts w:hint="eastAsia" w:ascii="仿宋" w:hAnsi="仿宋" w:eastAsia="仿宋" w:cs="仿宋"/>
          <w:sz w:val="30"/>
          <w:szCs w:val="30"/>
        </w:rPr>
        <w:t>用户代码对应首页登录框中的用户代码，并且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一定要为该用户分配角色，</w:t>
      </w:r>
      <w:r>
        <w:rPr>
          <w:rFonts w:hint="eastAsia" w:ascii="仿宋" w:hAnsi="仿宋" w:eastAsia="仿宋" w:cs="仿宋"/>
          <w:sz w:val="30"/>
          <w:szCs w:val="30"/>
        </w:rPr>
        <w:t>否则新建用户登录系统后没有可以访问的资源。</w:t>
      </w:r>
    </w:p>
    <w:p>
      <w:pPr>
        <w:widowControl w:val="0"/>
        <w:wordWrap/>
        <w:adjustRightInd/>
        <w:snapToGrid/>
        <w:spacing w:line="360" w:lineRule="auto"/>
        <w:ind w:left="0" w:leftChars="0" w:right="0" w:firstLine="600" w:firstLineChars="2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.</w:t>
      </w:r>
      <w:r>
        <w:rPr>
          <w:rFonts w:hint="eastAsia" w:ascii="仿宋" w:hAnsi="仿宋" w:eastAsia="仿宋" w:cs="仿宋"/>
          <w:sz w:val="30"/>
          <w:szCs w:val="30"/>
        </w:rPr>
        <w:t>企业的业务管理员和业务管理员创建的业务操作员可以登录系统，用户密码要妥善保管，以防被人盗用。</w:t>
      </w:r>
    </w:p>
    <w:p>
      <w:pPr>
        <w:widowControl w:val="0"/>
        <w:wordWrap/>
        <w:adjustRightInd/>
        <w:snapToGrid/>
        <w:spacing w:line="360" w:lineRule="auto"/>
        <w:ind w:left="0" w:leftChars="0" w:right="0" w:firstLine="600" w:firstLineChars="2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3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.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日常应使用业务操作员用户登录系统办理网上国际收支申报，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  <w:t>而</w:t>
      </w:r>
      <w:r>
        <w:rPr>
          <w:rFonts w:hint="eastAsia" w:ascii="仿宋" w:hAnsi="仿宋" w:eastAsia="仿宋" w:cs="仿宋"/>
          <w:sz w:val="30"/>
          <w:szCs w:val="30"/>
        </w:rPr>
        <w:t>ba为用户管理员，是用于设置和管理业务操作员权限的。</w:t>
      </w:r>
    </w:p>
    <w:p>
      <w:pPr>
        <w:widowControl w:val="0"/>
        <w:wordWrap/>
        <w:adjustRightInd/>
        <w:snapToGrid/>
        <w:spacing w:line="360" w:lineRule="auto"/>
        <w:ind w:left="0" w:leftChars="0" w:right="0" w:firstLine="60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四、业务操作员用户登陆系统进行申报</w:t>
      </w:r>
    </w:p>
    <w:p>
      <w:pPr>
        <w:widowControl w:val="0"/>
        <w:wordWrap/>
        <w:adjustRightInd/>
        <w:snapToGrid/>
        <w:spacing w:line="360" w:lineRule="auto"/>
        <w:ind w:left="0" w:leftChars="0" w:right="0" w:firstLine="600" w:firstLineChars="200"/>
        <w:jc w:val="both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30"/>
          <w:szCs w:val="30"/>
        </w:rPr>
        <w:t>（一）业务操作员在首页右侧用户登录框中，机构代码处输入企业的组织机构代码、用户代码输入已设置的用户代码 ，首次登陆时用户密码处输入已设置的初始密码,登陆后会提示修改初始密码。</w:t>
      </w:r>
    </w:p>
    <w:p>
      <w:pPr>
        <w:snapToGrid w:val="0"/>
        <w:spacing w:line="360" w:lineRule="auto"/>
        <w:ind w:firstLine="0" w:firstLineChars="0"/>
        <w:jc w:val="center"/>
        <w:rPr>
          <w:rFonts w:ascii="仿宋_GB2312" w:hAnsi="宋体" w:eastAsia="仿宋_GB2312"/>
          <w:b/>
          <w:sz w:val="28"/>
          <w:szCs w:val="28"/>
        </w:rPr>
      </w:pPr>
      <w:r>
        <w:rPr>
          <w:rFonts w:ascii="仿宋_GB2312" w:hAnsi="宋体" w:eastAsia="仿宋_GB2312" w:cs="Times New Roman"/>
          <w:b/>
          <w:kern w:val="2"/>
          <w:sz w:val="28"/>
          <w:szCs w:val="28"/>
          <w:lang w:val="en-US" w:eastAsia="zh-CN" w:bidi="ar-SA"/>
        </w:rPr>
        <w:pict>
          <v:shape id="Picture 14" o:spid="_x0000_s1037" type="#_x0000_t75" style="height:251.25pt;width:451.1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napToGrid w:val="0"/>
        <w:spacing w:line="360" w:lineRule="auto"/>
        <w:ind w:firstLine="600" w:firstLineChars="200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（二）业务操作员登陆后，在“</w:t>
      </w:r>
      <w:r>
        <w:rPr>
          <w:rFonts w:hint="eastAsia" w:ascii="仿宋_GB2312" w:hAnsi="宋体" w:eastAsia="仿宋_GB2312"/>
          <w:sz w:val="30"/>
          <w:szCs w:val="30"/>
          <w:lang w:eastAsia="zh-CN"/>
        </w:rPr>
        <w:t>数据申报</w:t>
      </w:r>
      <w:r>
        <w:rPr>
          <w:rFonts w:hint="eastAsia" w:ascii="仿宋_GB2312" w:hAnsi="宋体" w:eastAsia="仿宋_GB2312"/>
          <w:sz w:val="30"/>
          <w:szCs w:val="30"/>
          <w:lang w:val="en-US" w:eastAsia="zh-CN"/>
        </w:rPr>
        <w:t>-涉外收入申报单</w:t>
      </w:r>
      <w:r>
        <w:rPr>
          <w:rFonts w:hint="eastAsia" w:ascii="仿宋_GB2312" w:hAnsi="宋体" w:eastAsia="仿宋_GB2312"/>
          <w:sz w:val="30"/>
          <w:szCs w:val="30"/>
        </w:rPr>
        <w:t>”模块进行</w:t>
      </w:r>
      <w:r>
        <w:rPr>
          <w:rFonts w:hint="eastAsia" w:ascii="仿宋_GB2312" w:hAnsi="宋体" w:eastAsia="仿宋_GB2312"/>
          <w:sz w:val="30"/>
          <w:szCs w:val="30"/>
          <w:lang w:eastAsia="zh-CN"/>
        </w:rPr>
        <w:t>国际收支涉外收入数据</w:t>
      </w:r>
      <w:r>
        <w:rPr>
          <w:rFonts w:hint="eastAsia" w:ascii="仿宋_GB2312" w:hAnsi="宋体" w:eastAsia="仿宋_GB2312"/>
          <w:sz w:val="30"/>
          <w:szCs w:val="30"/>
        </w:rPr>
        <w:t>的申报工作。</w:t>
      </w:r>
    </w:p>
    <w:p>
      <w:pPr>
        <w:snapToGrid w:val="0"/>
        <w:spacing w:line="360" w:lineRule="auto"/>
        <w:ind w:firstLine="0" w:firstLineChars="0"/>
        <w:jc w:val="center"/>
        <w:rPr>
          <w:rFonts w:ascii="仿宋_GB2312" w:hAnsi="宋体" w:eastAsia="仿宋_GB2312"/>
          <w:sz w:val="28"/>
          <w:szCs w:val="28"/>
        </w:rPr>
      </w:pPr>
      <w:r>
        <w:rPr>
          <w:rFonts w:ascii="仿宋_GB2312" w:hAnsi="宋体" w:eastAsia="仿宋_GB2312" w:cs="Times New Roman"/>
          <w:kern w:val="2"/>
          <w:sz w:val="28"/>
          <w:szCs w:val="28"/>
          <w:lang w:val="en-US" w:eastAsia="zh-CN" w:bidi="ar-SA"/>
        </w:rPr>
        <w:pict>
          <v:shape id="Picture 15" o:spid="_x0000_s1038" alt="C:\Users\THTF\Desktop\123.jpg123" type="#_x0000_t75" style="height:267.3pt;width:449.6pt;rotation:0f;" o:ole="f" fillcolor="#FFFFFF" filled="f" o:preferrelative="t" stroked="f" coordorigin="0,0" coordsize="21600,21600">
            <v:fill on="f" color2="#FFFFFF" focus="0%"/>
            <v:imagedata gain="65536f" blacklevel="0f" gamma="0" o:title="123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1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.</w:t>
      </w:r>
      <w:r>
        <w:rPr>
          <w:rFonts w:hint="eastAsia" w:ascii="仿宋_GB2312" w:eastAsia="仿宋_GB2312"/>
          <w:sz w:val="30"/>
          <w:szCs w:val="30"/>
        </w:rPr>
        <w:t>操作步骤</w:t>
      </w:r>
    </w:p>
    <w:p>
      <w:pPr>
        <w:spacing w:line="360" w:lineRule="auto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打开</w:t>
      </w:r>
      <w:r>
        <w:rPr>
          <w:rFonts w:hint="eastAsia" w:ascii="仿宋_GB2312" w:eastAsia="仿宋_GB2312"/>
          <w:sz w:val="30"/>
          <w:szCs w:val="30"/>
          <w:lang w:eastAsia="zh-CN"/>
        </w:rPr>
        <w:t>数据申报</w:t>
      </w:r>
      <w:r>
        <w:rPr>
          <w:rFonts w:hint="default" w:ascii="Arial" w:hAnsi="Arial" w:eastAsia="仿宋_GB2312" w:cs="Arial"/>
          <w:sz w:val="30"/>
          <w:szCs w:val="30"/>
        </w:rPr>
        <w:t>→</w:t>
      </w:r>
      <w:r>
        <w:rPr>
          <w:rFonts w:hint="eastAsia" w:ascii="仿宋_GB2312" w:eastAsia="仿宋_GB2312"/>
          <w:sz w:val="30"/>
          <w:szCs w:val="30"/>
        </w:rPr>
        <w:t>涉外收入申报单</w:t>
      </w:r>
      <w:r>
        <w:rPr>
          <w:rFonts w:hint="default" w:ascii="Arial" w:hAnsi="Arial" w:eastAsia="仿宋_GB2312" w:cs="Arial"/>
          <w:sz w:val="30"/>
          <w:szCs w:val="30"/>
        </w:rPr>
        <w:t>→</w:t>
      </w:r>
      <w:r>
        <w:rPr>
          <w:rFonts w:hint="eastAsia" w:ascii="仿宋_GB2312" w:eastAsia="仿宋_GB2312"/>
          <w:sz w:val="30"/>
          <w:szCs w:val="30"/>
        </w:rPr>
        <w:t>申报信息录入</w:t>
      </w:r>
      <w:r>
        <w:rPr>
          <w:rFonts w:hint="eastAsia" w:ascii="仿宋_GB2312" w:eastAsia="仿宋_GB2312"/>
          <w:sz w:val="30"/>
          <w:szCs w:val="30"/>
          <w:lang w:eastAsia="zh-CN"/>
        </w:rPr>
        <w:t>，</w:t>
      </w:r>
      <w:r>
        <w:rPr>
          <w:rFonts w:hint="eastAsia" w:ascii="仿宋_GB2312" w:eastAsia="仿宋_GB2312"/>
          <w:sz w:val="30"/>
          <w:szCs w:val="30"/>
        </w:rPr>
        <w:t>系统会自动显示待申报的信息列表页面</w:t>
      </w:r>
      <w:r>
        <w:rPr>
          <w:rFonts w:hint="eastAsia" w:ascii="仿宋_GB2312" w:eastAsia="仿宋_GB2312"/>
          <w:sz w:val="30"/>
          <w:szCs w:val="30"/>
          <w:lang w:eastAsia="zh-CN"/>
        </w:rPr>
        <w:t>。见下</w:t>
      </w:r>
      <w:r>
        <w:rPr>
          <w:rFonts w:hint="eastAsia" w:ascii="仿宋_GB2312" w:eastAsia="仿宋_GB2312"/>
          <w:sz w:val="30"/>
          <w:szCs w:val="30"/>
        </w:rPr>
        <w:t>图：</w:t>
      </w:r>
    </w:p>
    <w:p>
      <w:pPr>
        <w:spacing w:line="360" w:lineRule="auto"/>
        <w:jc w:val="center"/>
        <w:rPr>
          <w:rFonts w:ascii="仿宋_GB2312" w:hAnsi="Calibri" w:eastAsia="仿宋_GB2312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宋体" w:eastAsia="仿宋_GB2312" w:cs="Times New Roman"/>
          <w:kern w:val="2"/>
          <w:sz w:val="28"/>
          <w:szCs w:val="28"/>
          <w:lang w:val="en-US" w:eastAsia="zh-CN" w:bidi="ar-SA"/>
        </w:rPr>
        <w:pict>
          <v:shape id="图片 35" o:spid="_x0000_s1039" alt="C:\Users\THTF\Desktop\待申报页面.jpg待申报页面" type="#_x0000_t75" style="position:absolute;left:0;margin-left:-30.65pt;margin-top:16.15pt;height:247.95pt;width:501.85pt;mso-wrap-distance-bottom:0pt;mso-wrap-distance-left:9pt;mso-wrap-distance-right:9pt;mso-wrap-distance-top:0pt;rotation:0f;z-index:251659264;" o:ole="f" fillcolor="#FFFFFF" filled="f" o:preferrelative="t" stroked="f" coordorigin="0,0" coordsize="21600,21600">
            <v:fill on="f" color2="#FFFFFF" focus="0%"/>
            <v:imagedata gain="65536f" blacklevel="0f" gamma="0" o:title="待申报页面" r:id="rId22"/>
            <o:lock v:ext="edit" position="f" selection="f" grouping="f" rotation="f" cropping="f" text="f" aspectratio="t"/>
            <w10:wrap type="square"/>
          </v:shape>
        </w:pict>
      </w:r>
    </w:p>
    <w:p>
      <w:pPr>
        <w:spacing w:line="360" w:lineRule="auto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在查询结果列表中点击相关的申报号码，进入申报单录入页面</w:t>
      </w:r>
      <w:r>
        <w:rPr>
          <w:rFonts w:hint="eastAsia" w:ascii="仿宋_GB2312" w:eastAsia="仿宋_GB2312"/>
          <w:sz w:val="30"/>
          <w:szCs w:val="30"/>
          <w:lang w:eastAsia="zh-CN"/>
        </w:rPr>
        <w:t>，</w:t>
      </w:r>
      <w:r>
        <w:rPr>
          <w:rFonts w:hint="eastAsia" w:ascii="仿宋_GB2312" w:eastAsia="仿宋_GB2312"/>
          <w:sz w:val="30"/>
          <w:szCs w:val="30"/>
        </w:rPr>
        <w:t>页面显示该申报单的基础信息</w:t>
      </w:r>
      <w:r>
        <w:rPr>
          <w:rFonts w:hint="eastAsia" w:ascii="仿宋_GB2312" w:eastAsia="仿宋_GB2312"/>
          <w:sz w:val="30"/>
          <w:szCs w:val="30"/>
          <w:lang w:eastAsia="zh-CN"/>
        </w:rPr>
        <w:t>。见下</w:t>
      </w:r>
      <w:r>
        <w:rPr>
          <w:rFonts w:hint="eastAsia" w:ascii="仿宋_GB2312" w:eastAsia="仿宋_GB2312"/>
          <w:sz w:val="30"/>
          <w:szCs w:val="30"/>
        </w:rPr>
        <w:t>图：</w:t>
      </w:r>
    </w:p>
    <w:p>
      <w:pPr>
        <w:spacing w:line="360" w:lineRule="auto"/>
        <w:jc w:val="center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37" o:spid="_x0000_s1040" type="#_x0000_t75" style="height:301.05pt;width:460.85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ordWrap/>
        <w:adjustRightInd/>
        <w:spacing w:beforeLines="0" w:afterLines="0" w:line="360" w:lineRule="auto"/>
        <w:ind w:left="0" w:leftChars="0" w:right="0" w:firstLine="600" w:firstLineChars="200"/>
        <w:textAlignment w:val="auto"/>
        <w:outlineLvl w:val="9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录入申报信息，点击“保存”按钮。</w:t>
      </w:r>
    </w:p>
    <w:p>
      <w:pPr>
        <w:wordWrap/>
        <w:adjustRightInd/>
        <w:spacing w:beforeLines="0" w:afterLines="0" w:line="360" w:lineRule="auto"/>
        <w:ind w:left="0" w:leftChars="0" w:right="0" w:firstLine="600" w:firstLineChars="200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 xml:space="preserve">注意事项： </w:t>
      </w:r>
    </w:p>
    <w:p>
      <w:pPr>
        <w:numPr>
          <w:numId w:val="0"/>
        </w:numPr>
        <w:wordWrap/>
        <w:adjustRightInd/>
        <w:spacing w:beforeLines="0" w:afterLines="0" w:line="360" w:lineRule="auto"/>
        <w:ind w:left="0" w:leftChars="0" w:right="0" w:firstLine="600" w:firstLineChars="200"/>
        <w:textAlignment w:val="auto"/>
        <w:outlineLvl w:val="9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1）</w:t>
      </w:r>
      <w:r>
        <w:rPr>
          <w:rFonts w:hint="eastAsia" w:ascii="仿宋" w:hAnsi="仿宋" w:eastAsia="仿宋" w:cs="仿宋"/>
          <w:sz w:val="30"/>
          <w:szCs w:val="30"/>
        </w:rPr>
        <w:t>申报日期要求大于等于收付汇日期，小于等于当前系统日期。</w:t>
      </w:r>
    </w:p>
    <w:p>
      <w:pPr>
        <w:pStyle w:val="7"/>
        <w:widowControl w:val="0"/>
        <w:shd w:val="clear" w:color="050000" w:fill="FFFFFF"/>
        <w:wordWrap/>
        <w:adjustRightInd/>
        <w:spacing w:before="0" w:beforeLines="0" w:beforeAutospacing="0" w:after="0" w:afterLines="0" w:afterAutospacing="0" w:line="360" w:lineRule="auto"/>
        <w:ind w:left="0" w:leftChars="0" w:right="0" w:firstLine="600" w:firstLineChars="200"/>
        <w:textAlignment w:val="auto"/>
        <w:outlineLvl w:val="9"/>
        <w:rPr>
          <w:rFonts w:hint="eastAsia" w:ascii="仿宋" w:hAnsi="仿宋" w:eastAsia="仿宋" w:cs="仿宋"/>
          <w:kern w:val="0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2）</w:t>
      </w:r>
      <w:r>
        <w:rPr>
          <w:rFonts w:hint="eastAsia" w:ascii="仿宋" w:hAnsi="仿宋" w:eastAsia="仿宋" w:cs="仿宋"/>
          <w:sz w:val="30"/>
          <w:szCs w:val="30"/>
        </w:rPr>
        <w:t>交易编码1必输，交易编码2选输。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-SA"/>
        </w:rPr>
        <w:t>如果一笔收款涉及多种大类性质(如货物贸易、服务、资本等)的交易，按照“贸易优先”的原则处理:例如一笔收款中包含货物贸易核查项下(包括来料加工和出料加工)及其他性质资金，无论货物贸易核查项下资金金额大小，申报主体必须在“交易编码1”、“相应金额1”栏填写货物贸易核查项下的交易编码及对应栏位金额，在“交易编码2”、“相应金额2”栏填写其他性质资金的交易编码及对应栏位金额;对于一笔收款涉及同一大类项下(货物贸易、服务、资本等)多个子项的，按照“金额从大”原则处理:例如一笔收付款中包含货物贸易项下一般贸易和进料加工的，其中一般贸易金额大于进料加工，申报主体必须在“交易编码1”、“相应金额1”栏填写一般贸易的交易编码及对应栏位金额，在“交易编码2</w:t>
      </w:r>
      <w:bookmarkStart w:id="18" w:name="_GoBack"/>
      <w:bookmarkEnd w:id="18"/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-SA"/>
        </w:rPr>
        <w:t>”、“相应金额2”栏填写进料加工的交易编码及对应栏位金额。</w:t>
      </w:r>
    </w:p>
    <w:p>
      <w:pPr>
        <w:pStyle w:val="7"/>
        <w:widowControl w:val="0"/>
        <w:shd w:val="clear" w:color="050000" w:fill="FFFFFF"/>
        <w:wordWrap/>
        <w:adjustRightInd/>
        <w:spacing w:before="0" w:beforeLines="0" w:beforeAutospacing="0" w:after="0" w:afterLines="0" w:afterAutospacing="0" w:line="360" w:lineRule="auto"/>
        <w:ind w:left="0" w:leftChars="0" w:right="0" w:firstLine="600" w:firstLineChars="200"/>
        <w:textAlignment w:val="auto"/>
        <w:outlineLvl w:val="9"/>
        <w:rPr>
          <w:rFonts w:hint="eastAsia" w:ascii="仿宋" w:hAnsi="仿宋" w:eastAsia="仿宋" w:cs="仿宋"/>
          <w:color w:val="auto"/>
          <w:sz w:val="30"/>
          <w:szCs w:val="30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3）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另外，两个交易编码对应金额之和必须等于收入款金额。</w:t>
      </w:r>
    </w:p>
    <w:p>
      <w:pPr>
        <w:wordWrap/>
        <w:adjustRightInd/>
        <w:snapToGrid w:val="0"/>
        <w:spacing w:line="360" w:lineRule="auto"/>
        <w:ind w:right="0"/>
        <w:textAlignment w:val="auto"/>
        <w:outlineLvl w:val="9"/>
        <w:rPr>
          <w:rFonts w:ascii="仿宋_GB2312" w:hAnsi="宋体" w:eastAsia="仿宋_GB2312"/>
          <w:sz w:val="28"/>
          <w:szCs w:val="28"/>
        </w:rPr>
      </w:pPr>
    </w:p>
    <w:sectPr>
      <w:headerReference r:id="rId6" w:type="first"/>
      <w:footerReference r:id="rId9" w:type="first"/>
      <w:headerReference r:id="rId4" w:type="default"/>
      <w:footerReference r:id="rId7" w:type="default"/>
      <w:headerReference r:id="rId5" w:type="even"/>
      <w:footerReference r:id="rId8" w:type="even"/>
      <w:pgSz w:w="11906" w:h="16838"/>
      <w:pgMar w:top="1474" w:right="1474" w:bottom="1474" w:left="147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CD0348"/>
    <w:rsid w:val="00086A62"/>
    <w:rsid w:val="000E2F84"/>
    <w:rsid w:val="0012441A"/>
    <w:rsid w:val="0023494C"/>
    <w:rsid w:val="002C0775"/>
    <w:rsid w:val="002D3BC6"/>
    <w:rsid w:val="00355190"/>
    <w:rsid w:val="00386147"/>
    <w:rsid w:val="00395810"/>
    <w:rsid w:val="004D3163"/>
    <w:rsid w:val="00534CE0"/>
    <w:rsid w:val="00580382"/>
    <w:rsid w:val="005D48C9"/>
    <w:rsid w:val="006A7AD8"/>
    <w:rsid w:val="00760EEF"/>
    <w:rsid w:val="00835051"/>
    <w:rsid w:val="008448DE"/>
    <w:rsid w:val="009222F3"/>
    <w:rsid w:val="00950D92"/>
    <w:rsid w:val="00A1719D"/>
    <w:rsid w:val="00A30F80"/>
    <w:rsid w:val="00AA6C7C"/>
    <w:rsid w:val="00B21822"/>
    <w:rsid w:val="00B83B16"/>
    <w:rsid w:val="00C27EA5"/>
    <w:rsid w:val="00C5219A"/>
    <w:rsid w:val="00C66A16"/>
    <w:rsid w:val="00CD0348"/>
    <w:rsid w:val="00D4128A"/>
    <w:rsid w:val="00D80417"/>
    <w:rsid w:val="00D974F9"/>
    <w:rsid w:val="00DB5ADE"/>
    <w:rsid w:val="00DC09E2"/>
    <w:rsid w:val="00DD6C76"/>
    <w:rsid w:val="00E95727"/>
    <w:rsid w:val="00F2066F"/>
    <w:rsid w:val="00FB2C75"/>
    <w:rsid w:val="02063F44"/>
    <w:rsid w:val="05CC560F"/>
    <w:rsid w:val="0B452013"/>
    <w:rsid w:val="1637776C"/>
    <w:rsid w:val="180B5AD3"/>
    <w:rsid w:val="19304823"/>
    <w:rsid w:val="1D3572AB"/>
    <w:rsid w:val="208C2876"/>
    <w:rsid w:val="23ED6247"/>
    <w:rsid w:val="246B5C29"/>
    <w:rsid w:val="253C147E"/>
    <w:rsid w:val="25F8348D"/>
    <w:rsid w:val="26421CE4"/>
    <w:rsid w:val="283435B0"/>
    <w:rsid w:val="288F421B"/>
    <w:rsid w:val="292A2385"/>
    <w:rsid w:val="2D0841D8"/>
    <w:rsid w:val="2E310109"/>
    <w:rsid w:val="2E6C16EE"/>
    <w:rsid w:val="2E7C5185"/>
    <w:rsid w:val="2FBC05B9"/>
    <w:rsid w:val="333E4305"/>
    <w:rsid w:val="33602AC3"/>
    <w:rsid w:val="33616C57"/>
    <w:rsid w:val="339616AF"/>
    <w:rsid w:val="34CC5E7F"/>
    <w:rsid w:val="358721B1"/>
    <w:rsid w:val="38351F22"/>
    <w:rsid w:val="389F18F3"/>
    <w:rsid w:val="39376713"/>
    <w:rsid w:val="394A3EE4"/>
    <w:rsid w:val="39A06F70"/>
    <w:rsid w:val="3BDC040E"/>
    <w:rsid w:val="3CC74F2A"/>
    <w:rsid w:val="44463B42"/>
    <w:rsid w:val="44EE0B22"/>
    <w:rsid w:val="45130713"/>
    <w:rsid w:val="454C48DC"/>
    <w:rsid w:val="45C63FF9"/>
    <w:rsid w:val="46635BAF"/>
    <w:rsid w:val="4985333C"/>
    <w:rsid w:val="4BD2728B"/>
    <w:rsid w:val="4D8971C2"/>
    <w:rsid w:val="5075308D"/>
    <w:rsid w:val="56813343"/>
    <w:rsid w:val="5CB64D5C"/>
    <w:rsid w:val="5D230C5E"/>
    <w:rsid w:val="5FA75671"/>
    <w:rsid w:val="602972C7"/>
    <w:rsid w:val="624D0FCA"/>
    <w:rsid w:val="625928CF"/>
    <w:rsid w:val="6371089C"/>
    <w:rsid w:val="65275FFA"/>
    <w:rsid w:val="698F6CBE"/>
    <w:rsid w:val="6C0576C7"/>
    <w:rsid w:val="6EA05391"/>
    <w:rsid w:val="70B11462"/>
    <w:rsid w:val="72210DF3"/>
    <w:rsid w:val="73325A86"/>
    <w:rsid w:val="7385284D"/>
    <w:rsid w:val="750957AB"/>
    <w:rsid w:val="75BE0471"/>
    <w:rsid w:val="7A230972"/>
    <w:rsid w:val="7B6C08BE"/>
    <w:rsid w:val="7D0C76F5"/>
    <w:rsid w:val="7E9733DE"/>
    <w:rsid w:val="7F0E6500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ind w:firstLine="200" w:firstLineChars="200"/>
      <w:outlineLvl w:val="0"/>
    </w:pPr>
    <w:rPr>
      <w:rFonts w:eastAsia="仿宋_GB2312"/>
      <w:b/>
      <w:bCs/>
      <w:kern w:val="44"/>
      <w:sz w:val="32"/>
      <w:szCs w:val="44"/>
    </w:rPr>
  </w:style>
  <w:style w:type="paragraph" w:styleId="3">
    <w:name w:val="heading 2"/>
    <w:basedOn w:val="1"/>
    <w:next w:val="1"/>
    <w:qFormat/>
    <w:uiPriority w:val="9"/>
    <w:pPr>
      <w:keepNext/>
      <w:widowControl/>
      <w:ind w:firstLine="200" w:firstLineChars="200"/>
      <w:outlineLvl w:val="1"/>
    </w:pPr>
    <w:rPr>
      <w:rFonts w:ascii="Arial" w:hAnsi="Arial" w:eastAsia="仿宋_GB2312"/>
      <w:b/>
      <w:bCs/>
      <w:kern w:val="0"/>
      <w:sz w:val="30"/>
      <w:szCs w:val="32"/>
    </w:rPr>
  </w:style>
  <w:style w:type="character" w:default="1" w:styleId="8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Style w:val="10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4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Hyperlink"/>
    <w:qFormat/>
    <w:uiPriority w:val="0"/>
    <w:rPr>
      <w:color w:val="0000FF"/>
      <w:u w:val="single"/>
    </w:rPr>
  </w:style>
  <w:style w:type="paragraph" w:customStyle="1" w:styleId="11">
    <w:name w:val="List Paragraph"/>
    <w:basedOn w:val="1"/>
    <w:qFormat/>
    <w:uiPriority w:val="0"/>
    <w:pPr>
      <w:ind w:firstLine="420" w:firstLineChars="200"/>
    </w:pPr>
  </w:style>
  <w:style w:type="paragraph" w:customStyle="1" w:styleId="12">
    <w:name w:val="正文15行距"/>
    <w:basedOn w:val="1"/>
    <w:qFormat/>
    <w:uiPriority w:val="99"/>
    <w:pPr>
      <w:spacing w:line="360" w:lineRule="auto"/>
    </w:pPr>
    <w:rPr>
      <w:rFonts w:ascii="Times New Roman" w:hAnsi="Times New Roman"/>
      <w:szCs w:val="21"/>
    </w:rPr>
  </w:style>
  <w:style w:type="character" w:customStyle="1" w:styleId="13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4">
    <w:name w:val="页眉 Char"/>
    <w:basedOn w:val="8"/>
    <w:link w:val="6"/>
    <w:semiHidden/>
    <w:qFormat/>
    <w:uiPriority w:val="99"/>
    <w:rPr>
      <w:sz w:val="18"/>
      <w:szCs w:val="18"/>
    </w:rPr>
  </w:style>
  <w:style w:type="character" w:customStyle="1" w:styleId="15">
    <w:name w:val="页脚 Char"/>
    <w:basedOn w:val="8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3" Type="http://schemas.openxmlformats.org/officeDocument/2006/relationships/settings" Target="settings.xml"/><Relationship Id="rId24" Type="http://schemas.openxmlformats.org/officeDocument/2006/relationships/customXml" Target="../customXml/item1.xml"/><Relationship Id="rId23" Type="http://schemas.openxmlformats.org/officeDocument/2006/relationships/image" Target="media/image13.png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0" Type="http://schemas.openxmlformats.org/officeDocument/2006/relationships/image" Target="media/image10.png"/><Relationship Id="rId2" Type="http://schemas.openxmlformats.org/officeDocument/2006/relationships/styles" Target="styles.xml"/><Relationship Id="rId19" Type="http://schemas.openxmlformats.org/officeDocument/2006/relationships/image" Target="media/image9.jpe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jpe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ss</Company>
  <Pages>12</Pages>
  <Words>333</Words>
  <Characters>1900</Characters>
  <Lines>15</Lines>
  <Paragraphs>4</Paragraphs>
  <ScaleCrop>false</ScaleCrop>
  <LinksUpToDate>false</LinksUpToDate>
  <CharactersWithSpaces>0</CharactersWithSpaces>
  <Application>WPS Office 专业版_9.1.0.4895_{F1E327BC-269C-435d-A152-05C5408002CA}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2018-07-17T08:51:00Z</dcterms:created>
  <dc:creator>fzgr01</dc:creator>
  <cp:lastModifiedBy>0</cp:lastModifiedBy>
  <cp:lastPrinted>2020-03-16T02:22:00Z</cp:lastPrinted>
  <dcterms:modified xsi:type="dcterms:W3CDTF">2020-03-16T09:20:30Z</dcterms:modified>
  <dc:title>国际收支网上申报操作指引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2052-9.1.0.4895</vt:lpwstr>
  </property>
</Properties>
</file>