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12" w:rsidRDefault="00846E12" w:rsidP="00846E12">
      <w:pPr>
        <w:ind w:firstLineChars="200" w:firstLine="480"/>
        <w:rPr>
          <w:rFonts w:ascii="宋体" w:hAnsi="宋体"/>
          <w:sz w:val="24"/>
        </w:rPr>
      </w:pPr>
    </w:p>
    <w:tbl>
      <w:tblPr>
        <w:tblW w:w="5000" w:type="pct"/>
        <w:tblLayout w:type="fixed"/>
        <w:tblLook w:val="04A0"/>
      </w:tblPr>
      <w:tblGrid>
        <w:gridCol w:w="1526"/>
        <w:gridCol w:w="860"/>
        <w:gridCol w:w="2205"/>
        <w:gridCol w:w="1854"/>
        <w:gridCol w:w="2083"/>
      </w:tblGrid>
      <w:tr w:rsidR="00846E12" w:rsidRPr="00A06344" w:rsidTr="003E2804">
        <w:trPr>
          <w:trHeight w:val="993"/>
        </w:trPr>
        <w:tc>
          <w:tcPr>
            <w:tcW w:w="5000" w:type="pct"/>
            <w:gridSpan w:val="5"/>
            <w:tcBorders>
              <w:top w:val="nil"/>
              <w:left w:val="nil"/>
              <w:bottom w:val="nil"/>
              <w:right w:val="nil"/>
            </w:tcBorders>
            <w:shd w:val="clear" w:color="auto" w:fill="auto"/>
            <w:vAlign w:val="center"/>
            <w:hideMark/>
          </w:tcPr>
          <w:p w:rsidR="00846E12" w:rsidRPr="00453792" w:rsidRDefault="00846E12" w:rsidP="003E2804">
            <w:pPr>
              <w:widowControl/>
              <w:jc w:val="center"/>
              <w:rPr>
                <w:rFonts w:ascii="宋体" w:hAnsi="宋体" w:cs="宋体"/>
                <w:b/>
                <w:bCs/>
                <w:kern w:val="0"/>
                <w:sz w:val="28"/>
                <w:szCs w:val="28"/>
              </w:rPr>
            </w:pPr>
            <w:r w:rsidRPr="00453792">
              <w:rPr>
                <w:rFonts w:ascii="宋体" w:hAnsi="宋体" w:cs="宋体" w:hint="eastAsia"/>
                <w:b/>
                <w:bCs/>
                <w:kern w:val="0"/>
                <w:sz w:val="28"/>
                <w:szCs w:val="28"/>
              </w:rPr>
              <w:t>国家外汇管理局浙江省分局</w:t>
            </w:r>
            <w:r w:rsidRPr="00453792">
              <w:rPr>
                <w:rFonts w:ascii="宋体" w:hAnsi="宋体" w:cs="宋体" w:hint="eastAsia"/>
                <w:b/>
                <w:bCs/>
                <w:kern w:val="0"/>
                <w:sz w:val="28"/>
                <w:szCs w:val="28"/>
              </w:rPr>
              <w:br/>
              <w:t>非银行机构借债申请书</w:t>
            </w:r>
          </w:p>
        </w:tc>
      </w:tr>
      <w:tr w:rsidR="00846E12" w:rsidRPr="00A06344" w:rsidTr="003E2804">
        <w:trPr>
          <w:trHeight w:val="236"/>
        </w:trPr>
        <w:tc>
          <w:tcPr>
            <w:tcW w:w="5000" w:type="pct"/>
            <w:gridSpan w:val="5"/>
            <w:tcBorders>
              <w:top w:val="nil"/>
              <w:left w:val="nil"/>
              <w:bottom w:val="nil"/>
              <w:right w:val="nil"/>
            </w:tcBorders>
            <w:shd w:val="clear" w:color="auto" w:fill="auto"/>
            <w:noWrap/>
            <w:vAlign w:val="center"/>
            <w:hideMark/>
          </w:tcPr>
          <w:p w:rsidR="00846E12" w:rsidRPr="00A06344" w:rsidRDefault="00846E12" w:rsidP="003E2804">
            <w:pPr>
              <w:widowControl/>
              <w:jc w:val="center"/>
              <w:rPr>
                <w:rFonts w:ascii="宋体" w:hAnsi="宋体" w:cs="宋体"/>
                <w:b/>
                <w:bCs/>
                <w:kern w:val="0"/>
                <w:sz w:val="24"/>
              </w:rPr>
            </w:pPr>
            <w:r w:rsidRPr="00A06344">
              <w:rPr>
                <w:rFonts w:ascii="宋体" w:hAnsi="宋体" w:cs="宋体" w:hint="eastAsia"/>
                <w:b/>
                <w:bCs/>
                <w:kern w:val="0"/>
                <w:sz w:val="24"/>
              </w:rPr>
              <w:t>申请日期：</w:t>
            </w:r>
            <w:r w:rsidRPr="00A06344">
              <w:rPr>
                <w:b/>
                <w:bCs/>
                <w:kern w:val="0"/>
                <w:sz w:val="24"/>
              </w:rPr>
              <w:t xml:space="preserve">      </w:t>
            </w:r>
            <w:r w:rsidRPr="00A06344">
              <w:rPr>
                <w:rFonts w:ascii="宋体" w:hAnsi="宋体" w:cs="宋体" w:hint="eastAsia"/>
                <w:b/>
                <w:bCs/>
                <w:kern w:val="0"/>
                <w:sz w:val="24"/>
              </w:rPr>
              <w:t>年</w:t>
            </w:r>
            <w:r w:rsidRPr="00A06344">
              <w:rPr>
                <w:b/>
                <w:bCs/>
                <w:kern w:val="0"/>
                <w:sz w:val="24"/>
              </w:rPr>
              <w:t xml:space="preserve">    </w:t>
            </w:r>
            <w:r w:rsidRPr="00A06344">
              <w:rPr>
                <w:rFonts w:ascii="宋体" w:hAnsi="宋体" w:cs="宋体" w:hint="eastAsia"/>
                <w:b/>
                <w:bCs/>
                <w:kern w:val="0"/>
                <w:sz w:val="24"/>
              </w:rPr>
              <w:t>月</w:t>
            </w:r>
            <w:r w:rsidRPr="00A06344">
              <w:rPr>
                <w:b/>
                <w:bCs/>
                <w:kern w:val="0"/>
                <w:sz w:val="24"/>
              </w:rPr>
              <w:t xml:space="preserve">    </w:t>
            </w:r>
            <w:r w:rsidRPr="00A06344">
              <w:rPr>
                <w:rFonts w:ascii="宋体" w:hAnsi="宋体" w:cs="宋体" w:hint="eastAsia"/>
                <w:b/>
                <w:bCs/>
                <w:kern w:val="0"/>
                <w:sz w:val="24"/>
              </w:rPr>
              <w:t>日</w:t>
            </w:r>
            <w:r w:rsidRPr="00A06344">
              <w:rPr>
                <w:b/>
                <w:bCs/>
                <w:kern w:val="0"/>
                <w:sz w:val="24"/>
              </w:rPr>
              <w:t xml:space="preserve">                       </w:t>
            </w:r>
          </w:p>
        </w:tc>
      </w:tr>
      <w:tr w:rsidR="00846E12" w:rsidRPr="00A06344" w:rsidTr="003E2804">
        <w:trPr>
          <w:trHeight w:val="503"/>
        </w:trPr>
        <w:tc>
          <w:tcPr>
            <w:tcW w:w="89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债务人名称（公章）</w:t>
            </w:r>
          </w:p>
        </w:tc>
        <w:tc>
          <w:tcPr>
            <w:tcW w:w="1797" w:type="pct"/>
            <w:gridSpan w:val="2"/>
            <w:tcBorders>
              <w:top w:val="single" w:sz="8" w:space="0" w:color="auto"/>
              <w:left w:val="nil"/>
              <w:bottom w:val="single" w:sz="4" w:space="0" w:color="auto"/>
              <w:right w:val="single" w:sz="4" w:space="0" w:color="auto"/>
            </w:tcBorders>
            <w:shd w:val="clear" w:color="auto" w:fill="auto"/>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c>
          <w:tcPr>
            <w:tcW w:w="1087" w:type="pct"/>
            <w:tcBorders>
              <w:top w:val="single" w:sz="8" w:space="0" w:color="auto"/>
              <w:left w:val="nil"/>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组织机构代码</w:t>
            </w:r>
          </w:p>
        </w:tc>
        <w:tc>
          <w:tcPr>
            <w:tcW w:w="1221" w:type="pct"/>
            <w:tcBorders>
              <w:top w:val="single" w:sz="8" w:space="0" w:color="auto"/>
              <w:left w:val="nil"/>
              <w:bottom w:val="single" w:sz="4" w:space="0" w:color="auto"/>
              <w:right w:val="single" w:sz="8" w:space="0" w:color="auto"/>
            </w:tcBorders>
            <w:shd w:val="clear" w:color="auto" w:fill="auto"/>
            <w:noWrap/>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r>
      <w:tr w:rsidR="00846E12" w:rsidRPr="00A06344" w:rsidTr="003E2804">
        <w:trPr>
          <w:trHeight w:val="503"/>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债务人类型</w:t>
            </w:r>
          </w:p>
        </w:tc>
        <w:tc>
          <w:tcPr>
            <w:tcW w:w="4105" w:type="pct"/>
            <w:gridSpan w:val="4"/>
            <w:tcBorders>
              <w:top w:val="single" w:sz="4" w:space="0" w:color="auto"/>
              <w:left w:val="nil"/>
              <w:bottom w:val="single" w:sz="4" w:space="0" w:color="auto"/>
              <w:right w:val="single" w:sz="8" w:space="0" w:color="000000"/>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□中资企业  □外资企业   □其他</w:t>
            </w:r>
          </w:p>
        </w:tc>
      </w:tr>
      <w:tr w:rsidR="00846E12" w:rsidRPr="00A06344" w:rsidTr="003E2804">
        <w:trPr>
          <w:trHeight w:val="660"/>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借债模式</w:t>
            </w:r>
          </w:p>
        </w:tc>
        <w:tc>
          <w:tcPr>
            <w:tcW w:w="4105" w:type="pct"/>
            <w:gridSpan w:val="4"/>
            <w:tcBorders>
              <w:top w:val="single" w:sz="4" w:space="0" w:color="auto"/>
              <w:left w:val="nil"/>
              <w:bottom w:val="single" w:sz="4" w:space="0" w:color="auto"/>
              <w:right w:val="single" w:sz="8" w:space="0" w:color="000000"/>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□全口径跨境融资宏观审慎管理  </w:t>
            </w:r>
            <w:r w:rsidRPr="00A06344">
              <w:rPr>
                <w:rFonts w:ascii="仿宋_GB2312" w:eastAsia="仿宋_GB2312" w:hAnsi="宋体" w:cs="宋体" w:hint="eastAsia"/>
                <w:b/>
                <w:bCs/>
                <w:kern w:val="0"/>
                <w:sz w:val="24"/>
              </w:rPr>
              <w:br/>
              <w:t>□</w:t>
            </w:r>
            <w:proofErr w:type="gramStart"/>
            <w:r w:rsidRPr="00A06344">
              <w:rPr>
                <w:rFonts w:ascii="仿宋_GB2312" w:eastAsia="仿宋_GB2312" w:hAnsi="宋体" w:cs="宋体" w:hint="eastAsia"/>
                <w:b/>
                <w:bCs/>
                <w:kern w:val="0"/>
                <w:sz w:val="24"/>
              </w:rPr>
              <w:t>汇发</w:t>
            </w:r>
            <w:proofErr w:type="gramEnd"/>
            <w:r w:rsidRPr="00A06344">
              <w:rPr>
                <w:rFonts w:ascii="仿宋_GB2312" w:eastAsia="仿宋_GB2312" w:hAnsi="宋体" w:cs="宋体" w:hint="eastAsia"/>
                <w:b/>
                <w:bCs/>
                <w:kern w:val="0"/>
                <w:sz w:val="24"/>
              </w:rPr>
              <w:t>[2013]19号</w:t>
            </w:r>
            <w:proofErr w:type="gramStart"/>
            <w:r w:rsidRPr="00A06344">
              <w:rPr>
                <w:rFonts w:ascii="仿宋_GB2312" w:eastAsia="仿宋_GB2312" w:hAnsi="宋体" w:cs="宋体" w:hint="eastAsia"/>
                <w:b/>
                <w:bCs/>
                <w:kern w:val="0"/>
                <w:sz w:val="24"/>
              </w:rPr>
              <w:t>文实施</w:t>
            </w:r>
            <w:proofErr w:type="gramEnd"/>
            <w:r w:rsidRPr="00A06344">
              <w:rPr>
                <w:rFonts w:ascii="仿宋_GB2312" w:eastAsia="仿宋_GB2312" w:hAnsi="宋体" w:cs="宋体" w:hint="eastAsia"/>
                <w:b/>
                <w:bCs/>
                <w:kern w:val="0"/>
                <w:sz w:val="24"/>
              </w:rPr>
              <w:t>的跨境融资管理模式</w:t>
            </w:r>
          </w:p>
        </w:tc>
      </w:tr>
      <w:tr w:rsidR="00846E12" w:rsidRPr="00A06344" w:rsidTr="003E2804">
        <w:trPr>
          <w:trHeight w:val="503"/>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可借债上限</w:t>
            </w:r>
          </w:p>
        </w:tc>
        <w:tc>
          <w:tcPr>
            <w:tcW w:w="1797" w:type="pct"/>
            <w:gridSpan w:val="2"/>
            <w:tcBorders>
              <w:top w:val="nil"/>
              <w:left w:val="nil"/>
              <w:bottom w:val="single" w:sz="4" w:space="0" w:color="auto"/>
              <w:right w:val="single" w:sz="4" w:space="0" w:color="auto"/>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c>
          <w:tcPr>
            <w:tcW w:w="1087" w:type="pct"/>
            <w:tcBorders>
              <w:top w:val="nil"/>
              <w:left w:val="nil"/>
              <w:bottom w:val="single" w:sz="4" w:space="0" w:color="auto"/>
              <w:right w:val="single" w:sz="4" w:space="0" w:color="auto"/>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尚可借债金额</w:t>
            </w:r>
          </w:p>
        </w:tc>
        <w:tc>
          <w:tcPr>
            <w:tcW w:w="1221" w:type="pct"/>
            <w:tcBorders>
              <w:top w:val="nil"/>
              <w:left w:val="nil"/>
              <w:bottom w:val="single" w:sz="4" w:space="0" w:color="auto"/>
              <w:right w:val="single" w:sz="8" w:space="0" w:color="auto"/>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r>
      <w:tr w:rsidR="00846E12" w:rsidRPr="00A06344" w:rsidTr="003E2804">
        <w:trPr>
          <w:trHeight w:val="503"/>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债权人名称</w:t>
            </w:r>
          </w:p>
        </w:tc>
        <w:tc>
          <w:tcPr>
            <w:tcW w:w="1797" w:type="pct"/>
            <w:gridSpan w:val="2"/>
            <w:tcBorders>
              <w:top w:val="nil"/>
              <w:left w:val="nil"/>
              <w:bottom w:val="single" w:sz="4" w:space="0" w:color="auto"/>
              <w:right w:val="single" w:sz="4" w:space="0" w:color="auto"/>
            </w:tcBorders>
            <w:shd w:val="clear" w:color="auto" w:fill="auto"/>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c>
          <w:tcPr>
            <w:tcW w:w="1087" w:type="pct"/>
            <w:tcBorders>
              <w:top w:val="nil"/>
              <w:left w:val="nil"/>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借款期限</w:t>
            </w:r>
          </w:p>
        </w:tc>
        <w:tc>
          <w:tcPr>
            <w:tcW w:w="1221" w:type="pct"/>
            <w:tcBorders>
              <w:top w:val="nil"/>
              <w:left w:val="nil"/>
              <w:bottom w:val="single" w:sz="4" w:space="0" w:color="auto"/>
              <w:right w:val="single" w:sz="8" w:space="0" w:color="auto"/>
            </w:tcBorders>
            <w:shd w:val="clear" w:color="auto" w:fill="auto"/>
            <w:noWrap/>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r>
      <w:tr w:rsidR="00846E12" w:rsidRPr="00A06344" w:rsidTr="003E2804">
        <w:trPr>
          <w:trHeight w:val="503"/>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借款利率</w:t>
            </w:r>
          </w:p>
        </w:tc>
        <w:tc>
          <w:tcPr>
            <w:tcW w:w="1797" w:type="pct"/>
            <w:gridSpan w:val="2"/>
            <w:tcBorders>
              <w:top w:val="nil"/>
              <w:left w:val="nil"/>
              <w:bottom w:val="single" w:sz="4" w:space="0" w:color="auto"/>
              <w:right w:val="single" w:sz="4" w:space="0" w:color="auto"/>
            </w:tcBorders>
            <w:shd w:val="clear" w:color="auto" w:fill="auto"/>
            <w:noWrap/>
            <w:vAlign w:val="center"/>
            <w:hideMark/>
          </w:tcPr>
          <w:p w:rsidR="00846E12" w:rsidRPr="00A06344" w:rsidRDefault="00846E12" w:rsidP="003E2804">
            <w:pPr>
              <w:widowControl/>
              <w:jc w:val="center"/>
              <w:rPr>
                <w:b/>
                <w:bCs/>
                <w:kern w:val="0"/>
                <w:sz w:val="24"/>
              </w:rPr>
            </w:pPr>
            <w:r w:rsidRPr="00A06344">
              <w:rPr>
                <w:b/>
                <w:bCs/>
                <w:kern w:val="0"/>
                <w:sz w:val="24"/>
              </w:rPr>
              <w:t xml:space="preserve">　</w:t>
            </w:r>
          </w:p>
        </w:tc>
        <w:tc>
          <w:tcPr>
            <w:tcW w:w="1087" w:type="pct"/>
            <w:tcBorders>
              <w:top w:val="nil"/>
              <w:left w:val="nil"/>
              <w:bottom w:val="single" w:sz="4"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借款用途</w:t>
            </w:r>
          </w:p>
        </w:tc>
        <w:tc>
          <w:tcPr>
            <w:tcW w:w="1221" w:type="pct"/>
            <w:tcBorders>
              <w:top w:val="nil"/>
              <w:left w:val="nil"/>
              <w:bottom w:val="single" w:sz="4" w:space="0" w:color="auto"/>
              <w:right w:val="single" w:sz="8" w:space="0" w:color="auto"/>
            </w:tcBorders>
            <w:shd w:val="clear" w:color="auto" w:fill="auto"/>
            <w:noWrap/>
            <w:vAlign w:val="center"/>
            <w:hideMark/>
          </w:tcPr>
          <w:p w:rsidR="00846E12" w:rsidRPr="00A06344" w:rsidRDefault="00846E12" w:rsidP="003E2804">
            <w:pPr>
              <w:widowControl/>
              <w:jc w:val="center"/>
              <w:rPr>
                <w:b/>
                <w:bCs/>
                <w:kern w:val="0"/>
                <w:sz w:val="24"/>
              </w:rPr>
            </w:pPr>
            <w:r w:rsidRPr="00A06344">
              <w:rPr>
                <w:b/>
                <w:bCs/>
                <w:kern w:val="0"/>
                <w:sz w:val="24"/>
              </w:rPr>
              <w:t xml:space="preserve">　</w:t>
            </w:r>
          </w:p>
        </w:tc>
      </w:tr>
      <w:tr w:rsidR="00846E12" w:rsidRPr="00A06344" w:rsidTr="003E2804">
        <w:trPr>
          <w:trHeight w:val="503"/>
        </w:trPr>
        <w:tc>
          <w:tcPr>
            <w:tcW w:w="895" w:type="pct"/>
            <w:tcBorders>
              <w:top w:val="nil"/>
              <w:left w:val="single" w:sz="8" w:space="0" w:color="auto"/>
              <w:bottom w:val="single" w:sz="8"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申请借款金额及币种</w:t>
            </w:r>
          </w:p>
        </w:tc>
        <w:tc>
          <w:tcPr>
            <w:tcW w:w="4105" w:type="pct"/>
            <w:gridSpan w:val="4"/>
            <w:tcBorders>
              <w:top w:val="single" w:sz="4" w:space="0" w:color="auto"/>
              <w:left w:val="nil"/>
              <w:bottom w:val="single" w:sz="8" w:space="0" w:color="auto"/>
              <w:right w:val="single" w:sz="8" w:space="0" w:color="000000"/>
            </w:tcBorders>
            <w:shd w:val="clear" w:color="auto" w:fill="auto"/>
            <w:noWrap/>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r>
      <w:tr w:rsidR="00846E12" w:rsidRPr="00A06344" w:rsidTr="003E2804">
        <w:trPr>
          <w:trHeight w:val="5490"/>
        </w:trPr>
        <w:tc>
          <w:tcPr>
            <w:tcW w:w="895" w:type="pct"/>
            <w:tcBorders>
              <w:top w:val="nil"/>
              <w:left w:val="single" w:sz="8" w:space="0" w:color="auto"/>
              <w:bottom w:val="single" w:sz="8"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需提供的申请材料</w:t>
            </w:r>
          </w:p>
        </w:tc>
        <w:tc>
          <w:tcPr>
            <w:tcW w:w="4105" w:type="pct"/>
            <w:gridSpan w:val="4"/>
            <w:tcBorders>
              <w:top w:val="nil"/>
              <w:left w:val="nil"/>
              <w:bottom w:val="single" w:sz="8" w:space="0" w:color="auto"/>
              <w:right w:val="single" w:sz="8" w:space="0" w:color="000000"/>
            </w:tcBorders>
            <w:shd w:val="clear" w:color="auto" w:fill="auto"/>
            <w:vAlign w:val="center"/>
            <w:hideMark/>
          </w:tcPr>
          <w:p w:rsidR="00846E12" w:rsidRPr="00A06344" w:rsidRDefault="00846E12" w:rsidP="003E2804">
            <w:pPr>
              <w:widowControl/>
              <w:jc w:val="left"/>
              <w:rPr>
                <w:b/>
                <w:bCs/>
                <w:kern w:val="0"/>
                <w:sz w:val="24"/>
              </w:rPr>
            </w:pPr>
            <w:r w:rsidRPr="00A06344">
              <w:rPr>
                <w:b/>
                <w:bCs/>
                <w:kern w:val="0"/>
                <w:sz w:val="24"/>
              </w:rPr>
              <w:t xml:space="preserve">      </w:t>
            </w:r>
            <w:r w:rsidRPr="00A06344">
              <w:rPr>
                <w:rFonts w:ascii="仿宋_GB2312" w:eastAsia="仿宋_GB2312" w:hint="eastAsia"/>
                <w:b/>
                <w:bCs/>
                <w:kern w:val="0"/>
                <w:sz w:val="24"/>
              </w:rPr>
              <w:t>申请人应提供相关材料的原件和加盖公章的复印件</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1</w:t>
            </w:r>
            <w:r w:rsidRPr="00A06344">
              <w:rPr>
                <w:rFonts w:ascii="仿宋_GB2312" w:eastAsia="仿宋_GB2312" w:hint="eastAsia"/>
                <w:b/>
                <w:bCs/>
                <w:kern w:val="0"/>
                <w:sz w:val="24"/>
              </w:rPr>
              <w:t>、申请书及《境内机构外债签约情况表》；</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2</w:t>
            </w:r>
            <w:r w:rsidRPr="00A06344">
              <w:rPr>
                <w:rFonts w:ascii="仿宋_GB2312" w:eastAsia="仿宋_GB2312" w:hint="eastAsia"/>
                <w:b/>
                <w:bCs/>
                <w:kern w:val="0"/>
                <w:sz w:val="24"/>
              </w:rPr>
              <w:t>、借款合同（合同文字如为外文的，应提交合同的中文译文，并加盖借款单位的公章）；</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3</w:t>
            </w:r>
            <w:r w:rsidRPr="00A06344">
              <w:rPr>
                <w:rFonts w:ascii="仿宋_GB2312" w:eastAsia="仿宋_GB2312" w:hint="eastAsia"/>
                <w:b/>
                <w:bCs/>
                <w:kern w:val="0"/>
                <w:sz w:val="24"/>
              </w:rPr>
              <w:t>、</w:t>
            </w:r>
            <w:proofErr w:type="gramStart"/>
            <w:r w:rsidRPr="00A06344">
              <w:rPr>
                <w:rFonts w:ascii="仿宋_GB2312" w:eastAsia="仿宋_GB2312" w:hint="eastAsia"/>
                <w:b/>
                <w:bCs/>
                <w:kern w:val="0"/>
                <w:sz w:val="24"/>
              </w:rPr>
              <w:t>选择汇发</w:t>
            </w:r>
            <w:proofErr w:type="gramEnd"/>
            <w:r w:rsidRPr="00A06344">
              <w:rPr>
                <w:b/>
                <w:bCs/>
                <w:kern w:val="0"/>
                <w:sz w:val="24"/>
              </w:rPr>
              <w:t>[2013]19</w:t>
            </w:r>
            <w:r w:rsidRPr="00A06344">
              <w:rPr>
                <w:rFonts w:ascii="仿宋_GB2312" w:eastAsia="仿宋_GB2312" w:hint="eastAsia"/>
                <w:b/>
                <w:bCs/>
                <w:kern w:val="0"/>
                <w:sz w:val="24"/>
              </w:rPr>
              <w:t>号</w:t>
            </w:r>
            <w:proofErr w:type="gramStart"/>
            <w:r w:rsidRPr="00A06344">
              <w:rPr>
                <w:rFonts w:ascii="仿宋_GB2312" w:eastAsia="仿宋_GB2312" w:hint="eastAsia"/>
                <w:b/>
                <w:bCs/>
                <w:kern w:val="0"/>
                <w:sz w:val="24"/>
              </w:rPr>
              <w:t>文实施</w:t>
            </w:r>
            <w:proofErr w:type="gramEnd"/>
            <w:r w:rsidRPr="00A06344">
              <w:rPr>
                <w:rFonts w:ascii="仿宋_GB2312" w:eastAsia="仿宋_GB2312" w:hint="eastAsia"/>
                <w:b/>
                <w:bCs/>
                <w:kern w:val="0"/>
                <w:sz w:val="24"/>
              </w:rPr>
              <w:t>的跨境融资管理模式的企业提供批准证书、法人营业执照副本及外方股东资本金到位证明材料；</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4</w:t>
            </w:r>
            <w:r w:rsidRPr="00A06344">
              <w:rPr>
                <w:rFonts w:ascii="仿宋_GB2312" w:eastAsia="仿宋_GB2312" w:hint="eastAsia"/>
                <w:b/>
                <w:bCs/>
                <w:kern w:val="0"/>
                <w:sz w:val="24"/>
              </w:rPr>
              <w:t>、选择全口径跨境融资宏观审慎管理模式的提供《宏观审慎外债风险加权余额情况表（企业版）》、法人营业执照副本及最近一期财务审计报告；</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5</w:t>
            </w:r>
            <w:r w:rsidRPr="00A06344">
              <w:rPr>
                <w:rFonts w:ascii="仿宋_GB2312" w:eastAsia="仿宋_GB2312" w:hint="eastAsia"/>
                <w:b/>
                <w:bCs/>
                <w:kern w:val="0"/>
                <w:sz w:val="24"/>
              </w:rPr>
              <w:t>、企业已借外债的，</w:t>
            </w:r>
            <w:proofErr w:type="gramStart"/>
            <w:r w:rsidRPr="00A06344">
              <w:rPr>
                <w:rFonts w:ascii="仿宋_GB2312" w:eastAsia="仿宋_GB2312" w:hint="eastAsia"/>
                <w:b/>
                <w:bCs/>
                <w:kern w:val="0"/>
                <w:sz w:val="24"/>
              </w:rPr>
              <w:t>附已登记</w:t>
            </w:r>
            <w:proofErr w:type="gramEnd"/>
            <w:r w:rsidRPr="00A06344">
              <w:rPr>
                <w:rFonts w:ascii="仿宋_GB2312" w:eastAsia="仿宋_GB2312" w:hint="eastAsia"/>
                <w:b/>
                <w:bCs/>
                <w:kern w:val="0"/>
                <w:sz w:val="24"/>
              </w:rPr>
              <w:t>外债的凭证；</w:t>
            </w:r>
            <w:r w:rsidRPr="00A06344">
              <w:rPr>
                <w:rFonts w:ascii="仿宋_GB2312" w:eastAsia="仿宋_GB2312" w:hint="eastAsia"/>
                <w:b/>
                <w:bCs/>
                <w:kern w:val="0"/>
                <w:sz w:val="24"/>
              </w:rPr>
              <w:br/>
              <w:t>（</w:t>
            </w:r>
            <w:r w:rsidRPr="00A06344">
              <w:rPr>
                <w:b/>
                <w:bCs/>
                <w:kern w:val="0"/>
                <w:sz w:val="24"/>
              </w:rPr>
              <w:t xml:space="preserve">    </w:t>
            </w:r>
            <w:r w:rsidRPr="00A06344">
              <w:rPr>
                <w:rFonts w:ascii="仿宋_GB2312" w:eastAsia="仿宋_GB2312" w:hint="eastAsia"/>
                <w:b/>
                <w:bCs/>
                <w:kern w:val="0"/>
                <w:sz w:val="24"/>
              </w:rPr>
              <w:t>）</w:t>
            </w:r>
            <w:r w:rsidRPr="00A06344">
              <w:rPr>
                <w:b/>
                <w:bCs/>
                <w:kern w:val="0"/>
                <w:sz w:val="24"/>
              </w:rPr>
              <w:t>6</w:t>
            </w:r>
            <w:r w:rsidRPr="00A06344">
              <w:rPr>
                <w:rFonts w:ascii="仿宋_GB2312" w:eastAsia="仿宋_GB2312" w:hint="eastAsia"/>
                <w:b/>
                <w:bCs/>
                <w:kern w:val="0"/>
                <w:sz w:val="24"/>
              </w:rPr>
              <w:t>、针对前述材料应当提供的补充说明材料。</w:t>
            </w:r>
            <w:r w:rsidRPr="00A06344">
              <w:rPr>
                <w:b/>
                <w:bCs/>
                <w:kern w:val="0"/>
                <w:sz w:val="24"/>
              </w:rPr>
              <w:br/>
            </w:r>
            <w:r w:rsidRPr="00A06344">
              <w:rPr>
                <w:rFonts w:ascii="仿宋_GB2312" w:eastAsia="仿宋_GB2312" w:hint="eastAsia"/>
                <w:b/>
                <w:bCs/>
                <w:kern w:val="0"/>
                <w:sz w:val="24"/>
              </w:rPr>
              <w:t>注：</w:t>
            </w:r>
            <w:proofErr w:type="gramStart"/>
            <w:r w:rsidRPr="00A06344">
              <w:rPr>
                <w:rFonts w:ascii="仿宋_GB2312" w:eastAsia="仿宋_GB2312" w:hint="eastAsia"/>
                <w:b/>
                <w:bCs/>
                <w:kern w:val="0"/>
                <w:sz w:val="24"/>
              </w:rPr>
              <w:t>选择汇发</w:t>
            </w:r>
            <w:proofErr w:type="gramEnd"/>
            <w:r w:rsidRPr="00A06344">
              <w:rPr>
                <w:b/>
                <w:bCs/>
                <w:kern w:val="0"/>
                <w:sz w:val="24"/>
              </w:rPr>
              <w:t>[2013]19</w:t>
            </w:r>
            <w:r w:rsidRPr="00A06344">
              <w:rPr>
                <w:rFonts w:ascii="仿宋_GB2312" w:eastAsia="仿宋_GB2312" w:hint="eastAsia"/>
                <w:b/>
                <w:bCs/>
                <w:kern w:val="0"/>
                <w:sz w:val="24"/>
              </w:rPr>
              <w:t>号</w:t>
            </w:r>
            <w:proofErr w:type="gramStart"/>
            <w:r w:rsidRPr="00A06344">
              <w:rPr>
                <w:rFonts w:ascii="仿宋_GB2312" w:eastAsia="仿宋_GB2312" w:hint="eastAsia"/>
                <w:b/>
                <w:bCs/>
                <w:kern w:val="0"/>
                <w:sz w:val="24"/>
              </w:rPr>
              <w:t>文实施</w:t>
            </w:r>
            <w:proofErr w:type="gramEnd"/>
            <w:r w:rsidRPr="00A06344">
              <w:rPr>
                <w:rFonts w:ascii="仿宋_GB2312" w:eastAsia="仿宋_GB2312" w:hint="eastAsia"/>
                <w:b/>
                <w:bCs/>
                <w:kern w:val="0"/>
                <w:sz w:val="24"/>
              </w:rPr>
              <w:t>的跨境融资管理模式的企业应在外债合同签约后</w:t>
            </w:r>
            <w:r w:rsidRPr="00A06344">
              <w:rPr>
                <w:b/>
                <w:bCs/>
                <w:kern w:val="0"/>
                <w:sz w:val="24"/>
              </w:rPr>
              <w:t>15</w:t>
            </w:r>
            <w:r w:rsidRPr="00A06344">
              <w:rPr>
                <w:rFonts w:ascii="仿宋_GB2312" w:eastAsia="仿宋_GB2312" w:hint="eastAsia"/>
                <w:b/>
                <w:bCs/>
                <w:kern w:val="0"/>
                <w:sz w:val="24"/>
              </w:rPr>
              <w:t>个工作日内至外汇局办理登记手续</w:t>
            </w:r>
            <w:r w:rsidRPr="00A06344">
              <w:rPr>
                <w:rFonts w:ascii="仿宋_GB2312" w:eastAsia="仿宋_GB2312" w:hint="eastAsia"/>
                <w:b/>
                <w:bCs/>
                <w:kern w:val="0"/>
                <w:sz w:val="24"/>
              </w:rPr>
              <w:br/>
            </w:r>
            <w:r w:rsidRPr="00A06344">
              <w:rPr>
                <w:b/>
                <w:bCs/>
                <w:kern w:val="0"/>
                <w:sz w:val="24"/>
              </w:rPr>
              <w:t xml:space="preserve">    </w:t>
            </w:r>
            <w:r w:rsidRPr="00A06344">
              <w:rPr>
                <w:rFonts w:ascii="仿宋_GB2312" w:eastAsia="仿宋_GB2312" w:hint="eastAsia"/>
                <w:b/>
                <w:bCs/>
                <w:kern w:val="0"/>
                <w:sz w:val="24"/>
              </w:rPr>
              <w:t>选择全口径跨境融资宏观审慎管理模式应在外债合同签约后但不晚于提款前</w:t>
            </w:r>
            <w:r w:rsidRPr="00A06344">
              <w:rPr>
                <w:b/>
                <w:bCs/>
                <w:kern w:val="0"/>
                <w:sz w:val="24"/>
              </w:rPr>
              <w:t>3</w:t>
            </w:r>
            <w:r w:rsidRPr="00A06344">
              <w:rPr>
                <w:rFonts w:ascii="仿宋_GB2312" w:eastAsia="仿宋_GB2312" w:hint="eastAsia"/>
                <w:b/>
                <w:bCs/>
                <w:kern w:val="0"/>
                <w:sz w:val="24"/>
              </w:rPr>
              <w:t>个工作日至外汇局办理登记手续</w:t>
            </w:r>
          </w:p>
        </w:tc>
      </w:tr>
      <w:tr w:rsidR="00846E12" w:rsidRPr="00A06344" w:rsidTr="003E2804">
        <w:trPr>
          <w:trHeight w:val="754"/>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凭证领取方式：  □到外汇局领取     </w:t>
            </w:r>
            <w:r w:rsidRPr="00A06344">
              <w:rPr>
                <w:rFonts w:ascii="仿宋_GB2312" w:eastAsia="仿宋_GB2312" w:hAnsi="宋体" w:cs="宋体" w:hint="eastAsia"/>
                <w:b/>
                <w:bCs/>
                <w:kern w:val="0"/>
                <w:sz w:val="24"/>
              </w:rPr>
              <w:br/>
              <w:t xml:space="preserve">□顺丰到付 ：收件人：        收件人联系电话：              邮编：  </w:t>
            </w:r>
            <w:r w:rsidRPr="00A06344">
              <w:rPr>
                <w:rFonts w:ascii="仿宋_GB2312" w:eastAsia="仿宋_GB2312" w:hAnsi="宋体" w:cs="宋体" w:hint="eastAsia"/>
                <w:b/>
                <w:bCs/>
                <w:kern w:val="0"/>
                <w:sz w:val="24"/>
              </w:rPr>
              <w:br/>
              <w:t>收件地址：</w:t>
            </w:r>
          </w:p>
        </w:tc>
      </w:tr>
      <w:tr w:rsidR="00846E12" w:rsidRPr="00A06344" w:rsidTr="003E2804">
        <w:trPr>
          <w:trHeight w:val="370"/>
        </w:trPr>
        <w:tc>
          <w:tcPr>
            <w:tcW w:w="1399" w:type="pct"/>
            <w:gridSpan w:val="2"/>
            <w:tcBorders>
              <w:top w:val="nil"/>
              <w:left w:val="single" w:sz="8" w:space="0" w:color="auto"/>
              <w:bottom w:val="single" w:sz="8"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联系人</w:t>
            </w:r>
          </w:p>
        </w:tc>
        <w:tc>
          <w:tcPr>
            <w:tcW w:w="1293" w:type="pct"/>
            <w:tcBorders>
              <w:top w:val="nil"/>
              <w:left w:val="nil"/>
              <w:bottom w:val="single" w:sz="8"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 xml:space="preserve">　</w:t>
            </w:r>
          </w:p>
        </w:tc>
        <w:tc>
          <w:tcPr>
            <w:tcW w:w="1087" w:type="pct"/>
            <w:tcBorders>
              <w:top w:val="nil"/>
              <w:left w:val="nil"/>
              <w:bottom w:val="single" w:sz="8" w:space="0" w:color="auto"/>
              <w:right w:val="single" w:sz="4" w:space="0" w:color="auto"/>
            </w:tcBorders>
            <w:shd w:val="clear" w:color="auto" w:fill="auto"/>
            <w:noWrap/>
            <w:vAlign w:val="center"/>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t>联系电话</w:t>
            </w:r>
          </w:p>
        </w:tc>
        <w:tc>
          <w:tcPr>
            <w:tcW w:w="1221" w:type="pct"/>
            <w:tcBorders>
              <w:top w:val="nil"/>
              <w:left w:val="nil"/>
              <w:bottom w:val="single" w:sz="8" w:space="0" w:color="auto"/>
              <w:right w:val="single" w:sz="8" w:space="0" w:color="auto"/>
            </w:tcBorders>
            <w:shd w:val="clear" w:color="auto" w:fill="auto"/>
            <w:noWrap/>
            <w:vAlign w:val="center"/>
            <w:hideMark/>
          </w:tcPr>
          <w:p w:rsidR="00846E12" w:rsidRPr="00A06344" w:rsidRDefault="00846E12" w:rsidP="003E2804">
            <w:pPr>
              <w:widowControl/>
              <w:jc w:val="center"/>
              <w:rPr>
                <w:b/>
                <w:bCs/>
                <w:kern w:val="0"/>
                <w:sz w:val="24"/>
              </w:rPr>
            </w:pPr>
            <w:r w:rsidRPr="00A06344">
              <w:rPr>
                <w:b/>
                <w:bCs/>
                <w:kern w:val="0"/>
                <w:sz w:val="24"/>
              </w:rPr>
              <w:t xml:space="preserve">　</w:t>
            </w:r>
          </w:p>
        </w:tc>
      </w:tr>
      <w:tr w:rsidR="00846E12" w:rsidRPr="00A06344" w:rsidTr="003E2804">
        <w:trPr>
          <w:trHeight w:val="249"/>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6E12" w:rsidRPr="00A06344" w:rsidRDefault="00846E12" w:rsidP="003E2804">
            <w:pPr>
              <w:widowControl/>
              <w:jc w:val="center"/>
              <w:rPr>
                <w:rFonts w:ascii="仿宋_GB2312" w:eastAsia="仿宋_GB2312" w:hAnsi="宋体" w:cs="宋体"/>
                <w:b/>
                <w:bCs/>
                <w:kern w:val="0"/>
                <w:sz w:val="24"/>
              </w:rPr>
            </w:pPr>
            <w:r w:rsidRPr="00A06344">
              <w:rPr>
                <w:rFonts w:ascii="仿宋_GB2312" w:eastAsia="仿宋_GB2312" w:hAnsi="宋体" w:cs="宋体" w:hint="eastAsia"/>
                <w:b/>
                <w:bCs/>
                <w:kern w:val="0"/>
                <w:sz w:val="24"/>
              </w:rPr>
              <w:t>外汇管理局审核意见</w:t>
            </w:r>
          </w:p>
        </w:tc>
      </w:tr>
      <w:tr w:rsidR="00846E12" w:rsidRPr="00A06344" w:rsidTr="003E2804">
        <w:trPr>
          <w:trHeight w:val="906"/>
        </w:trPr>
        <w:tc>
          <w:tcPr>
            <w:tcW w:w="2692" w:type="pct"/>
            <w:gridSpan w:val="3"/>
            <w:tcBorders>
              <w:top w:val="nil"/>
              <w:left w:val="single" w:sz="8" w:space="0" w:color="auto"/>
              <w:bottom w:val="single" w:sz="8" w:space="0" w:color="auto"/>
              <w:right w:val="single" w:sz="4" w:space="0" w:color="auto"/>
            </w:tcBorders>
            <w:shd w:val="clear" w:color="auto" w:fill="auto"/>
            <w:hideMark/>
          </w:tcPr>
          <w:p w:rsidR="00846E12" w:rsidRPr="00A06344" w:rsidRDefault="00846E12" w:rsidP="003E2804">
            <w:pPr>
              <w:widowControl/>
              <w:spacing w:after="240"/>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br/>
              <w:t>初审：</w:t>
            </w:r>
          </w:p>
        </w:tc>
        <w:tc>
          <w:tcPr>
            <w:tcW w:w="2308" w:type="pct"/>
            <w:gridSpan w:val="2"/>
            <w:tcBorders>
              <w:top w:val="nil"/>
              <w:left w:val="nil"/>
              <w:bottom w:val="single" w:sz="8" w:space="0" w:color="auto"/>
              <w:right w:val="single" w:sz="8" w:space="0" w:color="000000"/>
            </w:tcBorders>
            <w:shd w:val="clear" w:color="auto" w:fill="auto"/>
            <w:hideMark/>
          </w:tcPr>
          <w:p w:rsidR="00846E12" w:rsidRPr="00A06344" w:rsidRDefault="00846E12" w:rsidP="003E2804">
            <w:pPr>
              <w:widowControl/>
              <w:jc w:val="left"/>
              <w:rPr>
                <w:rFonts w:ascii="仿宋_GB2312" w:eastAsia="仿宋_GB2312" w:hAnsi="宋体" w:cs="宋体"/>
                <w:b/>
                <w:bCs/>
                <w:kern w:val="0"/>
                <w:sz w:val="24"/>
              </w:rPr>
            </w:pPr>
            <w:r w:rsidRPr="00A06344">
              <w:rPr>
                <w:rFonts w:ascii="仿宋_GB2312" w:eastAsia="仿宋_GB2312" w:hAnsi="宋体" w:cs="宋体" w:hint="eastAsia"/>
                <w:b/>
                <w:bCs/>
                <w:kern w:val="0"/>
                <w:sz w:val="24"/>
              </w:rPr>
              <w:br/>
              <w:t>复核：</w:t>
            </w:r>
          </w:p>
        </w:tc>
      </w:tr>
    </w:tbl>
    <w:p w:rsidR="00846E12" w:rsidRDefault="00846E12" w:rsidP="00846E12">
      <w:pPr>
        <w:ind w:firstLineChars="200" w:firstLine="420"/>
      </w:pPr>
    </w:p>
    <w:tbl>
      <w:tblPr>
        <w:tblW w:w="5000" w:type="pct"/>
        <w:tblLook w:val="04A0"/>
      </w:tblPr>
      <w:tblGrid>
        <w:gridCol w:w="1816"/>
        <w:gridCol w:w="3280"/>
        <w:gridCol w:w="1416"/>
        <w:gridCol w:w="2016"/>
      </w:tblGrid>
      <w:tr w:rsidR="00846E12" w:rsidRPr="00EF388F" w:rsidTr="003E2804">
        <w:trPr>
          <w:trHeight w:val="615"/>
        </w:trPr>
        <w:tc>
          <w:tcPr>
            <w:tcW w:w="5000" w:type="pct"/>
            <w:gridSpan w:val="4"/>
            <w:tcBorders>
              <w:top w:val="nil"/>
              <w:left w:val="nil"/>
              <w:bottom w:val="nil"/>
              <w:right w:val="nil"/>
            </w:tcBorders>
            <w:shd w:val="clear" w:color="auto" w:fill="auto"/>
            <w:vAlign w:val="center"/>
            <w:hideMark/>
          </w:tcPr>
          <w:p w:rsidR="00846E12" w:rsidRPr="00EF388F" w:rsidRDefault="00846E12" w:rsidP="003E2804">
            <w:pPr>
              <w:widowControl/>
              <w:jc w:val="center"/>
              <w:rPr>
                <w:b/>
                <w:bCs/>
                <w:kern w:val="0"/>
                <w:sz w:val="36"/>
                <w:szCs w:val="36"/>
              </w:rPr>
            </w:pPr>
            <w:r w:rsidRPr="00EF388F">
              <w:rPr>
                <w:rFonts w:ascii="宋体" w:hAnsi="宋体" w:hint="eastAsia"/>
                <w:b/>
                <w:bCs/>
                <w:kern w:val="0"/>
                <w:sz w:val="36"/>
                <w:szCs w:val="36"/>
              </w:rPr>
              <w:lastRenderedPageBreak/>
              <w:t>境内机构外债签约情况表</w:t>
            </w:r>
          </w:p>
        </w:tc>
      </w:tr>
      <w:tr w:rsidR="00846E12" w:rsidRPr="00EF388F" w:rsidTr="003E2804">
        <w:trPr>
          <w:trHeight w:val="30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组织机构代码：</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债务编号：</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填表日期</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债务人名称（公章）</w:t>
            </w:r>
          </w:p>
        </w:tc>
        <w:tc>
          <w:tcPr>
            <w:tcW w:w="3869" w:type="pct"/>
            <w:gridSpan w:val="3"/>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中文</w:t>
            </w:r>
            <w:r w:rsidRPr="00EF388F">
              <w:rPr>
                <w:kern w:val="0"/>
                <w:sz w:val="20"/>
                <w:szCs w:val="20"/>
              </w:rPr>
              <w:t xml:space="preserve">                                                                                        </w:t>
            </w:r>
            <w:r w:rsidRPr="00EF388F">
              <w:rPr>
                <w:rFonts w:ascii="宋体" w:hAnsi="宋体" w:cs="宋体" w:hint="eastAsia"/>
                <w:kern w:val="0"/>
                <w:sz w:val="20"/>
                <w:szCs w:val="20"/>
              </w:rPr>
              <w:t>英文</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FF0000"/>
                <w:kern w:val="0"/>
                <w:sz w:val="20"/>
                <w:szCs w:val="20"/>
              </w:rPr>
            </w:pPr>
            <w:r w:rsidRPr="00EF388F">
              <w:rPr>
                <w:rFonts w:ascii="宋体" w:hAnsi="宋体" w:cs="宋体" w:hint="eastAsia"/>
                <w:color w:val="FF0000"/>
                <w:kern w:val="0"/>
                <w:sz w:val="20"/>
                <w:szCs w:val="20"/>
              </w:rPr>
              <w:t>债务人类型</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1、中资企业 2、外资企业 3、其他</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债务人类型备注</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72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FF0000"/>
                <w:kern w:val="0"/>
                <w:sz w:val="20"/>
                <w:szCs w:val="20"/>
              </w:rPr>
            </w:pPr>
            <w:r w:rsidRPr="00EF388F">
              <w:rPr>
                <w:rFonts w:ascii="宋体" w:hAnsi="宋体" w:cs="宋体" w:hint="eastAsia"/>
                <w:color w:val="FF0000"/>
                <w:kern w:val="0"/>
                <w:sz w:val="20"/>
                <w:szCs w:val="20"/>
              </w:rPr>
              <w:t>债务类型</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1、外国政府 2、国际金融组织 3、外国官方银行 4、境外商业银行 5、境内外资银行 6、境外非银行金融机构 7、境内外资非银行金融机构 8、中资银行海外分行 9、股东 10、非股东 11、其他</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债务类型备注</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合同签约日期</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 xml:space="preserve">年   月   日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是否循环贷款</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是 </w:t>
            </w:r>
            <w:r w:rsidRPr="00EF388F">
              <w:rPr>
                <w:kern w:val="0"/>
                <w:sz w:val="20"/>
                <w:szCs w:val="20"/>
              </w:rPr>
              <w:t> </w:t>
            </w:r>
            <w:r w:rsidRPr="00EF388F">
              <w:rPr>
                <w:rFonts w:ascii="宋体" w:hAnsi="宋体" w:cs="宋体" w:hint="eastAsia"/>
                <w:kern w:val="0"/>
                <w:sz w:val="20"/>
                <w:szCs w:val="20"/>
              </w:rPr>
              <w:t xml:space="preserve">    </w:t>
            </w:r>
            <w:r w:rsidRPr="00EF388F">
              <w:rPr>
                <w:kern w:val="0"/>
                <w:sz w:val="20"/>
                <w:szCs w:val="20"/>
              </w:rPr>
              <w:t> </w:t>
            </w:r>
            <w:r w:rsidRPr="00EF388F">
              <w:rPr>
                <w:rFonts w:ascii="宋体" w:hAnsi="宋体" w:cs="宋体" w:hint="eastAsia"/>
                <w:kern w:val="0"/>
                <w:sz w:val="20"/>
                <w:szCs w:val="20"/>
              </w:rPr>
              <w:t xml:space="preserve">      </w:t>
            </w:r>
            <w:r w:rsidRPr="00EF388F">
              <w:rPr>
                <w:kern w:val="0"/>
                <w:sz w:val="20"/>
                <w:szCs w:val="20"/>
              </w:rPr>
              <w:t>  </w:t>
            </w:r>
            <w:r w:rsidRPr="00EF388F">
              <w:rPr>
                <w:rFonts w:ascii="宋体" w:hAnsi="宋体" w:cs="宋体" w:hint="eastAsia"/>
                <w:kern w:val="0"/>
                <w:sz w:val="20"/>
                <w:szCs w:val="20"/>
              </w:rPr>
              <w:t xml:space="preserve"> 否</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借款币别</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借款金额</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借款期限(月)</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展期(月)</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val="restart"/>
            <w:tcBorders>
              <w:top w:val="nil"/>
              <w:left w:val="single" w:sz="4" w:space="0" w:color="auto"/>
              <w:bottom w:val="single" w:sz="4" w:space="0" w:color="000000"/>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借款利率</w:t>
            </w:r>
          </w:p>
        </w:tc>
        <w:tc>
          <w:tcPr>
            <w:tcW w:w="3869" w:type="pct"/>
            <w:gridSpan w:val="3"/>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w:t>
            </w:r>
            <w:r w:rsidRPr="00EF388F">
              <w:rPr>
                <w:rFonts w:ascii="宋体" w:hAnsi="宋体" w:hint="eastAsia"/>
                <w:kern w:val="0"/>
                <w:sz w:val="20"/>
                <w:szCs w:val="20"/>
              </w:rPr>
              <w:t>固</w:t>
            </w:r>
            <w:r w:rsidRPr="00EF388F">
              <w:rPr>
                <w:kern w:val="0"/>
                <w:sz w:val="20"/>
                <w:szCs w:val="20"/>
              </w:rPr>
              <w:t>    </w:t>
            </w:r>
            <w:r w:rsidRPr="00EF388F">
              <w:rPr>
                <w:rFonts w:ascii="宋体" w:hAnsi="宋体" w:hint="eastAsia"/>
                <w:kern w:val="0"/>
                <w:sz w:val="20"/>
                <w:szCs w:val="20"/>
              </w:rPr>
              <w:t>定(%)</w:t>
            </w:r>
            <w:r w:rsidRPr="00EF388F">
              <w:rPr>
                <w:kern w:val="0"/>
                <w:sz w:val="20"/>
                <w:szCs w:val="20"/>
              </w:rPr>
              <w:t>  </w:t>
            </w:r>
          </w:p>
        </w:tc>
      </w:tr>
      <w:tr w:rsidR="00846E12" w:rsidRPr="00EF388F" w:rsidTr="003E2804">
        <w:trPr>
          <w:trHeight w:val="330"/>
        </w:trPr>
        <w:tc>
          <w:tcPr>
            <w:tcW w:w="1131" w:type="pct"/>
            <w:vMerge/>
            <w:tcBorders>
              <w:top w:val="nil"/>
              <w:left w:val="single" w:sz="4" w:space="0" w:color="auto"/>
              <w:bottom w:val="single" w:sz="4" w:space="0" w:color="000000"/>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浮动条件</w:t>
            </w:r>
          </w:p>
        </w:tc>
        <w:tc>
          <w:tcPr>
            <w:tcW w:w="1636" w:type="pct"/>
            <w:gridSpan w:val="2"/>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w:t>
            </w:r>
            <w:r w:rsidRPr="00EF388F">
              <w:rPr>
                <w:rFonts w:ascii="宋体" w:hAnsi="宋体" w:hint="eastAsia"/>
                <w:kern w:val="0"/>
                <w:sz w:val="20"/>
                <w:szCs w:val="20"/>
              </w:rPr>
              <w:t>浮动利差(%)</w:t>
            </w:r>
            <w:r w:rsidRPr="00EF388F">
              <w:rPr>
                <w:kern w:val="0"/>
                <w:sz w:val="20"/>
                <w:szCs w:val="20"/>
              </w:rPr>
              <w:t>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罚息</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管理费</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有否交叉违约条款</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w:t>
            </w:r>
            <w:r w:rsidRPr="00EF388F">
              <w:rPr>
                <w:kern w:val="0"/>
                <w:sz w:val="20"/>
                <w:szCs w:val="20"/>
              </w:rPr>
              <w:t xml:space="preserve">                                 </w:t>
            </w:r>
            <w:r w:rsidRPr="00EF388F">
              <w:rPr>
                <w:rFonts w:ascii="宋体" w:hAnsi="宋体" w:cs="宋体" w:hint="eastAsia"/>
                <w:kern w:val="0"/>
                <w:sz w:val="20"/>
                <w:szCs w:val="20"/>
              </w:rPr>
              <w:t>否</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有否有提前还款条款</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w:t>
            </w:r>
            <w:r w:rsidRPr="00EF388F">
              <w:rPr>
                <w:kern w:val="0"/>
                <w:sz w:val="20"/>
                <w:szCs w:val="20"/>
              </w:rPr>
              <w:t xml:space="preserve">                                 </w:t>
            </w:r>
            <w:r w:rsidRPr="00EF388F">
              <w:rPr>
                <w:rFonts w:ascii="宋体" w:hAnsi="宋体" w:cs="宋体" w:hint="eastAsia"/>
                <w:kern w:val="0"/>
                <w:sz w:val="20"/>
                <w:szCs w:val="20"/>
              </w:rPr>
              <w:t>否</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有否加速到期条款</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w:t>
            </w:r>
            <w:r w:rsidRPr="00EF388F">
              <w:rPr>
                <w:kern w:val="0"/>
                <w:sz w:val="20"/>
                <w:szCs w:val="20"/>
              </w:rPr>
              <w:t xml:space="preserve">                                 </w:t>
            </w:r>
            <w:r w:rsidRPr="00EF388F">
              <w:rPr>
                <w:rFonts w:ascii="宋体" w:hAnsi="宋体" w:cs="宋体" w:hint="eastAsia"/>
                <w:kern w:val="0"/>
                <w:sz w:val="20"/>
                <w:szCs w:val="20"/>
              </w:rPr>
              <w:t>否</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有否利息本金化条款</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合同适用法律</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债权人情况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nil"/>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债权人名称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中文</w:t>
            </w:r>
            <w:r w:rsidRPr="00EF388F">
              <w:rPr>
                <w:kern w:val="0"/>
                <w:sz w:val="20"/>
                <w:szCs w:val="20"/>
              </w:rPr>
              <w:t xml:space="preserve">                                               </w:t>
            </w:r>
            <w:r w:rsidRPr="00EF388F">
              <w:rPr>
                <w:rFonts w:ascii="宋体" w:hAnsi="宋体" w:cs="宋体" w:hint="eastAsia"/>
                <w:kern w:val="0"/>
                <w:sz w:val="20"/>
                <w:szCs w:val="20"/>
              </w:rPr>
              <w:t>英文</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类型</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FF0000"/>
                <w:kern w:val="0"/>
                <w:sz w:val="20"/>
                <w:szCs w:val="20"/>
              </w:rPr>
            </w:pPr>
            <w:r w:rsidRPr="00EF388F">
              <w:rPr>
                <w:rFonts w:ascii="宋体" w:hAnsi="宋体" w:cs="宋体" w:hint="eastAsia"/>
                <w:color w:val="FF0000"/>
                <w:kern w:val="0"/>
                <w:sz w:val="20"/>
                <w:szCs w:val="20"/>
              </w:rPr>
              <w:t>类型备注</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担保人情况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nil"/>
              <w:right w:val="nil"/>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担保人名称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中文</w:t>
            </w:r>
            <w:r w:rsidRPr="00EF388F">
              <w:rPr>
                <w:kern w:val="0"/>
                <w:sz w:val="20"/>
                <w:szCs w:val="20"/>
              </w:rPr>
              <w:t xml:space="preserve">                                                  </w:t>
            </w:r>
            <w:r w:rsidRPr="00EF388F">
              <w:rPr>
                <w:rFonts w:ascii="宋体" w:hAnsi="宋体" w:cs="宋体" w:hint="eastAsia"/>
                <w:kern w:val="0"/>
                <w:sz w:val="20"/>
                <w:szCs w:val="20"/>
              </w:rPr>
              <w:t>英文</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类型</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类型备注</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借款项目情况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借款项目名称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中文</w:t>
            </w:r>
            <w:r w:rsidRPr="00EF388F">
              <w:rPr>
                <w:kern w:val="0"/>
                <w:sz w:val="20"/>
                <w:szCs w:val="20"/>
              </w:rPr>
              <w:t xml:space="preserve">                                                  </w:t>
            </w:r>
            <w:r w:rsidRPr="00EF388F">
              <w:rPr>
                <w:rFonts w:ascii="宋体" w:hAnsi="宋体" w:cs="宋体" w:hint="eastAsia"/>
                <w:kern w:val="0"/>
                <w:sz w:val="20"/>
                <w:szCs w:val="20"/>
              </w:rPr>
              <w:t>英文</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所属行业</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所在地区</w:t>
            </w:r>
            <w:r w:rsidRPr="00EF388F">
              <w:rPr>
                <w:kern w:val="0"/>
                <w:sz w:val="20"/>
                <w:szCs w:val="20"/>
              </w:rPr>
              <w:t>:</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项目金额</w:t>
            </w:r>
            <w:r w:rsidRPr="00EF388F">
              <w:rPr>
                <w:kern w:val="0"/>
                <w:sz w:val="20"/>
                <w:szCs w:val="20"/>
              </w:rPr>
              <w:t>:</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提款情况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总提款金额</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 xml:space="preserve">　</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其中：现金方式提款金额</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货物方式提款金额</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0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其它方式提款金额</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是否均匀提款</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是 </w:t>
            </w:r>
            <w:r w:rsidRPr="00EF388F">
              <w:rPr>
                <w:kern w:val="0"/>
                <w:sz w:val="20"/>
                <w:szCs w:val="20"/>
              </w:rPr>
              <w:t>    </w:t>
            </w:r>
            <w:r w:rsidRPr="00EF388F">
              <w:rPr>
                <w:rFonts w:ascii="宋体" w:hAnsi="宋体" w:cs="宋体" w:hint="eastAsia"/>
                <w:kern w:val="0"/>
                <w:sz w:val="20"/>
                <w:szCs w:val="20"/>
              </w:rPr>
              <w:t xml:space="preserve">            否</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均匀提款|次数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首次提款日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 xml:space="preserve">年   月   </w:t>
            </w:r>
            <w:r w:rsidRPr="00EF388F">
              <w:rPr>
                <w:rFonts w:ascii="宋体" w:hAnsi="宋体" w:hint="eastAsia"/>
                <w:kern w:val="0"/>
                <w:sz w:val="20"/>
                <w:szCs w:val="20"/>
              </w:rPr>
              <w:lastRenderedPageBreak/>
              <w:t>日</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lastRenderedPageBreak/>
              <w:t>末次提款日</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每次提款金额</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val="restart"/>
            <w:tcBorders>
              <w:top w:val="nil"/>
              <w:left w:val="single" w:sz="4" w:space="0" w:color="auto"/>
              <w:bottom w:val="single" w:sz="4" w:space="0" w:color="000000"/>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kern w:val="0"/>
                <w:sz w:val="20"/>
                <w:szCs w:val="20"/>
              </w:rPr>
            </w:pPr>
            <w:r w:rsidRPr="00EF388F">
              <w:rPr>
                <w:rFonts w:ascii="宋体" w:hAnsi="宋体" w:cs="宋体" w:hint="eastAsia"/>
                <w:kern w:val="0"/>
                <w:sz w:val="20"/>
                <w:szCs w:val="20"/>
              </w:rPr>
              <w:t>非均匀提款项目</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提款序号</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提款日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提款金额</w:t>
            </w:r>
          </w:p>
        </w:tc>
      </w:tr>
      <w:tr w:rsidR="00846E12" w:rsidRPr="00EF388F" w:rsidTr="003E2804">
        <w:trPr>
          <w:trHeight w:val="330"/>
        </w:trPr>
        <w:tc>
          <w:tcPr>
            <w:tcW w:w="1131" w:type="pct"/>
            <w:vMerge/>
            <w:tcBorders>
              <w:top w:val="nil"/>
              <w:left w:val="single" w:sz="4" w:space="0" w:color="auto"/>
              <w:bottom w:val="single" w:sz="4" w:space="0" w:color="000000"/>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tcBorders>
              <w:top w:val="nil"/>
              <w:left w:val="single" w:sz="4" w:space="0" w:color="auto"/>
              <w:bottom w:val="single" w:sz="4" w:space="0" w:color="000000"/>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tcBorders>
              <w:top w:val="nil"/>
              <w:left w:val="single" w:sz="4" w:space="0" w:color="auto"/>
              <w:bottom w:val="single" w:sz="4" w:space="0" w:color="000000"/>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还本情况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nil"/>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45"/>
        </w:trPr>
        <w:tc>
          <w:tcPr>
            <w:tcW w:w="1131" w:type="pct"/>
            <w:tcBorders>
              <w:top w:val="nil"/>
              <w:left w:val="single" w:sz="4" w:space="0" w:color="auto"/>
              <w:bottom w:val="nil"/>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偿还方式</w:t>
            </w:r>
          </w:p>
        </w:tc>
        <w:tc>
          <w:tcPr>
            <w:tcW w:w="2232" w:type="pct"/>
            <w:tcBorders>
              <w:top w:val="nil"/>
              <w:left w:val="nil"/>
              <w:bottom w:val="nil"/>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1.等额本金  2.定额本金 3.一次偿清   4.其他</w:t>
            </w:r>
          </w:p>
        </w:tc>
        <w:tc>
          <w:tcPr>
            <w:tcW w:w="841" w:type="pct"/>
            <w:tcBorders>
              <w:top w:val="nil"/>
              <w:left w:val="nil"/>
              <w:bottom w:val="nil"/>
              <w:right w:val="single" w:sz="4" w:space="0" w:color="auto"/>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 xml:space="preserve">　</w:t>
            </w:r>
          </w:p>
        </w:tc>
        <w:tc>
          <w:tcPr>
            <w:tcW w:w="795" w:type="pct"/>
            <w:tcBorders>
              <w:top w:val="nil"/>
              <w:left w:val="nil"/>
              <w:bottom w:val="nil"/>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75"/>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偿还依据</w:t>
            </w:r>
            <w:r w:rsidRPr="00EF388F">
              <w:rPr>
                <w:kern w:val="0"/>
                <w:sz w:val="20"/>
                <w:szCs w:val="20"/>
              </w:rPr>
              <w:t>:</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1.</w:t>
            </w:r>
            <w:proofErr w:type="gramStart"/>
            <w:r w:rsidRPr="00EF388F">
              <w:rPr>
                <w:rFonts w:ascii="宋体" w:hAnsi="宋体" w:hint="eastAsia"/>
                <w:kern w:val="0"/>
                <w:sz w:val="20"/>
                <w:szCs w:val="20"/>
              </w:rPr>
              <w:t>总承诺</w:t>
            </w:r>
            <w:proofErr w:type="gramEnd"/>
            <w:r w:rsidRPr="00EF388F">
              <w:rPr>
                <w:kern w:val="0"/>
                <w:sz w:val="20"/>
                <w:szCs w:val="20"/>
              </w:rPr>
              <w:t xml:space="preserve">         2..</w:t>
            </w:r>
            <w:r w:rsidRPr="00EF388F">
              <w:rPr>
                <w:rFonts w:ascii="宋体" w:hAnsi="宋体" w:hint="eastAsia"/>
                <w:kern w:val="0"/>
                <w:sz w:val="20"/>
                <w:szCs w:val="20"/>
              </w:rPr>
              <w:t>每笔拨用</w:t>
            </w:r>
            <w:r w:rsidRPr="00EF388F">
              <w:rPr>
                <w:kern w:val="0"/>
                <w:sz w:val="20"/>
                <w:szCs w:val="20"/>
              </w:rPr>
              <w:t xml:space="preserve">     </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是否均匀还本</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是 </w:t>
            </w:r>
            <w:r w:rsidRPr="00EF388F">
              <w:rPr>
                <w:kern w:val="0"/>
                <w:sz w:val="20"/>
                <w:szCs w:val="20"/>
              </w:rPr>
              <w:t xml:space="preserve">         </w:t>
            </w:r>
            <w:r w:rsidRPr="00EF388F">
              <w:rPr>
                <w:rFonts w:ascii="宋体" w:hAnsi="宋体" w:cs="宋体" w:hint="eastAsia"/>
                <w:kern w:val="0"/>
                <w:sz w:val="20"/>
                <w:szCs w:val="20"/>
              </w:rPr>
              <w:t>否</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均匀还本|次数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首次还本日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末次还本日</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w:t>
            </w:r>
            <w:r w:rsidRPr="00EF388F">
              <w:rPr>
                <w:kern w:val="0"/>
                <w:sz w:val="20"/>
                <w:szCs w:val="20"/>
              </w:rPr>
              <w:t xml:space="preserve">  </w:t>
            </w:r>
            <w:r w:rsidRPr="00EF388F">
              <w:rPr>
                <w:rFonts w:ascii="宋体" w:hAnsi="宋体" w:hint="eastAsia"/>
                <w:kern w:val="0"/>
                <w:sz w:val="20"/>
                <w:szCs w:val="20"/>
              </w:rPr>
              <w:t xml:space="preserve"> 月   日</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每次还本金额</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非均匀还本</w:t>
            </w:r>
            <w:r w:rsidRPr="00EF388F">
              <w:rPr>
                <w:color w:val="3366FF"/>
                <w:kern w:val="0"/>
                <w:sz w:val="20"/>
                <w:szCs w:val="20"/>
              </w:rPr>
              <w:t>|</w:t>
            </w:r>
            <w:r w:rsidRPr="00EF388F">
              <w:rPr>
                <w:rFonts w:ascii="宋体" w:hAnsi="宋体" w:cs="宋体" w:hint="eastAsia"/>
                <w:color w:val="3366FF"/>
                <w:kern w:val="0"/>
                <w:sz w:val="20"/>
                <w:szCs w:val="20"/>
              </w:rPr>
              <w:t>次数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还本序号</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还本日</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val="restar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kern w:val="0"/>
                <w:sz w:val="20"/>
                <w:szCs w:val="20"/>
              </w:rPr>
            </w:pPr>
            <w:r w:rsidRPr="00EF388F">
              <w:rPr>
                <w:rFonts w:ascii="宋体" w:hAnsi="宋体" w:cs="宋体" w:hint="eastAsia"/>
                <w:kern w:val="0"/>
                <w:sz w:val="20"/>
                <w:szCs w:val="20"/>
              </w:rPr>
              <w:t xml:space="preserve">　</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tcBorders>
              <w:top w:val="nil"/>
              <w:left w:val="single" w:sz="4" w:space="0" w:color="auto"/>
              <w:bottom w:val="single" w:sz="4" w:space="0" w:color="auto"/>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510"/>
        </w:trPr>
        <w:tc>
          <w:tcPr>
            <w:tcW w:w="1131" w:type="pct"/>
            <w:tcBorders>
              <w:top w:val="nil"/>
              <w:left w:val="single" w:sz="4" w:space="0" w:color="auto"/>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b/>
                <w:bCs/>
                <w:color w:val="3366FF"/>
                <w:kern w:val="0"/>
                <w:sz w:val="20"/>
                <w:szCs w:val="20"/>
              </w:rPr>
            </w:pPr>
            <w:r w:rsidRPr="00EF388F">
              <w:rPr>
                <w:rFonts w:ascii="宋体" w:hAnsi="宋体" w:cs="宋体" w:hint="eastAsia"/>
                <w:b/>
                <w:bCs/>
                <w:color w:val="3366FF"/>
                <w:kern w:val="0"/>
                <w:sz w:val="20"/>
                <w:szCs w:val="20"/>
              </w:rPr>
              <w:t>付息情况</w:t>
            </w:r>
          </w:p>
        </w:tc>
        <w:tc>
          <w:tcPr>
            <w:tcW w:w="2232" w:type="pct"/>
            <w:tcBorders>
              <w:top w:val="nil"/>
              <w:left w:val="nil"/>
              <w:bottom w:val="single" w:sz="4" w:space="0" w:color="auto"/>
              <w:right w:val="nil"/>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nil"/>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0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是否均匀付息</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是 </w:t>
            </w:r>
            <w:r w:rsidRPr="00EF388F">
              <w:rPr>
                <w:kern w:val="0"/>
                <w:sz w:val="20"/>
                <w:szCs w:val="20"/>
              </w:rPr>
              <w:t>    </w:t>
            </w:r>
            <w:r w:rsidRPr="00EF388F">
              <w:rPr>
                <w:rFonts w:ascii="宋体" w:hAnsi="宋体" w:cs="宋体" w:hint="eastAsia"/>
                <w:kern w:val="0"/>
                <w:sz w:val="20"/>
                <w:szCs w:val="20"/>
              </w:rPr>
              <w:t xml:space="preserve">  否</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0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均匀付息|次数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首次付息日</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0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末次付息日</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每次付息金额</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0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color w:val="3366FF"/>
                <w:kern w:val="0"/>
                <w:sz w:val="20"/>
                <w:szCs w:val="20"/>
              </w:rPr>
            </w:pPr>
            <w:r w:rsidRPr="00EF388F">
              <w:rPr>
                <w:rFonts w:ascii="宋体" w:hAnsi="宋体" w:cs="宋体" w:hint="eastAsia"/>
                <w:color w:val="3366FF"/>
                <w:kern w:val="0"/>
                <w:sz w:val="20"/>
                <w:szCs w:val="20"/>
              </w:rPr>
              <w:t>非均匀付息|次数</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付息序号</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center"/>
              <w:rPr>
                <w:rFonts w:ascii="宋体" w:hAnsi="宋体" w:cs="宋体"/>
                <w:b/>
                <w:bCs/>
                <w:kern w:val="0"/>
                <w:sz w:val="20"/>
                <w:szCs w:val="20"/>
              </w:rPr>
            </w:pPr>
            <w:r w:rsidRPr="00EF388F">
              <w:rPr>
                <w:rFonts w:ascii="宋体" w:hAnsi="宋体" w:cs="宋体" w:hint="eastAsia"/>
                <w:b/>
                <w:bCs/>
                <w:kern w:val="0"/>
                <w:sz w:val="20"/>
                <w:szCs w:val="20"/>
              </w:rPr>
              <w:t>付息日</w:t>
            </w:r>
          </w:p>
        </w:tc>
        <w:tc>
          <w:tcPr>
            <w:tcW w:w="795" w:type="pct"/>
            <w:tcBorders>
              <w:top w:val="nil"/>
              <w:left w:val="nil"/>
              <w:bottom w:val="single" w:sz="4" w:space="0" w:color="auto"/>
              <w:right w:val="single" w:sz="4" w:space="0" w:color="auto"/>
            </w:tcBorders>
            <w:shd w:val="clear" w:color="auto" w:fill="auto"/>
            <w:noWrap/>
            <w:vAlign w:val="center"/>
            <w:hideMark/>
          </w:tcPr>
          <w:p w:rsidR="00846E12" w:rsidRPr="00EF388F" w:rsidRDefault="00846E12" w:rsidP="003E2804">
            <w:pPr>
              <w:widowControl/>
              <w:jc w:val="center"/>
              <w:rPr>
                <w:rFonts w:ascii="宋体" w:hAnsi="宋体" w:cs="宋体"/>
                <w:kern w:val="0"/>
                <w:sz w:val="20"/>
                <w:szCs w:val="20"/>
              </w:rPr>
            </w:pPr>
            <w:r w:rsidRPr="00EF388F">
              <w:rPr>
                <w:rFonts w:ascii="宋体" w:hAnsi="宋体" w:cs="宋体" w:hint="eastAsia"/>
                <w:kern w:val="0"/>
                <w:sz w:val="20"/>
                <w:szCs w:val="20"/>
              </w:rPr>
              <w:t>付息金额</w:t>
            </w:r>
          </w:p>
        </w:tc>
      </w:tr>
      <w:tr w:rsidR="00846E12" w:rsidRPr="00EF388F" w:rsidTr="003E2804">
        <w:trPr>
          <w:trHeight w:val="315"/>
        </w:trPr>
        <w:tc>
          <w:tcPr>
            <w:tcW w:w="1131" w:type="pct"/>
            <w:vMerge w:val="restar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vMerge/>
            <w:tcBorders>
              <w:top w:val="nil"/>
              <w:left w:val="single" w:sz="4" w:space="0" w:color="auto"/>
              <w:bottom w:val="single" w:sz="4" w:space="0" w:color="auto"/>
              <w:right w:val="single" w:sz="4" w:space="0" w:color="auto"/>
            </w:tcBorders>
            <w:vAlign w:val="center"/>
            <w:hideMark/>
          </w:tcPr>
          <w:p w:rsidR="00846E12" w:rsidRPr="00EF388F" w:rsidRDefault="00846E12" w:rsidP="003E2804">
            <w:pPr>
              <w:widowControl/>
              <w:jc w:val="left"/>
              <w:rPr>
                <w:rFonts w:ascii="宋体" w:hAnsi="宋体" w:cs="宋体"/>
                <w:kern w:val="0"/>
                <w:sz w:val="20"/>
                <w:szCs w:val="20"/>
              </w:rPr>
            </w:pP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r w:rsidRPr="00EF388F">
              <w:rPr>
                <w:rFonts w:ascii="宋体" w:hAnsi="宋体" w:hint="eastAsia"/>
                <w:kern w:val="0"/>
                <w:sz w:val="20"/>
                <w:szCs w:val="20"/>
              </w:rPr>
              <w:t>年   月   日</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网上查询密码</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kern w:val="0"/>
                <w:sz w:val="20"/>
                <w:szCs w:val="20"/>
              </w:rPr>
            </w:pPr>
            <w:r w:rsidRPr="00EF388F">
              <w:rPr>
                <w:kern w:val="0"/>
                <w:sz w:val="20"/>
                <w:szCs w:val="20"/>
              </w:rPr>
              <w:t xml:space="preserve">　</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r w:rsidR="00846E12" w:rsidRPr="00EF388F" w:rsidTr="003E2804">
        <w:trPr>
          <w:trHeight w:val="33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债务单位填表人</w:t>
            </w:r>
          </w:p>
        </w:tc>
        <w:tc>
          <w:tcPr>
            <w:tcW w:w="2232"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c>
          <w:tcPr>
            <w:tcW w:w="841"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债务单位授权人</w:t>
            </w:r>
          </w:p>
        </w:tc>
        <w:tc>
          <w:tcPr>
            <w:tcW w:w="795" w:type="pct"/>
            <w:tcBorders>
              <w:top w:val="nil"/>
              <w:left w:val="nil"/>
              <w:bottom w:val="single" w:sz="4" w:space="0" w:color="auto"/>
              <w:right w:val="single" w:sz="4" w:space="0" w:color="auto"/>
            </w:tcBorders>
            <w:shd w:val="clear" w:color="auto" w:fill="auto"/>
            <w:vAlign w:val="center"/>
            <w:hideMark/>
          </w:tcPr>
          <w:p w:rsidR="00846E12" w:rsidRPr="00EF388F" w:rsidRDefault="00846E12" w:rsidP="003E2804">
            <w:pPr>
              <w:widowControl/>
              <w:jc w:val="left"/>
              <w:rPr>
                <w:rFonts w:ascii="宋体" w:hAnsi="宋体" w:cs="宋体"/>
                <w:kern w:val="0"/>
                <w:sz w:val="20"/>
                <w:szCs w:val="20"/>
              </w:rPr>
            </w:pPr>
            <w:r w:rsidRPr="00EF388F">
              <w:rPr>
                <w:rFonts w:ascii="宋体" w:hAnsi="宋体" w:cs="宋体" w:hint="eastAsia"/>
                <w:kern w:val="0"/>
                <w:sz w:val="20"/>
                <w:szCs w:val="20"/>
              </w:rPr>
              <w:t xml:space="preserve">　</w:t>
            </w:r>
          </w:p>
        </w:tc>
      </w:tr>
    </w:tbl>
    <w:p w:rsidR="00846E12" w:rsidRDefault="00846E12" w:rsidP="00846E12">
      <w:pPr>
        <w:ind w:firstLineChars="200" w:firstLine="420"/>
      </w:pPr>
    </w:p>
    <w:p w:rsidR="00846E12" w:rsidRDefault="00846E12" w:rsidP="00846E12">
      <w:pPr>
        <w:ind w:firstLineChars="200" w:firstLine="420"/>
      </w:pPr>
    </w:p>
    <w:p w:rsidR="00846E12" w:rsidRDefault="00846E12" w:rsidP="00846E12">
      <w:pPr>
        <w:ind w:firstLineChars="200" w:firstLine="420"/>
      </w:pPr>
    </w:p>
    <w:p w:rsidR="00846E12" w:rsidRDefault="00846E12" w:rsidP="00846E12">
      <w:pPr>
        <w:ind w:firstLineChars="200" w:firstLine="420"/>
      </w:pPr>
    </w:p>
    <w:p w:rsidR="00846E12" w:rsidRDefault="00846E12" w:rsidP="00846E12">
      <w:pPr>
        <w:ind w:firstLineChars="200" w:firstLine="420"/>
      </w:pPr>
    </w:p>
    <w:p w:rsidR="00846E12" w:rsidRDefault="00846E12" w:rsidP="00846E12">
      <w:pPr>
        <w:ind w:firstLineChars="200" w:firstLine="420"/>
        <w:rPr>
          <w:rFonts w:hint="eastAsia"/>
        </w:rPr>
      </w:pPr>
    </w:p>
    <w:p w:rsidR="00947F8E" w:rsidRDefault="00947F8E" w:rsidP="00846E12">
      <w:pPr>
        <w:ind w:firstLineChars="200" w:firstLine="420"/>
        <w:rPr>
          <w:rFonts w:hint="eastAsia"/>
        </w:rPr>
      </w:pPr>
    </w:p>
    <w:p w:rsidR="00947F8E" w:rsidRDefault="00947F8E" w:rsidP="00846E12">
      <w:pPr>
        <w:ind w:firstLineChars="200" w:firstLine="420"/>
        <w:rPr>
          <w:rFonts w:hint="eastAsia"/>
        </w:rPr>
      </w:pPr>
    </w:p>
    <w:p w:rsidR="00947F8E" w:rsidRDefault="00947F8E" w:rsidP="00846E12">
      <w:pPr>
        <w:ind w:firstLineChars="200" w:firstLine="420"/>
      </w:pPr>
    </w:p>
    <w:p w:rsidR="00846E12" w:rsidRPr="005D2A19" w:rsidRDefault="00846E12" w:rsidP="00846E12">
      <w:pPr>
        <w:spacing w:line="560" w:lineRule="exact"/>
        <w:jc w:val="center"/>
        <w:rPr>
          <w:rFonts w:eastAsia="黑体"/>
          <w:b/>
          <w:sz w:val="32"/>
          <w:szCs w:val="32"/>
        </w:rPr>
      </w:pPr>
      <w:r w:rsidRPr="005D2A19">
        <w:rPr>
          <w:rFonts w:eastAsia="黑体"/>
          <w:b/>
          <w:sz w:val="32"/>
          <w:szCs w:val="32"/>
        </w:rPr>
        <w:lastRenderedPageBreak/>
        <w:t>宏观审慎外债风险加权余额情况表（企业版）</w:t>
      </w:r>
    </w:p>
    <w:p w:rsidR="00846E12" w:rsidRPr="005D2A19" w:rsidRDefault="00846E12" w:rsidP="00846E12">
      <w:pPr>
        <w:ind w:firstLineChars="300" w:firstLine="630"/>
      </w:pPr>
      <w:r w:rsidRPr="005D2A19">
        <w:t>年</w:t>
      </w:r>
      <w:r w:rsidRPr="005D2A19">
        <w:t xml:space="preserve">  </w:t>
      </w:r>
      <w:r w:rsidRPr="005D2A19">
        <w:t>月</w:t>
      </w:r>
      <w:r w:rsidRPr="005D2A19">
        <w:t xml:space="preserve">  </w:t>
      </w:r>
      <w:r w:rsidRPr="005D2A19">
        <w:t>日</w:t>
      </w:r>
      <w:r w:rsidRPr="005D2A19">
        <w:t xml:space="preserve">                                              </w:t>
      </w:r>
      <w:r w:rsidRPr="005D2A19">
        <w:t>单位</w:t>
      </w:r>
      <w:r w:rsidRPr="005D2A19">
        <w:rPr>
          <w:rStyle w:val="a6"/>
        </w:rPr>
        <w:footnoteReference w:id="1"/>
      </w:r>
      <w:r w:rsidRPr="005D2A19">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09"/>
        <w:gridCol w:w="1559"/>
        <w:gridCol w:w="1575"/>
        <w:gridCol w:w="268"/>
        <w:gridCol w:w="1592"/>
        <w:gridCol w:w="47"/>
        <w:gridCol w:w="23"/>
        <w:gridCol w:w="1790"/>
      </w:tblGrid>
      <w:tr w:rsidR="00846E12" w:rsidRPr="005D2A19" w:rsidTr="003E2804">
        <w:trPr>
          <w:trHeight w:val="787"/>
        </w:trPr>
        <w:tc>
          <w:tcPr>
            <w:tcW w:w="959" w:type="dxa"/>
            <w:vMerge w:val="restart"/>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基本信息</w:t>
            </w: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债务人名称</w:t>
            </w:r>
          </w:p>
        </w:tc>
        <w:tc>
          <w:tcPr>
            <w:tcW w:w="5295" w:type="dxa"/>
            <w:gridSpan w:val="6"/>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556"/>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组织机构代码</w:t>
            </w:r>
          </w:p>
        </w:tc>
        <w:tc>
          <w:tcPr>
            <w:tcW w:w="1575" w:type="dxa"/>
            <w:vAlign w:val="center"/>
          </w:tcPr>
          <w:p w:rsidR="00846E12" w:rsidRPr="005D2A19" w:rsidRDefault="00846E12" w:rsidP="003E2804">
            <w:pPr>
              <w:spacing w:line="320" w:lineRule="exact"/>
              <w:jc w:val="center"/>
              <w:rPr>
                <w:rFonts w:eastAsia="华文楷体"/>
                <w:sz w:val="24"/>
              </w:rPr>
            </w:pPr>
          </w:p>
        </w:tc>
        <w:tc>
          <w:tcPr>
            <w:tcW w:w="1860"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债务人类型</w:t>
            </w:r>
            <w:r w:rsidRPr="005D2A19">
              <w:rPr>
                <w:rStyle w:val="a6"/>
                <w:rFonts w:eastAsia="华文楷体"/>
                <w:sz w:val="24"/>
              </w:rPr>
              <w:footnoteReference w:id="2"/>
            </w:r>
          </w:p>
        </w:tc>
        <w:tc>
          <w:tcPr>
            <w:tcW w:w="1860" w:type="dxa"/>
            <w:gridSpan w:val="3"/>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564"/>
        </w:trPr>
        <w:tc>
          <w:tcPr>
            <w:tcW w:w="959" w:type="dxa"/>
            <w:vMerge w:val="restart"/>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外债风险加权余额上限</w:t>
            </w: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净资产</w:t>
            </w:r>
            <w:r w:rsidRPr="005D2A19">
              <w:rPr>
                <w:rStyle w:val="a6"/>
                <w:rFonts w:eastAsia="华文楷体"/>
                <w:sz w:val="24"/>
              </w:rPr>
              <w:footnoteReference w:id="3"/>
            </w:r>
          </w:p>
        </w:tc>
        <w:tc>
          <w:tcPr>
            <w:tcW w:w="5295" w:type="dxa"/>
            <w:gridSpan w:val="6"/>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704"/>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风险加权余额</w:t>
            </w:r>
          </w:p>
          <w:p w:rsidR="00846E12" w:rsidRPr="005D2A19" w:rsidRDefault="00846E12" w:rsidP="003E2804">
            <w:pPr>
              <w:spacing w:line="320" w:lineRule="exact"/>
              <w:jc w:val="center"/>
              <w:rPr>
                <w:rFonts w:eastAsia="华文楷体"/>
                <w:sz w:val="24"/>
              </w:rPr>
            </w:pPr>
            <w:r w:rsidRPr="005D2A19">
              <w:rPr>
                <w:rFonts w:eastAsia="华文楷体"/>
                <w:sz w:val="24"/>
              </w:rPr>
              <w:t>上限</w:t>
            </w:r>
            <w:r w:rsidRPr="005D2A19">
              <w:rPr>
                <w:rStyle w:val="a6"/>
                <w:rFonts w:eastAsia="华文楷体"/>
                <w:sz w:val="24"/>
              </w:rPr>
              <w:footnoteReference w:id="4"/>
            </w:r>
          </w:p>
        </w:tc>
        <w:tc>
          <w:tcPr>
            <w:tcW w:w="5295" w:type="dxa"/>
            <w:gridSpan w:val="6"/>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502"/>
        </w:trPr>
        <w:tc>
          <w:tcPr>
            <w:tcW w:w="959" w:type="dxa"/>
            <w:vMerge w:val="restart"/>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外债风险加权余额</w:t>
            </w:r>
          </w:p>
        </w:tc>
        <w:tc>
          <w:tcPr>
            <w:tcW w:w="2268" w:type="dxa"/>
            <w:gridSpan w:val="2"/>
            <w:tcBorders>
              <w:tl2br w:val="single" w:sz="4" w:space="0" w:color="auto"/>
            </w:tcBorders>
            <w:vAlign w:val="center"/>
          </w:tcPr>
          <w:p w:rsidR="00846E12" w:rsidRPr="005D2A19" w:rsidRDefault="00846E12" w:rsidP="003E2804">
            <w:pPr>
              <w:spacing w:line="320" w:lineRule="exact"/>
              <w:jc w:val="center"/>
              <w:rPr>
                <w:rFonts w:eastAsia="华文楷体"/>
                <w:sz w:val="24"/>
              </w:rPr>
            </w:pPr>
          </w:p>
        </w:tc>
        <w:tc>
          <w:tcPr>
            <w:tcW w:w="1843" w:type="dxa"/>
            <w:gridSpan w:val="2"/>
            <w:vAlign w:val="center"/>
          </w:tcPr>
          <w:p w:rsidR="00846E12" w:rsidRPr="005D2A19" w:rsidRDefault="00846E12" w:rsidP="003E2804">
            <w:pPr>
              <w:spacing w:line="240" w:lineRule="exact"/>
              <w:jc w:val="center"/>
              <w:rPr>
                <w:rFonts w:eastAsia="华文楷体"/>
                <w:sz w:val="24"/>
              </w:rPr>
            </w:pPr>
            <w:r w:rsidRPr="005D2A19">
              <w:rPr>
                <w:rFonts w:eastAsia="华文楷体"/>
                <w:sz w:val="24"/>
              </w:rPr>
              <w:t>中长期</w:t>
            </w:r>
          </w:p>
        </w:tc>
        <w:tc>
          <w:tcPr>
            <w:tcW w:w="1662" w:type="dxa"/>
            <w:gridSpan w:val="3"/>
            <w:vAlign w:val="center"/>
          </w:tcPr>
          <w:p w:rsidR="00846E12" w:rsidRPr="005D2A19" w:rsidRDefault="00846E12" w:rsidP="003E2804">
            <w:pPr>
              <w:spacing w:line="240" w:lineRule="exact"/>
              <w:jc w:val="center"/>
              <w:rPr>
                <w:rFonts w:eastAsia="华文楷体"/>
                <w:sz w:val="24"/>
              </w:rPr>
            </w:pPr>
            <w:r w:rsidRPr="005D2A19">
              <w:rPr>
                <w:rFonts w:eastAsia="华文楷体"/>
                <w:sz w:val="24"/>
              </w:rPr>
              <w:t>短期</w:t>
            </w:r>
          </w:p>
        </w:tc>
        <w:tc>
          <w:tcPr>
            <w:tcW w:w="1790" w:type="dxa"/>
            <w:vAlign w:val="center"/>
          </w:tcPr>
          <w:p w:rsidR="00846E12" w:rsidRPr="005D2A19" w:rsidRDefault="00846E12" w:rsidP="003E2804">
            <w:pPr>
              <w:jc w:val="center"/>
            </w:pPr>
            <w:r w:rsidRPr="005D2A19">
              <w:rPr>
                <w:rFonts w:eastAsia="华文楷体"/>
                <w:sz w:val="24"/>
              </w:rPr>
              <w:t>外币</w:t>
            </w:r>
          </w:p>
        </w:tc>
      </w:tr>
      <w:tr w:rsidR="00846E12" w:rsidRPr="005D2A19" w:rsidTr="003E2804">
        <w:trPr>
          <w:trHeight w:val="582"/>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现有外债余额</w:t>
            </w: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565"/>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proofErr w:type="gramStart"/>
            <w:r w:rsidRPr="005D2A19">
              <w:rPr>
                <w:rFonts w:eastAsia="华文楷体"/>
                <w:sz w:val="24"/>
              </w:rPr>
              <w:t>本笔外债</w:t>
            </w:r>
            <w:proofErr w:type="gramEnd"/>
            <w:r w:rsidRPr="005D2A19">
              <w:rPr>
                <w:rFonts w:eastAsia="华文楷体"/>
                <w:sz w:val="24"/>
              </w:rPr>
              <w:t>签约额</w:t>
            </w: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684"/>
        </w:trPr>
        <w:tc>
          <w:tcPr>
            <w:tcW w:w="959" w:type="dxa"/>
            <w:vMerge/>
            <w:vAlign w:val="center"/>
          </w:tcPr>
          <w:p w:rsidR="00846E12" w:rsidRPr="005D2A19" w:rsidRDefault="00846E12" w:rsidP="003E2804">
            <w:pPr>
              <w:spacing w:line="320" w:lineRule="exact"/>
              <w:jc w:val="center"/>
              <w:rPr>
                <w:rFonts w:eastAsia="华文楷体"/>
                <w:sz w:val="24"/>
              </w:rPr>
            </w:pPr>
          </w:p>
        </w:tc>
        <w:tc>
          <w:tcPr>
            <w:tcW w:w="709" w:type="dxa"/>
            <w:vMerge w:val="restart"/>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不纳入计算的业务类型</w:t>
            </w:r>
          </w:p>
        </w:tc>
        <w:tc>
          <w:tcPr>
            <w:tcW w:w="1559" w:type="dxa"/>
            <w:tcBorders>
              <w:tl2br w:val="single" w:sz="4" w:space="0" w:color="auto"/>
            </w:tcBorders>
            <w:vAlign w:val="center"/>
          </w:tcPr>
          <w:p w:rsidR="00846E12" w:rsidRPr="005D2A19" w:rsidRDefault="00846E12" w:rsidP="003E2804">
            <w:pPr>
              <w:spacing w:line="320" w:lineRule="exact"/>
              <w:jc w:val="center"/>
              <w:rPr>
                <w:rFonts w:eastAsia="华文楷体"/>
                <w:sz w:val="24"/>
              </w:rPr>
            </w:pPr>
          </w:p>
        </w:tc>
        <w:tc>
          <w:tcPr>
            <w:tcW w:w="1843" w:type="dxa"/>
            <w:gridSpan w:val="2"/>
            <w:vAlign w:val="center"/>
          </w:tcPr>
          <w:p w:rsidR="00846E12" w:rsidRPr="005D2A19" w:rsidRDefault="00846E12" w:rsidP="003E2804">
            <w:pPr>
              <w:spacing w:line="240" w:lineRule="exact"/>
              <w:jc w:val="center"/>
              <w:rPr>
                <w:rFonts w:eastAsia="华文楷体"/>
                <w:sz w:val="24"/>
              </w:rPr>
            </w:pPr>
            <w:r w:rsidRPr="005D2A19">
              <w:rPr>
                <w:rFonts w:eastAsia="华文楷体"/>
                <w:sz w:val="24"/>
              </w:rPr>
              <w:t>中长期余额</w:t>
            </w:r>
          </w:p>
        </w:tc>
        <w:tc>
          <w:tcPr>
            <w:tcW w:w="1662" w:type="dxa"/>
            <w:gridSpan w:val="3"/>
            <w:vAlign w:val="center"/>
          </w:tcPr>
          <w:p w:rsidR="00846E12" w:rsidRPr="005D2A19" w:rsidRDefault="00846E12" w:rsidP="003E2804">
            <w:pPr>
              <w:spacing w:line="240" w:lineRule="exact"/>
              <w:jc w:val="center"/>
              <w:rPr>
                <w:rFonts w:eastAsia="华文楷体"/>
                <w:sz w:val="24"/>
              </w:rPr>
            </w:pPr>
            <w:r w:rsidRPr="005D2A19">
              <w:rPr>
                <w:rFonts w:eastAsia="华文楷体"/>
                <w:sz w:val="24"/>
              </w:rPr>
              <w:t>短期余额</w:t>
            </w:r>
          </w:p>
        </w:tc>
        <w:tc>
          <w:tcPr>
            <w:tcW w:w="1790" w:type="dxa"/>
            <w:vAlign w:val="center"/>
          </w:tcPr>
          <w:p w:rsidR="00846E12" w:rsidRPr="005D2A19" w:rsidRDefault="00846E12" w:rsidP="003E2804">
            <w:pPr>
              <w:jc w:val="center"/>
            </w:pPr>
            <w:r w:rsidRPr="005D2A19">
              <w:rPr>
                <w:rFonts w:eastAsia="华文楷体"/>
                <w:sz w:val="24"/>
              </w:rPr>
              <w:t>外币余额</w:t>
            </w:r>
          </w:p>
        </w:tc>
      </w:tr>
      <w:tr w:rsidR="00846E12" w:rsidRPr="005D2A19" w:rsidTr="003E2804">
        <w:trPr>
          <w:trHeight w:val="411"/>
        </w:trPr>
        <w:tc>
          <w:tcPr>
            <w:tcW w:w="959" w:type="dxa"/>
            <w:vMerge/>
            <w:vAlign w:val="center"/>
          </w:tcPr>
          <w:p w:rsidR="00846E12" w:rsidRPr="005D2A19" w:rsidRDefault="00846E12" w:rsidP="003E2804">
            <w:pPr>
              <w:spacing w:line="320" w:lineRule="exact"/>
              <w:jc w:val="center"/>
              <w:rPr>
                <w:rFonts w:eastAsia="华文楷体"/>
                <w:sz w:val="24"/>
              </w:rPr>
            </w:pPr>
          </w:p>
        </w:tc>
        <w:tc>
          <w:tcPr>
            <w:tcW w:w="709" w:type="dxa"/>
            <w:vMerge/>
            <w:vAlign w:val="center"/>
          </w:tcPr>
          <w:p w:rsidR="00846E12" w:rsidRPr="005D2A19" w:rsidRDefault="00846E12" w:rsidP="003E2804">
            <w:pPr>
              <w:spacing w:line="320" w:lineRule="exact"/>
              <w:jc w:val="center"/>
              <w:rPr>
                <w:rFonts w:eastAsia="华文楷体"/>
                <w:sz w:val="24"/>
              </w:rPr>
            </w:pPr>
          </w:p>
        </w:tc>
        <w:tc>
          <w:tcPr>
            <w:tcW w:w="1559" w:type="dxa"/>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熊猫债</w:t>
            </w: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416"/>
        </w:trPr>
        <w:tc>
          <w:tcPr>
            <w:tcW w:w="959" w:type="dxa"/>
            <w:vMerge/>
            <w:vAlign w:val="center"/>
          </w:tcPr>
          <w:p w:rsidR="00846E12" w:rsidRPr="005D2A19" w:rsidRDefault="00846E12" w:rsidP="003E2804">
            <w:pPr>
              <w:spacing w:line="320" w:lineRule="exact"/>
              <w:jc w:val="center"/>
              <w:rPr>
                <w:rFonts w:eastAsia="华文楷体"/>
                <w:sz w:val="24"/>
              </w:rPr>
            </w:pPr>
          </w:p>
        </w:tc>
        <w:tc>
          <w:tcPr>
            <w:tcW w:w="709" w:type="dxa"/>
            <w:vMerge/>
            <w:vAlign w:val="center"/>
          </w:tcPr>
          <w:p w:rsidR="00846E12" w:rsidRPr="005D2A19" w:rsidRDefault="00846E12" w:rsidP="003E2804">
            <w:pPr>
              <w:spacing w:line="320" w:lineRule="exact"/>
              <w:jc w:val="center"/>
              <w:rPr>
                <w:rFonts w:eastAsia="华文楷体"/>
                <w:sz w:val="24"/>
              </w:rPr>
            </w:pPr>
          </w:p>
        </w:tc>
        <w:tc>
          <w:tcPr>
            <w:tcW w:w="1559" w:type="dxa"/>
            <w:vAlign w:val="center"/>
          </w:tcPr>
          <w:p w:rsidR="00846E12" w:rsidRPr="005D2A19" w:rsidRDefault="00846E12" w:rsidP="003E2804">
            <w:pPr>
              <w:spacing w:line="320" w:lineRule="exact"/>
              <w:jc w:val="center"/>
              <w:rPr>
                <w:rFonts w:eastAsia="华文楷体"/>
                <w:sz w:val="24"/>
              </w:rPr>
            </w:pP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409"/>
        </w:trPr>
        <w:tc>
          <w:tcPr>
            <w:tcW w:w="959" w:type="dxa"/>
            <w:vMerge/>
            <w:vAlign w:val="center"/>
          </w:tcPr>
          <w:p w:rsidR="00846E12" w:rsidRPr="005D2A19" w:rsidRDefault="00846E12" w:rsidP="003E2804">
            <w:pPr>
              <w:spacing w:line="320" w:lineRule="exact"/>
              <w:jc w:val="center"/>
              <w:rPr>
                <w:rFonts w:eastAsia="华文楷体"/>
                <w:sz w:val="24"/>
              </w:rPr>
            </w:pPr>
          </w:p>
        </w:tc>
        <w:tc>
          <w:tcPr>
            <w:tcW w:w="709" w:type="dxa"/>
            <w:vMerge/>
            <w:vAlign w:val="center"/>
          </w:tcPr>
          <w:p w:rsidR="00846E12" w:rsidRPr="005D2A19" w:rsidRDefault="00846E12" w:rsidP="003E2804">
            <w:pPr>
              <w:spacing w:line="320" w:lineRule="exact"/>
              <w:jc w:val="center"/>
              <w:rPr>
                <w:rFonts w:eastAsia="华文楷体"/>
                <w:sz w:val="24"/>
              </w:rPr>
            </w:pPr>
          </w:p>
        </w:tc>
        <w:tc>
          <w:tcPr>
            <w:tcW w:w="1559" w:type="dxa"/>
            <w:vAlign w:val="center"/>
          </w:tcPr>
          <w:p w:rsidR="00846E12" w:rsidRPr="005D2A19" w:rsidRDefault="00846E12" w:rsidP="003E2804">
            <w:pPr>
              <w:spacing w:line="320" w:lineRule="exact"/>
              <w:jc w:val="center"/>
              <w:rPr>
                <w:rFonts w:eastAsia="华文楷体"/>
                <w:sz w:val="24"/>
              </w:rPr>
            </w:pP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568"/>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扣减后余额</w:t>
            </w:r>
            <w:r w:rsidRPr="005D2A19">
              <w:rPr>
                <w:rStyle w:val="a6"/>
                <w:rFonts w:eastAsia="华文楷体"/>
                <w:sz w:val="24"/>
              </w:rPr>
              <w:footnoteReference w:id="5"/>
            </w:r>
          </w:p>
        </w:tc>
        <w:tc>
          <w:tcPr>
            <w:tcW w:w="1843" w:type="dxa"/>
            <w:gridSpan w:val="2"/>
            <w:vAlign w:val="center"/>
          </w:tcPr>
          <w:p w:rsidR="00846E12" w:rsidRPr="005D2A19" w:rsidRDefault="00846E12" w:rsidP="003E2804">
            <w:pPr>
              <w:spacing w:line="320" w:lineRule="exact"/>
              <w:jc w:val="center"/>
              <w:rPr>
                <w:rFonts w:eastAsia="华文楷体"/>
                <w:sz w:val="24"/>
              </w:rPr>
            </w:pPr>
          </w:p>
        </w:tc>
        <w:tc>
          <w:tcPr>
            <w:tcW w:w="1662" w:type="dxa"/>
            <w:gridSpan w:val="3"/>
            <w:vAlign w:val="center"/>
          </w:tcPr>
          <w:p w:rsidR="00846E12" w:rsidRPr="005D2A19" w:rsidRDefault="00846E12" w:rsidP="003E2804">
            <w:pPr>
              <w:spacing w:line="320" w:lineRule="exact"/>
              <w:jc w:val="center"/>
              <w:rPr>
                <w:rFonts w:eastAsia="华文楷体"/>
                <w:sz w:val="24"/>
              </w:rPr>
            </w:pPr>
          </w:p>
        </w:tc>
        <w:tc>
          <w:tcPr>
            <w:tcW w:w="1790" w:type="dxa"/>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704"/>
        </w:trPr>
        <w:tc>
          <w:tcPr>
            <w:tcW w:w="959" w:type="dxa"/>
            <w:vMerge/>
            <w:vAlign w:val="center"/>
          </w:tcPr>
          <w:p w:rsidR="00846E12" w:rsidRPr="005D2A19" w:rsidRDefault="00846E12" w:rsidP="003E2804">
            <w:pPr>
              <w:spacing w:line="320" w:lineRule="exact"/>
              <w:jc w:val="center"/>
              <w:rPr>
                <w:rFonts w:eastAsia="华文楷体"/>
                <w:sz w:val="24"/>
              </w:rPr>
            </w:pPr>
          </w:p>
        </w:tc>
        <w:tc>
          <w:tcPr>
            <w:tcW w:w="2268"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外债风险加权余额</w:t>
            </w:r>
            <w:r w:rsidRPr="005D2A19">
              <w:rPr>
                <w:rStyle w:val="a6"/>
                <w:rFonts w:eastAsia="华文楷体"/>
                <w:sz w:val="24"/>
              </w:rPr>
              <w:footnoteReference w:id="6"/>
            </w:r>
          </w:p>
        </w:tc>
        <w:tc>
          <w:tcPr>
            <w:tcW w:w="5295" w:type="dxa"/>
            <w:gridSpan w:val="6"/>
            <w:vAlign w:val="center"/>
          </w:tcPr>
          <w:p w:rsidR="00846E12" w:rsidRPr="005D2A19" w:rsidRDefault="00846E12" w:rsidP="003E2804">
            <w:pPr>
              <w:spacing w:line="320" w:lineRule="exact"/>
              <w:jc w:val="center"/>
              <w:rPr>
                <w:rFonts w:eastAsia="华文楷体"/>
                <w:sz w:val="24"/>
              </w:rPr>
            </w:pPr>
          </w:p>
        </w:tc>
      </w:tr>
      <w:tr w:rsidR="00846E12" w:rsidRPr="005D2A19" w:rsidTr="003E2804">
        <w:trPr>
          <w:trHeight w:val="668"/>
        </w:trPr>
        <w:tc>
          <w:tcPr>
            <w:tcW w:w="3227" w:type="dxa"/>
            <w:gridSpan w:val="3"/>
            <w:vAlign w:val="center"/>
          </w:tcPr>
          <w:p w:rsidR="00846E12" w:rsidRPr="005D2A19" w:rsidRDefault="00846E12" w:rsidP="003E2804">
            <w:pPr>
              <w:spacing w:line="320" w:lineRule="exact"/>
              <w:jc w:val="left"/>
              <w:rPr>
                <w:rFonts w:eastAsia="华文楷体"/>
                <w:sz w:val="24"/>
              </w:rPr>
            </w:pPr>
            <w:r w:rsidRPr="005D2A19">
              <w:rPr>
                <w:rFonts w:eastAsia="华文楷体"/>
                <w:sz w:val="24"/>
              </w:rPr>
              <w:t>外债风险加权余额上限与外债风险加权余额之差额</w:t>
            </w:r>
          </w:p>
        </w:tc>
        <w:tc>
          <w:tcPr>
            <w:tcW w:w="1843" w:type="dxa"/>
            <w:gridSpan w:val="2"/>
            <w:vAlign w:val="center"/>
          </w:tcPr>
          <w:p w:rsidR="00846E12" w:rsidRPr="005D2A19" w:rsidRDefault="00846E12" w:rsidP="003E2804">
            <w:pPr>
              <w:spacing w:line="320" w:lineRule="exact"/>
              <w:ind w:firstLineChars="200" w:firstLine="480"/>
              <w:jc w:val="left"/>
              <w:rPr>
                <w:rFonts w:eastAsia="华文楷体"/>
                <w:sz w:val="24"/>
              </w:rPr>
            </w:pPr>
          </w:p>
        </w:tc>
        <w:tc>
          <w:tcPr>
            <w:tcW w:w="1639" w:type="dxa"/>
            <w:gridSpan w:val="2"/>
            <w:vAlign w:val="center"/>
          </w:tcPr>
          <w:p w:rsidR="00846E12" w:rsidRPr="005D2A19" w:rsidRDefault="00846E12" w:rsidP="003E2804">
            <w:pPr>
              <w:spacing w:line="320" w:lineRule="exact"/>
              <w:jc w:val="center"/>
              <w:rPr>
                <w:rFonts w:eastAsia="华文楷体"/>
                <w:sz w:val="24"/>
              </w:rPr>
            </w:pPr>
            <w:r w:rsidRPr="005D2A19">
              <w:rPr>
                <w:rFonts w:eastAsia="华文楷体"/>
                <w:sz w:val="24"/>
              </w:rPr>
              <w:t>是否超上限</w:t>
            </w:r>
          </w:p>
        </w:tc>
        <w:tc>
          <w:tcPr>
            <w:tcW w:w="1813" w:type="dxa"/>
            <w:gridSpan w:val="2"/>
            <w:vAlign w:val="center"/>
          </w:tcPr>
          <w:p w:rsidR="00846E12" w:rsidRPr="005D2A19" w:rsidRDefault="00846E12" w:rsidP="003E2804">
            <w:pPr>
              <w:spacing w:line="320" w:lineRule="exact"/>
              <w:jc w:val="left"/>
              <w:rPr>
                <w:rFonts w:eastAsia="华文楷体"/>
                <w:sz w:val="24"/>
              </w:rPr>
            </w:pPr>
            <w:r w:rsidRPr="005D2A19">
              <w:rPr>
                <w:rFonts w:eastAsia="华文楷体"/>
                <w:sz w:val="24"/>
              </w:rPr>
              <w:t>是（</w:t>
            </w:r>
            <w:r w:rsidRPr="005D2A19">
              <w:rPr>
                <w:rFonts w:eastAsia="华文楷体"/>
                <w:sz w:val="24"/>
              </w:rPr>
              <w:t xml:space="preserve"> </w:t>
            </w:r>
            <w:r w:rsidRPr="005D2A19">
              <w:rPr>
                <w:rFonts w:eastAsia="华文楷体"/>
                <w:sz w:val="24"/>
              </w:rPr>
              <w:t>）否（</w:t>
            </w:r>
            <w:r w:rsidRPr="005D2A19">
              <w:rPr>
                <w:rFonts w:eastAsia="华文楷体"/>
                <w:sz w:val="24"/>
              </w:rPr>
              <w:t xml:space="preserve"> </w:t>
            </w:r>
            <w:r w:rsidRPr="005D2A19">
              <w:rPr>
                <w:rFonts w:eastAsia="华文楷体"/>
                <w:sz w:val="24"/>
              </w:rPr>
              <w:t>）</w:t>
            </w:r>
          </w:p>
        </w:tc>
      </w:tr>
      <w:tr w:rsidR="00846E12" w:rsidRPr="005D2A19" w:rsidTr="003E2804">
        <w:trPr>
          <w:trHeight w:val="1023"/>
        </w:trPr>
        <w:tc>
          <w:tcPr>
            <w:tcW w:w="8522" w:type="dxa"/>
            <w:gridSpan w:val="9"/>
            <w:vAlign w:val="center"/>
          </w:tcPr>
          <w:p w:rsidR="00846E12" w:rsidRPr="005D2A19" w:rsidRDefault="00846E12" w:rsidP="003E2804">
            <w:pPr>
              <w:spacing w:line="320" w:lineRule="exact"/>
              <w:ind w:firstLineChars="200" w:firstLine="480"/>
              <w:jc w:val="left"/>
              <w:rPr>
                <w:rFonts w:eastAsia="华文楷体"/>
                <w:sz w:val="24"/>
              </w:rPr>
            </w:pPr>
            <w:r w:rsidRPr="005D2A19">
              <w:rPr>
                <w:rFonts w:eastAsia="华文楷体"/>
                <w:sz w:val="24"/>
              </w:rPr>
              <w:t>以上信息真实有效，本机构将严格按照相关规定认真履行相关职责，并及时准确地报送相关信息。</w:t>
            </w:r>
            <w:r w:rsidRPr="005D2A19">
              <w:rPr>
                <w:rFonts w:eastAsia="华文楷体"/>
                <w:sz w:val="24"/>
              </w:rPr>
              <w:t xml:space="preserve">                                 </w:t>
            </w:r>
            <w:r w:rsidRPr="005D2A19">
              <w:rPr>
                <w:rFonts w:eastAsia="华文楷体"/>
                <w:sz w:val="24"/>
              </w:rPr>
              <w:t>（公章）</w:t>
            </w:r>
            <w:r w:rsidRPr="005D2A19">
              <w:rPr>
                <w:rFonts w:eastAsia="华文楷体"/>
                <w:sz w:val="24"/>
              </w:rPr>
              <w:t xml:space="preserve">            </w:t>
            </w:r>
          </w:p>
        </w:tc>
      </w:tr>
    </w:tbl>
    <w:p w:rsidR="00846E12" w:rsidRPr="005D2A19" w:rsidRDefault="00846E12" w:rsidP="00846E12">
      <w:pPr>
        <w:spacing w:line="360" w:lineRule="exact"/>
      </w:pPr>
      <w:r w:rsidRPr="005D2A19">
        <w:rPr>
          <w:rFonts w:eastAsia="华文楷体"/>
          <w:sz w:val="24"/>
        </w:rPr>
        <w:t>联系人：</w:t>
      </w:r>
      <w:r w:rsidRPr="005D2A19">
        <w:rPr>
          <w:rFonts w:eastAsia="华文楷体"/>
          <w:sz w:val="24"/>
        </w:rPr>
        <w:t xml:space="preserve">               </w:t>
      </w:r>
      <w:r w:rsidRPr="005D2A19">
        <w:rPr>
          <w:rFonts w:eastAsia="华文楷体"/>
          <w:sz w:val="24"/>
        </w:rPr>
        <w:t>填表时间：</w:t>
      </w:r>
      <w:r w:rsidRPr="005D2A19">
        <w:rPr>
          <w:rFonts w:eastAsia="华文楷体"/>
          <w:sz w:val="24"/>
        </w:rPr>
        <w:t xml:space="preserve">            </w:t>
      </w:r>
      <w:r w:rsidRPr="005D2A19">
        <w:rPr>
          <w:rFonts w:eastAsia="华文楷体"/>
          <w:sz w:val="24"/>
        </w:rPr>
        <w:t>联系电话：</w:t>
      </w:r>
    </w:p>
    <w:p w:rsidR="00846E12" w:rsidRPr="00846E12" w:rsidRDefault="00846E12" w:rsidP="00846E12">
      <w:pPr>
        <w:ind w:firstLineChars="200" w:firstLine="420"/>
      </w:pPr>
    </w:p>
    <w:sectPr w:rsidR="00846E12" w:rsidRPr="00846E12" w:rsidSect="00947F8E">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59" w:rsidRDefault="00DD4F59" w:rsidP="007C1020">
      <w:r>
        <w:separator/>
      </w:r>
    </w:p>
  </w:endnote>
  <w:endnote w:type="continuationSeparator" w:id="0">
    <w:p w:rsidR="00DD4F59" w:rsidRDefault="00DD4F59" w:rsidP="007C1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59" w:rsidRDefault="00DD4F59" w:rsidP="007C1020">
      <w:r>
        <w:separator/>
      </w:r>
    </w:p>
  </w:footnote>
  <w:footnote w:type="continuationSeparator" w:id="0">
    <w:p w:rsidR="00DD4F59" w:rsidRDefault="00DD4F59" w:rsidP="007C1020">
      <w:r>
        <w:continuationSeparator/>
      </w:r>
    </w:p>
  </w:footnote>
  <w:footnote w:id="1">
    <w:p w:rsidR="00846E12" w:rsidRPr="00E47529" w:rsidRDefault="00846E12" w:rsidP="00846E12">
      <w:pPr>
        <w:pStyle w:val="a5"/>
      </w:pPr>
      <w:r>
        <w:rPr>
          <w:rStyle w:val="a6"/>
        </w:rPr>
        <w:footnoteRef/>
      </w:r>
      <w:r>
        <w:t xml:space="preserve"> </w:t>
      </w:r>
      <w:r>
        <w:rPr>
          <w:rFonts w:hint="eastAsia"/>
        </w:rPr>
        <w:t>按照《通知》第八条规定，外币跨境融资以提款日的汇率水平折算。</w:t>
      </w:r>
    </w:p>
  </w:footnote>
  <w:footnote w:id="2">
    <w:p w:rsidR="00846E12" w:rsidRPr="00415A3C" w:rsidRDefault="00846E12" w:rsidP="00846E12">
      <w:pPr>
        <w:pStyle w:val="a5"/>
      </w:pPr>
      <w:r>
        <w:rPr>
          <w:rStyle w:val="a6"/>
        </w:rPr>
        <w:footnoteRef/>
      </w:r>
      <w:r>
        <w:rPr>
          <w:rFonts w:hint="eastAsia"/>
        </w:rPr>
        <w:t xml:space="preserve"> </w:t>
      </w:r>
      <w:r>
        <w:rPr>
          <w:rFonts w:hint="eastAsia"/>
        </w:rPr>
        <w:t>债务人类型请按以下分类填写：中资企业、外资企业。</w:t>
      </w:r>
    </w:p>
  </w:footnote>
  <w:footnote w:id="3">
    <w:p w:rsidR="00846E12" w:rsidRDefault="00846E12" w:rsidP="00846E12">
      <w:pPr>
        <w:pStyle w:val="a5"/>
      </w:pPr>
      <w:r>
        <w:rPr>
          <w:rStyle w:val="a6"/>
        </w:rPr>
        <w:footnoteRef/>
      </w:r>
      <w:r>
        <w:t xml:space="preserve"> </w:t>
      </w:r>
      <w:r>
        <w:rPr>
          <w:rFonts w:hint="eastAsia"/>
        </w:rPr>
        <w:t>根据债务人上年度或最新的经审计的会计报表填写。</w:t>
      </w:r>
    </w:p>
  </w:footnote>
  <w:footnote w:id="4">
    <w:p w:rsidR="00846E12" w:rsidRPr="00A134AD" w:rsidRDefault="00846E12" w:rsidP="00846E12">
      <w:pPr>
        <w:pStyle w:val="a5"/>
      </w:pPr>
      <w:r>
        <w:rPr>
          <w:rStyle w:val="a6"/>
        </w:rPr>
        <w:footnoteRef/>
      </w:r>
      <w:r>
        <w:t xml:space="preserve"> </w:t>
      </w:r>
      <w:r>
        <w:rPr>
          <w:rFonts w:hint="eastAsia"/>
        </w:rPr>
        <w:t>外债风险加权余额上限</w:t>
      </w:r>
      <w:r>
        <w:rPr>
          <w:rFonts w:hint="eastAsia"/>
        </w:rPr>
        <w:t>=</w:t>
      </w:r>
      <w:r>
        <w:rPr>
          <w:rFonts w:hint="eastAsia"/>
        </w:rPr>
        <w:t>净资产×外债杠杆率×宏观审慎调节参数。其中，外债杠杆率参数设定为</w:t>
      </w:r>
      <w:r>
        <w:rPr>
          <w:rFonts w:hint="eastAsia"/>
        </w:rPr>
        <w:t>2</w:t>
      </w:r>
      <w:r>
        <w:rPr>
          <w:rFonts w:hint="eastAsia"/>
        </w:rPr>
        <w:t>，宏观审慎条件参数设定为</w:t>
      </w:r>
      <w:r>
        <w:rPr>
          <w:rFonts w:hint="eastAsia"/>
        </w:rPr>
        <w:t>1</w:t>
      </w:r>
      <w:r>
        <w:rPr>
          <w:rFonts w:hint="eastAsia"/>
        </w:rPr>
        <w:t>。</w:t>
      </w:r>
    </w:p>
  </w:footnote>
  <w:footnote w:id="5">
    <w:p w:rsidR="00846E12" w:rsidRPr="00B47CE0" w:rsidRDefault="00846E12" w:rsidP="00846E12">
      <w:pPr>
        <w:pStyle w:val="a5"/>
      </w:pPr>
      <w:r>
        <w:rPr>
          <w:rStyle w:val="a6"/>
        </w:rPr>
        <w:footnoteRef/>
      </w:r>
      <w:r>
        <w:t xml:space="preserve"> </w:t>
      </w:r>
      <w:r>
        <w:rPr>
          <w:rFonts w:hint="eastAsia"/>
        </w:rPr>
        <w:t>中长期外债的扣减后余额</w:t>
      </w:r>
      <w:r>
        <w:rPr>
          <w:rFonts w:hint="eastAsia"/>
        </w:rPr>
        <w:t xml:space="preserve">= </w:t>
      </w:r>
      <w:r>
        <w:rPr>
          <w:rFonts w:hint="eastAsia"/>
        </w:rPr>
        <w:t>中长期现有外债余额</w:t>
      </w:r>
      <w:r>
        <w:rPr>
          <w:rFonts w:hint="eastAsia"/>
        </w:rPr>
        <w:t xml:space="preserve"> + </w:t>
      </w:r>
      <w:proofErr w:type="gramStart"/>
      <w:r>
        <w:rPr>
          <w:rFonts w:hint="eastAsia"/>
        </w:rPr>
        <w:t>中长期本笔外债</w:t>
      </w:r>
      <w:proofErr w:type="gramEnd"/>
      <w:r>
        <w:rPr>
          <w:rFonts w:hint="eastAsia"/>
        </w:rPr>
        <w:t>签约额</w:t>
      </w:r>
      <w:r>
        <w:rPr>
          <w:rFonts w:hint="eastAsia"/>
        </w:rPr>
        <w:t xml:space="preserve"> </w:t>
      </w:r>
      <w:r>
        <w:t>–</w:t>
      </w:r>
      <w:r>
        <w:rPr>
          <w:rFonts w:hint="eastAsia"/>
        </w:rPr>
        <w:t xml:space="preserve"> </w:t>
      </w:r>
      <w:r>
        <w:rPr>
          <w:rFonts w:hint="eastAsia"/>
        </w:rPr>
        <w:t>不纳入计算的业务类型的中长期外债余额。短期外债和外币外债的扣减后余额参照此公式计算。</w:t>
      </w:r>
    </w:p>
  </w:footnote>
  <w:footnote w:id="6">
    <w:p w:rsidR="00846E12" w:rsidRDefault="00846E12" w:rsidP="00846E12">
      <w:pPr>
        <w:pStyle w:val="a5"/>
      </w:pPr>
      <w:r>
        <w:rPr>
          <w:rStyle w:val="a6"/>
        </w:rPr>
        <w:footnoteRef/>
      </w:r>
      <w:r>
        <w:rPr>
          <w:rFonts w:hint="eastAsia"/>
        </w:rPr>
        <w:t xml:space="preserve"> </w:t>
      </w:r>
      <w:r>
        <w:rPr>
          <w:rFonts w:hint="eastAsia"/>
        </w:rPr>
        <w:t>外债风险加权余额</w:t>
      </w:r>
      <w:r>
        <w:rPr>
          <w:rFonts w:hint="eastAsia"/>
        </w:rPr>
        <w:t>=</w:t>
      </w:r>
      <w:r>
        <w:rPr>
          <w:rFonts w:hint="eastAsia"/>
        </w:rPr>
        <w:t>扣减后的中长期外债余额×中长期外债期限风险转换因子×</w:t>
      </w:r>
      <w:r w:rsidRPr="007B3148">
        <w:rPr>
          <w:rFonts w:hint="eastAsia"/>
        </w:rPr>
        <w:t>类别风险转换因子</w:t>
      </w:r>
      <w:r>
        <w:rPr>
          <w:rFonts w:hint="eastAsia"/>
        </w:rPr>
        <w:t>+</w:t>
      </w:r>
      <w:r>
        <w:rPr>
          <w:rFonts w:hint="eastAsia"/>
        </w:rPr>
        <w:t>扣减后的短期外债余额×短期外债期限风险转换因子×</w:t>
      </w:r>
      <w:r w:rsidRPr="007B3148">
        <w:rPr>
          <w:rFonts w:hint="eastAsia"/>
        </w:rPr>
        <w:t>类别风险转换因子</w:t>
      </w:r>
      <w:r>
        <w:rPr>
          <w:rFonts w:hint="eastAsia"/>
        </w:rPr>
        <w:t>+</w:t>
      </w:r>
      <w:r>
        <w:rPr>
          <w:rFonts w:hint="eastAsia"/>
        </w:rPr>
        <w:t>扣减后的外币外债余额×汇率风险折算因子。其中，中长期、短期外债期限风险转换因子分别为</w:t>
      </w:r>
      <w:r>
        <w:rPr>
          <w:rFonts w:hint="eastAsia"/>
        </w:rPr>
        <w:t>1</w:t>
      </w:r>
      <w:r>
        <w:rPr>
          <w:rFonts w:hint="eastAsia"/>
        </w:rPr>
        <w:t>、</w:t>
      </w:r>
      <w:r>
        <w:rPr>
          <w:rFonts w:hint="eastAsia"/>
        </w:rPr>
        <w:t>1.5</w:t>
      </w:r>
      <w:r>
        <w:rPr>
          <w:rFonts w:hint="eastAsia"/>
        </w:rPr>
        <w:t>；表内融资的类别风险转换因子设定为</w:t>
      </w:r>
      <w:r>
        <w:rPr>
          <w:rFonts w:hint="eastAsia"/>
        </w:rPr>
        <w:t>1</w:t>
      </w:r>
      <w:r>
        <w:rPr>
          <w:rFonts w:hint="eastAsia"/>
        </w:rPr>
        <w:t>，表外融资（或有负债）的类别风险转换因子暂定为</w:t>
      </w:r>
      <w:r>
        <w:rPr>
          <w:rFonts w:hint="eastAsia"/>
        </w:rPr>
        <w:t>1</w:t>
      </w:r>
      <w:r>
        <w:rPr>
          <w:rFonts w:hint="eastAsia"/>
        </w:rPr>
        <w:t>；汇率风险折算因子为</w:t>
      </w:r>
      <w:r>
        <w:rPr>
          <w:rFonts w:hint="eastAsia"/>
        </w:rPr>
        <w:t>0.5</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020"/>
    <w:rsid w:val="000500ED"/>
    <w:rsid w:val="00067F55"/>
    <w:rsid w:val="002C29A1"/>
    <w:rsid w:val="003D5456"/>
    <w:rsid w:val="00416355"/>
    <w:rsid w:val="007C1020"/>
    <w:rsid w:val="00846E12"/>
    <w:rsid w:val="00947F8E"/>
    <w:rsid w:val="00996058"/>
    <w:rsid w:val="00DD4F59"/>
    <w:rsid w:val="00E76CAB"/>
    <w:rsid w:val="00FA7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20"/>
    <w:pPr>
      <w:widowControl w:val="0"/>
      <w:jc w:val="both"/>
    </w:pPr>
    <w:rPr>
      <w:rFonts w:ascii="Times New Roman" w:eastAsia="宋体" w:hAnsi="Times New Roman" w:cs="Times New Roman"/>
      <w:szCs w:val="24"/>
    </w:rPr>
  </w:style>
  <w:style w:type="paragraph" w:styleId="2">
    <w:name w:val="heading 2"/>
    <w:basedOn w:val="a"/>
    <w:next w:val="a"/>
    <w:link w:val="2Char"/>
    <w:qFormat/>
    <w:rsid w:val="007C102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10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1020"/>
    <w:rPr>
      <w:sz w:val="18"/>
      <w:szCs w:val="18"/>
    </w:rPr>
  </w:style>
  <w:style w:type="paragraph" w:styleId="a4">
    <w:name w:val="footer"/>
    <w:basedOn w:val="a"/>
    <w:link w:val="Char0"/>
    <w:uiPriority w:val="99"/>
    <w:semiHidden/>
    <w:unhideWhenUsed/>
    <w:rsid w:val="007C10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1020"/>
    <w:rPr>
      <w:sz w:val="18"/>
      <w:szCs w:val="18"/>
    </w:rPr>
  </w:style>
  <w:style w:type="character" w:customStyle="1" w:styleId="2Char">
    <w:name w:val="标题 2 Char"/>
    <w:basedOn w:val="a0"/>
    <w:link w:val="2"/>
    <w:qFormat/>
    <w:rsid w:val="007C1020"/>
    <w:rPr>
      <w:rFonts w:ascii="Cambria" w:eastAsia="宋体" w:hAnsi="Cambria" w:cs="Times New Roman"/>
      <w:b/>
      <w:bCs/>
      <w:sz w:val="32"/>
      <w:szCs w:val="32"/>
    </w:rPr>
  </w:style>
  <w:style w:type="paragraph" w:styleId="a5">
    <w:name w:val="footnote text"/>
    <w:basedOn w:val="a"/>
    <w:link w:val="Char1"/>
    <w:uiPriority w:val="99"/>
    <w:semiHidden/>
    <w:unhideWhenUsed/>
    <w:rsid w:val="00846E12"/>
    <w:pPr>
      <w:snapToGrid w:val="0"/>
      <w:jc w:val="left"/>
    </w:pPr>
    <w:rPr>
      <w:rFonts w:ascii="Calibri" w:hAnsi="Calibri"/>
      <w:sz w:val="18"/>
      <w:szCs w:val="18"/>
    </w:rPr>
  </w:style>
  <w:style w:type="character" w:customStyle="1" w:styleId="Char1">
    <w:name w:val="脚注文本 Char"/>
    <w:basedOn w:val="a0"/>
    <w:link w:val="a5"/>
    <w:uiPriority w:val="99"/>
    <w:semiHidden/>
    <w:rsid w:val="00846E12"/>
    <w:rPr>
      <w:rFonts w:ascii="Calibri" w:eastAsia="宋体" w:hAnsi="Calibri" w:cs="Times New Roman"/>
      <w:sz w:val="18"/>
      <w:szCs w:val="18"/>
    </w:rPr>
  </w:style>
  <w:style w:type="character" w:styleId="a6">
    <w:name w:val="footnote reference"/>
    <w:basedOn w:val="a0"/>
    <w:uiPriority w:val="99"/>
    <w:semiHidden/>
    <w:unhideWhenUsed/>
    <w:rsid w:val="00846E1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陈东海</dc:creator>
  <cp:keywords/>
  <dc:description/>
  <cp:lastModifiedBy>打印员</cp:lastModifiedBy>
  <cp:revision>7</cp:revision>
  <dcterms:created xsi:type="dcterms:W3CDTF">2017-12-07T06:26:00Z</dcterms:created>
  <dcterms:modified xsi:type="dcterms:W3CDTF">2017-12-13T06:19:00Z</dcterms:modified>
</cp:coreProperties>
</file>