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18" w:rsidRDefault="00064527">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60288" fillcolor="red" stroked="f">
            <v:textpath style="font-family:&quot;华文行楷&quot;;font-weight:bold" trim="t" fitpath="t" string="资本市场信息要报"/>
            <o:lock v:ext="edit" text="f"/>
            <w10:anchorlock/>
          </v:shape>
        </w:pict>
      </w:r>
    </w:p>
    <w:p w:rsidR="00BF4C18" w:rsidRDefault="00BF4C18">
      <w:pPr>
        <w:spacing w:line="520" w:lineRule="exact"/>
        <w:rPr>
          <w:rFonts w:ascii="仿宋_GB2312" w:eastAsia="仿宋_GB2312" w:hAnsi="仿宋" w:cs="仿宋"/>
          <w:b/>
          <w:bCs/>
          <w:sz w:val="28"/>
          <w:szCs w:val="28"/>
        </w:rPr>
      </w:pPr>
    </w:p>
    <w:p w:rsidR="00BF4C18" w:rsidRDefault="00BF4C18">
      <w:pPr>
        <w:spacing w:line="520" w:lineRule="exact"/>
        <w:rPr>
          <w:rFonts w:ascii="仿宋_GB2312" w:eastAsia="仿宋_GB2312" w:hAnsi="仿宋" w:cs="仿宋"/>
          <w:b/>
          <w:bCs/>
          <w:sz w:val="28"/>
          <w:szCs w:val="28"/>
        </w:rPr>
      </w:pPr>
    </w:p>
    <w:p w:rsidR="00BF4C18" w:rsidRDefault="00BF4C18">
      <w:pPr>
        <w:spacing w:line="520" w:lineRule="exact"/>
        <w:rPr>
          <w:rFonts w:ascii="仿宋_GB2312" w:eastAsia="仿宋_GB2312" w:hAnsi="仿宋" w:cs="仿宋"/>
          <w:b/>
          <w:bCs/>
          <w:sz w:val="28"/>
          <w:szCs w:val="28"/>
        </w:rPr>
      </w:pPr>
    </w:p>
    <w:p w:rsidR="00BF4C18" w:rsidRDefault="00BF4C18">
      <w:pPr>
        <w:spacing w:line="520" w:lineRule="exact"/>
        <w:rPr>
          <w:rFonts w:ascii="仿宋_GB2312" w:eastAsia="仿宋_GB2312" w:hAnsi="仿宋" w:cs="仿宋"/>
          <w:b/>
          <w:bCs/>
          <w:sz w:val="28"/>
          <w:szCs w:val="28"/>
        </w:rPr>
      </w:pPr>
    </w:p>
    <w:p w:rsidR="00BF4C18" w:rsidRDefault="007F33E8">
      <w:pPr>
        <w:spacing w:line="520" w:lineRule="exact"/>
        <w:jc w:val="center"/>
        <w:rPr>
          <w:rFonts w:ascii="仿宋_GB2312" w:eastAsia="仿宋_GB2312" w:cs="仿宋_GB2312"/>
          <w:sz w:val="28"/>
          <w:szCs w:val="28"/>
        </w:rPr>
      </w:pPr>
      <w:r>
        <w:rPr>
          <w:rFonts w:ascii="仿宋_GB2312" w:eastAsia="仿宋_GB2312" w:cs="仿宋_GB2312" w:hint="eastAsia"/>
          <w:sz w:val="28"/>
          <w:szCs w:val="28"/>
        </w:rPr>
        <w:t>2017年第16期</w:t>
      </w:r>
    </w:p>
    <w:p w:rsidR="00BF4C18" w:rsidRDefault="00BF4C18">
      <w:pPr>
        <w:jc w:val="center"/>
        <w:rPr>
          <w:rFonts w:ascii="仿宋_GB2312" w:eastAsia="仿宋_GB2312" w:cs="仿宋_GB2312"/>
          <w:sz w:val="28"/>
          <w:szCs w:val="28"/>
        </w:rPr>
      </w:pPr>
    </w:p>
    <w:p w:rsidR="00BF4C18" w:rsidRDefault="00BF4C18">
      <w:pPr>
        <w:tabs>
          <w:tab w:val="left" w:pos="690"/>
        </w:tabs>
        <w:spacing w:line="520" w:lineRule="exact"/>
        <w:jc w:val="center"/>
        <w:rPr>
          <w:rFonts w:ascii="仿宋_GB2312" w:eastAsia="仿宋_GB2312" w:hAnsi="仿宋" w:cs="仿宋"/>
          <w:b/>
          <w:bCs/>
          <w:sz w:val="28"/>
          <w:szCs w:val="28"/>
        </w:rPr>
      </w:pPr>
    </w:p>
    <w:p w:rsidR="00BF4C18" w:rsidRDefault="00064527">
      <w:pPr>
        <w:spacing w:line="520" w:lineRule="exact"/>
        <w:ind w:firstLineChars="100" w:firstLine="280"/>
        <w:rPr>
          <w:rFonts w:ascii="仿宋_GB2312" w:eastAsia="仿宋_GB2312"/>
          <w:sz w:val="28"/>
          <w:szCs w:val="28"/>
        </w:rPr>
      </w:pPr>
      <w:r>
        <w:rPr>
          <w:rFonts w:ascii="仿宋_GB2312" w:eastAsia="仿宋_GB2312"/>
          <w:sz w:val="28"/>
          <w:szCs w:val="28"/>
        </w:rPr>
        <w:pict>
          <v:line id="Line 3" o:spid="_x0000_s1027" style="position:absolute;left:0;text-align:left;z-index:251661312;mso-position-horizontal:center" from="0,33.95pt" to="425.2pt,33.95pt" o:allowincell="f" strokeweight="2.25pt">
            <w10:anchorlock/>
          </v:line>
        </w:pict>
      </w:r>
      <w:r w:rsidR="007F33E8">
        <w:rPr>
          <w:rFonts w:ascii="仿宋_GB2312" w:eastAsia="仿宋_GB2312" w:hint="eastAsia"/>
          <w:sz w:val="28"/>
          <w:szCs w:val="28"/>
        </w:rPr>
        <w:t xml:space="preserve">             </w:t>
      </w:r>
    </w:p>
    <w:p w:rsidR="00BF4C18" w:rsidRDefault="00BF4C18">
      <w:pPr>
        <w:tabs>
          <w:tab w:val="left" w:pos="690"/>
        </w:tabs>
        <w:spacing w:line="520" w:lineRule="exact"/>
        <w:jc w:val="center"/>
        <w:rPr>
          <w:rFonts w:ascii="仿宋_GB2312" w:eastAsia="仿宋_GB2312" w:hAnsi="仿宋" w:cs="仿宋"/>
          <w:b/>
          <w:bCs/>
          <w:sz w:val="28"/>
          <w:szCs w:val="28"/>
        </w:rPr>
      </w:pPr>
    </w:p>
    <w:p w:rsidR="00BF4C18" w:rsidRPr="00296418" w:rsidRDefault="007F33E8" w:rsidP="00493FC9">
      <w:pPr>
        <w:tabs>
          <w:tab w:val="left" w:pos="4605"/>
        </w:tabs>
        <w:adjustRightInd w:val="0"/>
        <w:snapToGrid w:val="0"/>
        <w:spacing w:line="520" w:lineRule="exact"/>
        <w:ind w:firstLineChars="200" w:firstLine="602"/>
        <w:rPr>
          <w:rFonts w:ascii="仿宋_GB2312" w:eastAsia="仿宋_GB2312" w:hAnsi="仿宋" w:cs="仿宋"/>
          <w:b/>
          <w:bCs/>
          <w:sz w:val="30"/>
          <w:szCs w:val="30"/>
        </w:rPr>
      </w:pPr>
      <w:r w:rsidRPr="00296418">
        <w:rPr>
          <w:rFonts w:ascii="仿宋_GB2312" w:eastAsia="仿宋_GB2312" w:hAnsi="仿宋" w:cs="仿宋" w:hint="eastAsia"/>
          <w:b/>
          <w:bCs/>
          <w:sz w:val="30"/>
          <w:szCs w:val="30"/>
        </w:rPr>
        <w:t xml:space="preserve">一、国际资本市场热点问题 </w:t>
      </w:r>
    </w:p>
    <w:p w:rsidR="00BF4C18" w:rsidRPr="00296418" w:rsidRDefault="007F33E8" w:rsidP="00296418">
      <w:pPr>
        <w:spacing w:line="520" w:lineRule="exact"/>
        <w:ind w:firstLine="600"/>
        <w:rPr>
          <w:rFonts w:ascii="仿宋_GB2312" w:eastAsia="仿宋_GB2312" w:hAnsi="仿宋"/>
          <w:b/>
          <w:bCs/>
          <w:sz w:val="30"/>
          <w:szCs w:val="30"/>
        </w:rPr>
      </w:pPr>
      <w:r w:rsidRPr="00296418">
        <w:rPr>
          <w:rFonts w:ascii="仿宋_GB2312" w:eastAsia="仿宋_GB2312" w:hAnsi="仿宋" w:hint="eastAsia"/>
          <w:b/>
          <w:bCs/>
          <w:sz w:val="30"/>
          <w:szCs w:val="30"/>
        </w:rPr>
        <w:t>（一）IMF上调中国未来三年经济增长预期</w:t>
      </w:r>
    </w:p>
    <w:p w:rsidR="00BF4C18" w:rsidRPr="00296418" w:rsidRDefault="007F33E8" w:rsidP="00296418">
      <w:pPr>
        <w:spacing w:line="520" w:lineRule="exact"/>
        <w:ind w:firstLine="600"/>
        <w:rPr>
          <w:rFonts w:ascii="仿宋_GB2312" w:eastAsia="仿宋_GB2312" w:hAnsi="仿宋"/>
          <w:color w:val="FF0000"/>
          <w:sz w:val="30"/>
          <w:szCs w:val="30"/>
        </w:rPr>
      </w:pPr>
      <w:r w:rsidRPr="00296418">
        <w:rPr>
          <w:rFonts w:ascii="仿宋_GB2312" w:eastAsia="仿宋_GB2312" w:hAnsi="仿宋" w:hint="eastAsia"/>
          <w:bCs/>
          <w:sz w:val="30"/>
          <w:szCs w:val="30"/>
        </w:rPr>
        <w:t>8月16日，国际货币基金组织（IMF）上调未来三年中国经济年均增长率预期,预计从2017年至2020年，中国经济将平均每年增长6.4%，而一年前其预期为6%。IMF预期今年中国经济增速为6.7%，与7月预期持平，</w:t>
      </w:r>
      <w:r w:rsidRPr="00296418">
        <w:rPr>
          <w:rFonts w:ascii="仿宋_GB2312" w:eastAsia="仿宋_GB2312" w:hAnsi="仿宋" w:hint="eastAsia"/>
          <w:bCs/>
          <w:color w:val="000000" w:themeColor="text1"/>
          <w:sz w:val="30"/>
          <w:szCs w:val="30"/>
        </w:rPr>
        <w:t>高于中国官方6.5%的设定目标。IMF称，得力于去年的政策支持、外部需求的加强及国内改革的进展带来的动能，中国经济的强劲增长，已为其加速改革进程、并将重点更多的放在高质量增长上铺平了道路。该组织执行理事还表示，中国需要进一步改善财政和货币政策框架，以便维持中期的经济增长和稳定性。</w:t>
      </w:r>
    </w:p>
    <w:p w:rsidR="00493FC9" w:rsidRPr="00296418" w:rsidRDefault="00493FC9" w:rsidP="00493FC9">
      <w:pPr>
        <w:spacing w:line="520" w:lineRule="exact"/>
        <w:ind w:firstLineChars="200" w:firstLine="602"/>
        <w:rPr>
          <w:rFonts w:ascii="仿宋_GB2312" w:eastAsia="仿宋_GB2312"/>
          <w:b/>
          <w:color w:val="000000" w:themeColor="text1"/>
          <w:sz w:val="30"/>
          <w:szCs w:val="30"/>
        </w:rPr>
      </w:pPr>
      <w:r w:rsidRPr="00296418">
        <w:rPr>
          <w:rFonts w:ascii="仿宋_GB2312" w:eastAsia="仿宋_GB2312" w:hAnsi="仿宋" w:cs="仿宋" w:hint="eastAsia"/>
          <w:b/>
          <w:color w:val="000000" w:themeColor="text1"/>
          <w:sz w:val="30"/>
          <w:szCs w:val="30"/>
        </w:rPr>
        <w:t>(</w:t>
      </w:r>
      <w:r>
        <w:rPr>
          <w:rFonts w:ascii="仿宋_GB2312" w:eastAsia="仿宋_GB2312" w:hAnsi="仿宋" w:cs="仿宋" w:hint="eastAsia"/>
          <w:b/>
          <w:color w:val="000000" w:themeColor="text1"/>
          <w:sz w:val="30"/>
          <w:szCs w:val="30"/>
        </w:rPr>
        <w:t>二</w:t>
      </w:r>
      <w:r w:rsidRPr="00296418">
        <w:rPr>
          <w:rFonts w:ascii="仿宋_GB2312" w:eastAsia="仿宋_GB2312" w:hAnsi="仿宋" w:cs="仿宋" w:hint="eastAsia"/>
          <w:b/>
          <w:color w:val="000000" w:themeColor="text1"/>
          <w:sz w:val="30"/>
          <w:szCs w:val="30"/>
        </w:rPr>
        <w:t>)</w:t>
      </w:r>
      <w:r w:rsidRPr="00296418">
        <w:rPr>
          <w:rFonts w:ascii="仿宋_GB2312" w:eastAsia="仿宋_GB2312" w:hint="eastAsia"/>
          <w:b/>
          <w:bCs/>
          <w:color w:val="000000" w:themeColor="text1"/>
          <w:sz w:val="30"/>
          <w:szCs w:val="30"/>
        </w:rPr>
        <w:t xml:space="preserve"> 特朗普：可能终止北美自贸协定</w:t>
      </w:r>
    </w:p>
    <w:p w:rsidR="00493FC9" w:rsidRPr="00FF7D0F" w:rsidRDefault="00493FC9" w:rsidP="00493FC9">
      <w:pPr>
        <w:spacing w:line="520" w:lineRule="exact"/>
        <w:ind w:firstLineChars="200" w:firstLine="600"/>
        <w:rPr>
          <w:rFonts w:ascii="仿宋_GB2312" w:eastAsia="仿宋_GB2312"/>
          <w:color w:val="000000" w:themeColor="text1"/>
          <w:sz w:val="30"/>
          <w:szCs w:val="30"/>
        </w:rPr>
      </w:pPr>
      <w:r w:rsidRPr="00296418">
        <w:rPr>
          <w:rFonts w:ascii="仿宋_GB2312" w:eastAsia="仿宋_GB2312" w:hint="eastAsia"/>
          <w:color w:val="000000" w:themeColor="text1"/>
          <w:sz w:val="30"/>
          <w:szCs w:val="30"/>
        </w:rPr>
        <w:t>据CNN报道，美国总统特朗普8月23日表示，他对北美自由贸易协定（NAFTA）的未来并不感到乐观，美国最终可能在某个时间终止NAFTA，如果不能为美墨边境隔离墙计划争取到资金，美国宁愿关</w:t>
      </w:r>
      <w:r w:rsidRPr="00296418">
        <w:rPr>
          <w:rFonts w:ascii="仿宋_GB2312" w:eastAsia="仿宋_GB2312" w:hint="eastAsia"/>
          <w:color w:val="000000" w:themeColor="text1"/>
          <w:sz w:val="30"/>
          <w:szCs w:val="30"/>
        </w:rPr>
        <w:lastRenderedPageBreak/>
        <w:t>闭交易协定。特朗普在竞选期间就曾多次攻击北美自由贸易协定，称这是“历史上最糟糕的贸易交易”，并指责其应为美国大量制造业职位的流失负责。特朗普承认，终止北美自由贸易协定将“对系统造成巨大冲击”，但同时警告称，如果“不能达成公平交易”，仍有可能终</w:t>
      </w:r>
      <w:r w:rsidRPr="00FF7D0F">
        <w:rPr>
          <w:rFonts w:ascii="仿宋_GB2312" w:eastAsia="仿宋_GB2312" w:hint="eastAsia"/>
          <w:color w:val="000000" w:themeColor="text1"/>
          <w:sz w:val="30"/>
          <w:szCs w:val="30"/>
        </w:rPr>
        <w:t>止协定。</w:t>
      </w:r>
    </w:p>
    <w:p w:rsidR="00493FC9" w:rsidRPr="00FF7D0F" w:rsidRDefault="00493FC9" w:rsidP="00493FC9">
      <w:pPr>
        <w:adjustRightInd w:val="0"/>
        <w:snapToGrid w:val="0"/>
        <w:spacing w:line="520" w:lineRule="exact"/>
        <w:ind w:firstLineChars="196" w:firstLine="590"/>
        <w:rPr>
          <w:rFonts w:ascii="仿宋_GB2312" w:eastAsia="仿宋_GB2312" w:hAnsi="宋体" w:cs="宋体"/>
          <w:b/>
          <w:bCs/>
          <w:color w:val="000000" w:themeColor="text1"/>
          <w:kern w:val="0"/>
          <w:sz w:val="30"/>
          <w:szCs w:val="30"/>
        </w:rPr>
      </w:pPr>
      <w:r w:rsidRPr="00FF7D0F">
        <w:rPr>
          <w:rFonts w:ascii="仿宋_GB2312" w:eastAsia="仿宋_GB2312" w:hAnsi="宋体" w:cs="宋体" w:hint="eastAsia"/>
          <w:b/>
          <w:bCs/>
          <w:color w:val="000000" w:themeColor="text1"/>
          <w:kern w:val="0"/>
          <w:sz w:val="30"/>
          <w:szCs w:val="30"/>
        </w:rPr>
        <w:t xml:space="preserve"> (三)美联储梅斯特:尽管通货膨胀很弱 美国的加息仍应继续</w:t>
      </w:r>
    </w:p>
    <w:p w:rsidR="00493FC9" w:rsidRPr="00FF7D0F" w:rsidRDefault="00493FC9" w:rsidP="00493FC9">
      <w:pPr>
        <w:pStyle w:val="a5"/>
        <w:spacing w:before="0" w:beforeAutospacing="0" w:after="0" w:afterAutospacing="0" w:line="520" w:lineRule="exact"/>
        <w:ind w:firstLineChars="200" w:firstLine="600"/>
        <w:rPr>
          <w:rFonts w:ascii="仿宋_GB2312" w:eastAsia="仿宋_GB2312" w:hAnsi="宋体" w:cs="宋体"/>
          <w:color w:val="000000" w:themeColor="text1"/>
          <w:sz w:val="30"/>
          <w:szCs w:val="30"/>
        </w:rPr>
      </w:pPr>
      <w:r w:rsidRPr="00FF7D0F">
        <w:rPr>
          <w:rFonts w:ascii="仿宋_GB2312" w:eastAsia="仿宋_GB2312" w:hAnsi="宋体" w:cs="宋体" w:hint="eastAsia"/>
          <w:color w:val="000000" w:themeColor="text1"/>
          <w:sz w:val="30"/>
          <w:szCs w:val="30"/>
        </w:rPr>
        <w:t>8月17日，克利夫兰联</w:t>
      </w:r>
      <w:proofErr w:type="gramStart"/>
      <w:r w:rsidRPr="00FF7D0F">
        <w:rPr>
          <w:rFonts w:ascii="仿宋_GB2312" w:eastAsia="仿宋_GB2312" w:hAnsi="宋体" w:cs="宋体" w:hint="eastAsia"/>
          <w:color w:val="000000" w:themeColor="text1"/>
          <w:sz w:val="30"/>
          <w:szCs w:val="30"/>
        </w:rPr>
        <w:t>储主席</w:t>
      </w:r>
      <w:proofErr w:type="gramEnd"/>
      <w:r w:rsidRPr="00FF7D0F">
        <w:rPr>
          <w:rFonts w:ascii="仿宋_GB2312" w:eastAsia="仿宋_GB2312" w:hAnsi="宋体" w:cs="宋体" w:hint="eastAsia"/>
          <w:color w:val="000000" w:themeColor="text1"/>
          <w:sz w:val="30"/>
          <w:szCs w:val="30"/>
        </w:rPr>
        <w:t>梅斯特表示，</w:t>
      </w:r>
      <w:r w:rsidR="000368F5">
        <w:rPr>
          <w:rFonts w:ascii="仿宋_GB2312" w:eastAsia="仿宋_GB2312" w:hAnsi="宋体" w:cs="宋体" w:hint="eastAsia"/>
          <w:color w:val="000000" w:themeColor="text1"/>
          <w:sz w:val="30"/>
          <w:szCs w:val="30"/>
        </w:rPr>
        <w:t>尽管</w:t>
      </w:r>
      <w:r w:rsidR="00D71E8C">
        <w:rPr>
          <w:rFonts w:ascii="仿宋_GB2312" w:eastAsia="仿宋_GB2312" w:hAnsi="宋体" w:cs="宋体" w:hint="eastAsia"/>
          <w:color w:val="000000" w:themeColor="text1"/>
          <w:sz w:val="30"/>
          <w:szCs w:val="30"/>
        </w:rPr>
        <w:t>美国最近通胀疲软，但</w:t>
      </w:r>
      <w:r w:rsidRPr="00FF7D0F">
        <w:rPr>
          <w:rFonts w:ascii="仿宋_GB2312" w:eastAsia="仿宋_GB2312" w:hAnsi="宋体" w:cs="宋体" w:hint="eastAsia"/>
          <w:color w:val="000000" w:themeColor="text1"/>
          <w:sz w:val="30"/>
          <w:szCs w:val="30"/>
        </w:rPr>
        <w:t>她</w:t>
      </w:r>
      <w:r w:rsidR="000A10FA">
        <w:rPr>
          <w:rFonts w:ascii="仿宋_GB2312" w:eastAsia="仿宋_GB2312" w:hAnsi="宋体" w:cs="宋体" w:hint="eastAsia"/>
          <w:color w:val="000000" w:themeColor="text1"/>
          <w:sz w:val="30"/>
          <w:szCs w:val="30"/>
        </w:rPr>
        <w:t>并不认为</w:t>
      </w:r>
      <w:r w:rsidRPr="00FF7D0F">
        <w:rPr>
          <w:rFonts w:ascii="仿宋_GB2312" w:eastAsia="仿宋_GB2312" w:hAnsi="宋体" w:cs="宋体" w:hint="eastAsia"/>
          <w:color w:val="000000" w:themeColor="text1"/>
          <w:sz w:val="30"/>
          <w:szCs w:val="30"/>
        </w:rPr>
        <w:t>美联储应推迟进一步加息的经济计划，</w:t>
      </w:r>
      <w:r w:rsidR="000A10FA">
        <w:rPr>
          <w:rFonts w:ascii="仿宋_GB2312" w:eastAsia="仿宋_GB2312" w:hAnsi="宋体" w:cs="宋体" w:hint="eastAsia"/>
          <w:color w:val="000000" w:themeColor="text1"/>
          <w:sz w:val="30"/>
          <w:szCs w:val="30"/>
        </w:rPr>
        <w:t>因为</w:t>
      </w:r>
      <w:r w:rsidR="00D71E8C">
        <w:rPr>
          <w:rFonts w:ascii="仿宋_GB2312" w:eastAsia="仿宋_GB2312" w:hAnsi="宋体" w:cs="宋体" w:hint="eastAsia"/>
          <w:color w:val="000000" w:themeColor="text1"/>
          <w:sz w:val="30"/>
          <w:szCs w:val="30"/>
        </w:rPr>
        <w:t>美国</w:t>
      </w:r>
      <w:r w:rsidRPr="00FF7D0F">
        <w:rPr>
          <w:rFonts w:ascii="仿宋_GB2312" w:eastAsia="仿宋_GB2312" w:hAnsi="宋体" w:cs="宋体" w:hint="eastAsia"/>
          <w:color w:val="000000" w:themeColor="text1"/>
          <w:sz w:val="30"/>
          <w:szCs w:val="30"/>
        </w:rPr>
        <w:t>仍有望实现经济稳定增长和工资上涨。梅斯特认为美联储需要开始去掉一些宽松的货币政策，主要是通过提高利率，并推进削减美联储资产规模的计划。同时，梅斯特称，并</w:t>
      </w:r>
      <w:proofErr w:type="gramStart"/>
      <w:r w:rsidRPr="00FF7D0F">
        <w:rPr>
          <w:rFonts w:ascii="仿宋_GB2312" w:eastAsia="仿宋_GB2312" w:hAnsi="宋体" w:cs="宋体" w:hint="eastAsia"/>
          <w:color w:val="000000" w:themeColor="text1"/>
          <w:sz w:val="30"/>
          <w:szCs w:val="30"/>
        </w:rPr>
        <w:t>未感觉</w:t>
      </w:r>
      <w:proofErr w:type="gramEnd"/>
      <w:r w:rsidRPr="00FF7D0F">
        <w:rPr>
          <w:rFonts w:ascii="仿宋_GB2312" w:eastAsia="仿宋_GB2312" w:hAnsi="宋体" w:cs="宋体" w:hint="eastAsia"/>
          <w:color w:val="000000" w:themeColor="text1"/>
          <w:sz w:val="30"/>
          <w:szCs w:val="30"/>
        </w:rPr>
        <w:t>通胀疲弱应延迟加息，特朗普政府带来的不确定性尚未传导至经济预期，预计GDP增速为2%左右，美联储或将在实际削减债券再投资前宣布</w:t>
      </w:r>
      <w:proofErr w:type="gramStart"/>
      <w:r w:rsidRPr="00FF7D0F">
        <w:rPr>
          <w:rFonts w:ascii="仿宋_GB2312" w:eastAsia="仿宋_GB2312" w:hAnsi="宋体" w:cs="宋体" w:hint="eastAsia"/>
          <w:color w:val="000000" w:themeColor="text1"/>
          <w:sz w:val="30"/>
          <w:szCs w:val="30"/>
        </w:rPr>
        <w:t>开启缩表的</w:t>
      </w:r>
      <w:proofErr w:type="gramEnd"/>
      <w:r w:rsidRPr="00FF7D0F">
        <w:rPr>
          <w:rFonts w:ascii="仿宋_GB2312" w:eastAsia="仿宋_GB2312" w:hAnsi="宋体" w:cs="宋体" w:hint="eastAsia"/>
          <w:color w:val="000000" w:themeColor="text1"/>
          <w:sz w:val="30"/>
          <w:szCs w:val="30"/>
        </w:rPr>
        <w:t>时间。</w:t>
      </w:r>
    </w:p>
    <w:p w:rsidR="00BF4C18" w:rsidRPr="00FF7D0F" w:rsidRDefault="00493FC9" w:rsidP="00493FC9">
      <w:pPr>
        <w:adjustRightInd w:val="0"/>
        <w:snapToGrid w:val="0"/>
        <w:spacing w:line="520" w:lineRule="exact"/>
        <w:ind w:firstLineChars="196" w:firstLine="590"/>
        <w:rPr>
          <w:rFonts w:ascii="仿宋_GB2312" w:eastAsia="仿宋_GB2312" w:hAnsi="宋体" w:cs="宋体"/>
          <w:b/>
          <w:bCs/>
          <w:color w:val="000000" w:themeColor="text1"/>
          <w:kern w:val="0"/>
          <w:sz w:val="30"/>
          <w:szCs w:val="30"/>
        </w:rPr>
      </w:pPr>
      <w:r w:rsidRPr="00FF7D0F">
        <w:rPr>
          <w:rFonts w:ascii="仿宋_GB2312" w:eastAsia="仿宋_GB2312" w:hAnsi="宋体" w:cs="宋体" w:hint="eastAsia"/>
          <w:b/>
          <w:bCs/>
          <w:color w:val="000000" w:themeColor="text1"/>
          <w:kern w:val="0"/>
          <w:sz w:val="30"/>
          <w:szCs w:val="30"/>
        </w:rPr>
        <w:t xml:space="preserve"> </w:t>
      </w:r>
      <w:r w:rsidR="007F33E8" w:rsidRPr="00FF7D0F">
        <w:rPr>
          <w:rFonts w:ascii="仿宋_GB2312" w:eastAsia="仿宋_GB2312" w:hAnsi="宋体" w:cs="宋体" w:hint="eastAsia"/>
          <w:b/>
          <w:bCs/>
          <w:color w:val="000000" w:themeColor="text1"/>
          <w:kern w:val="0"/>
          <w:sz w:val="30"/>
          <w:szCs w:val="30"/>
        </w:rPr>
        <w:t>(</w:t>
      </w:r>
      <w:r w:rsidR="00E059C8" w:rsidRPr="00FF7D0F">
        <w:rPr>
          <w:rFonts w:ascii="仿宋_GB2312" w:eastAsia="仿宋_GB2312" w:hAnsi="宋体" w:cs="宋体" w:hint="eastAsia"/>
          <w:b/>
          <w:bCs/>
          <w:color w:val="000000" w:themeColor="text1"/>
          <w:kern w:val="0"/>
          <w:sz w:val="30"/>
          <w:szCs w:val="30"/>
        </w:rPr>
        <w:t>四</w:t>
      </w:r>
      <w:r w:rsidR="007F33E8" w:rsidRPr="00FF7D0F">
        <w:rPr>
          <w:rFonts w:ascii="仿宋_GB2312" w:eastAsia="仿宋_GB2312" w:hAnsi="宋体" w:cs="宋体" w:hint="eastAsia"/>
          <w:b/>
          <w:bCs/>
          <w:color w:val="000000" w:themeColor="text1"/>
          <w:kern w:val="0"/>
          <w:sz w:val="30"/>
          <w:szCs w:val="30"/>
        </w:rPr>
        <w:t>)德国宪法法院裁定欧洲央行</w:t>
      </w:r>
      <w:proofErr w:type="gramStart"/>
      <w:r w:rsidR="007F33E8" w:rsidRPr="00FF7D0F">
        <w:rPr>
          <w:rFonts w:ascii="仿宋_GB2312" w:eastAsia="仿宋_GB2312" w:hAnsi="宋体" w:cs="宋体" w:hint="eastAsia"/>
          <w:b/>
          <w:bCs/>
          <w:color w:val="000000" w:themeColor="text1"/>
          <w:kern w:val="0"/>
          <w:sz w:val="30"/>
          <w:szCs w:val="30"/>
        </w:rPr>
        <w:t>购债计划</w:t>
      </w:r>
      <w:proofErr w:type="gramEnd"/>
      <w:r w:rsidR="007F33E8" w:rsidRPr="00FF7D0F">
        <w:rPr>
          <w:rFonts w:ascii="仿宋_GB2312" w:eastAsia="仿宋_GB2312" w:hAnsi="宋体" w:cs="宋体" w:hint="eastAsia"/>
          <w:b/>
          <w:bCs/>
          <w:color w:val="000000" w:themeColor="text1"/>
          <w:kern w:val="0"/>
          <w:sz w:val="30"/>
          <w:szCs w:val="30"/>
        </w:rPr>
        <w:t>违法</w:t>
      </w:r>
    </w:p>
    <w:p w:rsidR="00BF4C18" w:rsidRPr="00296418" w:rsidRDefault="007F33E8" w:rsidP="00296418">
      <w:pPr>
        <w:pStyle w:val="a5"/>
        <w:spacing w:before="0" w:beforeAutospacing="0" w:after="0" w:afterAutospacing="0" w:line="520" w:lineRule="exact"/>
        <w:ind w:firstLineChars="200" w:firstLine="600"/>
        <w:rPr>
          <w:rFonts w:ascii="仿宋_GB2312" w:eastAsia="仿宋_GB2312" w:hAnsi="宋体" w:cs="宋体"/>
          <w:color w:val="000000" w:themeColor="text1"/>
          <w:sz w:val="30"/>
          <w:szCs w:val="30"/>
        </w:rPr>
      </w:pPr>
      <w:r w:rsidRPr="00FF7D0F">
        <w:rPr>
          <w:rFonts w:ascii="仿宋_GB2312" w:eastAsia="仿宋_GB2312" w:hAnsi="宋体" w:cs="宋体" w:hint="eastAsia"/>
          <w:color w:val="000000" w:themeColor="text1"/>
          <w:sz w:val="30"/>
          <w:szCs w:val="30"/>
        </w:rPr>
        <w:t>8月15日，德国宪法法院称，欧洲央行(ECB)的2.3</w:t>
      </w:r>
      <w:proofErr w:type="gramStart"/>
      <w:r w:rsidRPr="00FF7D0F">
        <w:rPr>
          <w:rFonts w:ascii="仿宋_GB2312" w:eastAsia="仿宋_GB2312" w:hAnsi="宋体" w:cs="宋体" w:hint="eastAsia"/>
          <w:color w:val="000000" w:themeColor="text1"/>
          <w:sz w:val="30"/>
          <w:szCs w:val="30"/>
        </w:rPr>
        <w:t>万亿</w:t>
      </w:r>
      <w:proofErr w:type="gramEnd"/>
      <w:r w:rsidRPr="00FF7D0F">
        <w:rPr>
          <w:rFonts w:ascii="仿宋_GB2312" w:eastAsia="仿宋_GB2312" w:hAnsi="宋体" w:cs="宋体" w:hint="eastAsia"/>
          <w:color w:val="000000" w:themeColor="text1"/>
          <w:sz w:val="30"/>
          <w:szCs w:val="30"/>
        </w:rPr>
        <w:t>欧元资产购买计划可能违反政府融资的禁令，要求欧洲最高法院对</w:t>
      </w:r>
      <w:r w:rsidRPr="00296418">
        <w:rPr>
          <w:rFonts w:ascii="仿宋_GB2312" w:eastAsia="仿宋_GB2312" w:hAnsi="宋体" w:cs="宋体" w:hint="eastAsia"/>
          <w:color w:val="000000" w:themeColor="text1"/>
          <w:sz w:val="30"/>
          <w:szCs w:val="30"/>
        </w:rPr>
        <w:t>此做出裁决。欧洲最高法院可能会限制欧洲央行的选择，即能否及如何将买债计划延长至第四年。德国宪法法院法官还称，欧洲央行根据量化宽松计划买入债券的决定违反了货币融资禁令，而且超出了其货币政策职责范围，侵犯了欧元区成员国的权限。</w:t>
      </w:r>
    </w:p>
    <w:p w:rsidR="00BF4C18" w:rsidRPr="00296418" w:rsidRDefault="007F33E8" w:rsidP="00296418">
      <w:pPr>
        <w:adjustRightInd w:val="0"/>
        <w:snapToGrid w:val="0"/>
        <w:spacing w:line="520" w:lineRule="exact"/>
        <w:ind w:firstLineChars="196" w:firstLine="590"/>
        <w:rPr>
          <w:rFonts w:ascii="仿宋_GB2312" w:eastAsia="仿宋_GB2312" w:hAnsi="宋体" w:cs="宋体"/>
          <w:b/>
          <w:bCs/>
          <w:color w:val="000000" w:themeColor="text1"/>
          <w:kern w:val="0"/>
          <w:sz w:val="30"/>
          <w:szCs w:val="30"/>
        </w:rPr>
      </w:pPr>
      <w:r w:rsidRPr="00296418">
        <w:rPr>
          <w:rFonts w:ascii="仿宋_GB2312" w:eastAsia="仿宋_GB2312" w:hAnsi="宋体" w:cs="宋体" w:hint="eastAsia"/>
          <w:b/>
          <w:bCs/>
          <w:color w:val="000000" w:themeColor="text1"/>
          <w:kern w:val="0"/>
          <w:sz w:val="30"/>
          <w:szCs w:val="30"/>
        </w:rPr>
        <w:t>(</w:t>
      </w:r>
      <w:r w:rsidR="00E059C8">
        <w:rPr>
          <w:rFonts w:ascii="仿宋_GB2312" w:eastAsia="仿宋_GB2312" w:hAnsi="宋体" w:cs="宋体" w:hint="eastAsia"/>
          <w:b/>
          <w:bCs/>
          <w:color w:val="000000" w:themeColor="text1"/>
          <w:kern w:val="0"/>
          <w:sz w:val="30"/>
          <w:szCs w:val="30"/>
        </w:rPr>
        <w:t>五</w:t>
      </w:r>
      <w:r w:rsidRPr="00296418">
        <w:rPr>
          <w:rFonts w:ascii="仿宋_GB2312" w:eastAsia="仿宋_GB2312" w:hAnsi="宋体" w:cs="宋体" w:hint="eastAsia"/>
          <w:b/>
          <w:bCs/>
          <w:color w:val="000000" w:themeColor="text1"/>
          <w:kern w:val="0"/>
          <w:sz w:val="30"/>
          <w:szCs w:val="30"/>
        </w:rPr>
        <w:t>)ING: 英国央行年内加息无望</w:t>
      </w:r>
    </w:p>
    <w:p w:rsidR="00BF4C18" w:rsidRPr="00296418" w:rsidRDefault="007F33E8" w:rsidP="00296418">
      <w:pPr>
        <w:pStyle w:val="a5"/>
        <w:spacing w:before="0" w:beforeAutospacing="0" w:after="0" w:afterAutospacing="0" w:line="520" w:lineRule="exact"/>
        <w:ind w:firstLineChars="200" w:firstLine="600"/>
        <w:rPr>
          <w:rFonts w:ascii="仿宋_GB2312" w:eastAsia="仿宋_GB2312" w:hAnsi="宋体" w:cs="宋体"/>
          <w:color w:val="000000" w:themeColor="text1"/>
          <w:sz w:val="30"/>
          <w:szCs w:val="30"/>
        </w:rPr>
      </w:pPr>
      <w:r w:rsidRPr="00296418">
        <w:rPr>
          <w:rFonts w:ascii="仿宋_GB2312" w:eastAsia="仿宋_GB2312" w:hAnsi="宋体" w:cs="宋体" w:hint="eastAsia"/>
          <w:color w:val="000000" w:themeColor="text1"/>
          <w:sz w:val="30"/>
          <w:szCs w:val="30"/>
        </w:rPr>
        <w:t>8月17日，荷兰国际集团分析师表示，英国消费者支出虽然连续2个月上升，但消费放缓程度进一步加深，经济前景并不乐观。</w:t>
      </w:r>
      <w:r w:rsidRPr="00296418">
        <w:rPr>
          <w:rFonts w:ascii="仿宋_GB2312" w:eastAsia="仿宋_GB2312" w:hAnsi="宋体" w:cs="宋体" w:hint="eastAsia"/>
          <w:color w:val="000000" w:themeColor="text1"/>
          <w:sz w:val="30"/>
          <w:szCs w:val="30"/>
        </w:rPr>
        <w:lastRenderedPageBreak/>
        <w:t>在漂亮的数字背后，如果深入去探讨，就会发现在英国史上第二高温的6月份，消费者支出大部分的贡献来自食品行业，而更能体现出消费者意愿的互联网消费和服装销售均出现下滑。这可能意味着，经济形势实际上比最新的、看起来较好的零售销售数据所显示的更糟糕，所以预计英国央行今年不会加息。</w:t>
      </w:r>
    </w:p>
    <w:p w:rsidR="00493FC9" w:rsidRPr="00DF605C" w:rsidRDefault="00E059C8" w:rsidP="00493FC9">
      <w:pPr>
        <w:spacing w:line="520" w:lineRule="exact"/>
        <w:ind w:firstLineChars="200" w:firstLine="602"/>
        <w:rPr>
          <w:rFonts w:ascii="仿宋_GB2312" w:eastAsia="仿宋_GB2312"/>
          <w:color w:val="000000" w:themeColor="text1"/>
          <w:sz w:val="30"/>
          <w:szCs w:val="30"/>
        </w:rPr>
      </w:pPr>
      <w:r w:rsidRPr="00DF605C">
        <w:rPr>
          <w:rFonts w:ascii="仿宋_GB2312" w:eastAsia="仿宋_GB2312" w:hint="eastAsia"/>
          <w:b/>
          <w:color w:val="000000" w:themeColor="text1"/>
          <w:sz w:val="30"/>
          <w:szCs w:val="30"/>
        </w:rPr>
        <w:t>（六</w:t>
      </w:r>
      <w:r w:rsidR="00493FC9" w:rsidRPr="00DF605C">
        <w:rPr>
          <w:rFonts w:ascii="仿宋_GB2312" w:eastAsia="仿宋_GB2312" w:hint="eastAsia"/>
          <w:b/>
          <w:color w:val="000000" w:themeColor="text1"/>
          <w:sz w:val="30"/>
          <w:szCs w:val="30"/>
        </w:rPr>
        <w:t>）</w:t>
      </w:r>
      <w:r w:rsidR="00493FC9" w:rsidRPr="00DF605C">
        <w:rPr>
          <w:rFonts w:ascii="仿宋_GB2312" w:eastAsia="仿宋_GB2312" w:hint="eastAsia"/>
          <w:b/>
          <w:bCs/>
          <w:color w:val="000000" w:themeColor="text1"/>
          <w:sz w:val="30"/>
          <w:szCs w:val="30"/>
        </w:rPr>
        <w:t>欧元区8月制造业PMI</w:t>
      </w:r>
      <w:r w:rsidR="00DF605C" w:rsidRPr="00DF605C">
        <w:rPr>
          <w:rFonts w:ascii="仿宋_GB2312" w:eastAsia="仿宋_GB2312" w:hint="eastAsia"/>
          <w:b/>
          <w:bCs/>
          <w:color w:val="000000" w:themeColor="text1"/>
          <w:sz w:val="30"/>
          <w:szCs w:val="30"/>
        </w:rPr>
        <w:t>初值创六年半</w:t>
      </w:r>
      <w:r w:rsidR="00493FC9" w:rsidRPr="00DF605C">
        <w:rPr>
          <w:rFonts w:ascii="仿宋_GB2312" w:eastAsia="仿宋_GB2312" w:hint="eastAsia"/>
          <w:b/>
          <w:bCs/>
          <w:color w:val="000000" w:themeColor="text1"/>
          <w:sz w:val="30"/>
          <w:szCs w:val="30"/>
        </w:rPr>
        <w:t>新高</w:t>
      </w:r>
    </w:p>
    <w:p w:rsidR="00493FC9" w:rsidRPr="00DF605C" w:rsidRDefault="00493FC9" w:rsidP="00493FC9">
      <w:pPr>
        <w:spacing w:line="520" w:lineRule="exact"/>
        <w:ind w:firstLineChars="200" w:firstLine="600"/>
        <w:rPr>
          <w:rFonts w:ascii="仿宋_GB2312" w:eastAsia="仿宋_GB2312" w:hAnsi="宋体" w:cs="宋体"/>
          <w:b/>
          <w:bCs/>
          <w:color w:val="000000" w:themeColor="text1"/>
          <w:kern w:val="0"/>
          <w:sz w:val="30"/>
          <w:szCs w:val="30"/>
        </w:rPr>
      </w:pPr>
      <w:r w:rsidRPr="00DF605C">
        <w:rPr>
          <w:rFonts w:ascii="仿宋_GB2312" w:eastAsia="仿宋_GB2312" w:hint="eastAsia"/>
          <w:color w:val="000000" w:themeColor="text1"/>
          <w:sz w:val="30"/>
          <w:szCs w:val="30"/>
        </w:rPr>
        <w:t>8月23日</w:t>
      </w:r>
      <w:r w:rsidR="00DF605C" w:rsidRPr="00DF605C">
        <w:rPr>
          <w:rFonts w:ascii="仿宋_GB2312" w:eastAsia="仿宋_GB2312" w:hint="eastAsia"/>
          <w:color w:val="000000" w:themeColor="text1"/>
          <w:sz w:val="30"/>
          <w:szCs w:val="30"/>
        </w:rPr>
        <w:t>，</w:t>
      </w:r>
      <w:r w:rsidR="00DF605C" w:rsidRPr="00DF605C">
        <w:rPr>
          <w:rFonts w:ascii="仿宋_GB2312" w:eastAsia="仿宋_GB2312"/>
          <w:color w:val="000000" w:themeColor="text1"/>
          <w:sz w:val="30"/>
          <w:szCs w:val="30"/>
        </w:rPr>
        <w:t>HIS</w:t>
      </w:r>
      <w:r w:rsidR="00DF605C" w:rsidRPr="00DF605C">
        <w:rPr>
          <w:rFonts w:ascii="仿宋_GB2312" w:eastAsia="仿宋_GB2312" w:hint="eastAsia"/>
          <w:color w:val="000000" w:themeColor="text1"/>
          <w:sz w:val="30"/>
          <w:szCs w:val="30"/>
        </w:rPr>
        <w:t xml:space="preserve"> Markit</w:t>
      </w:r>
      <w:r w:rsidRPr="00DF605C">
        <w:rPr>
          <w:rFonts w:ascii="仿宋_GB2312" w:eastAsia="仿宋_GB2312" w:hint="eastAsia"/>
          <w:color w:val="000000" w:themeColor="text1"/>
          <w:sz w:val="30"/>
          <w:szCs w:val="30"/>
        </w:rPr>
        <w:t>公布数据显示，欧元区8月制造业PMI初值57.4</w:t>
      </w:r>
      <w:r w:rsidR="00DF605C" w:rsidRPr="00DF605C">
        <w:rPr>
          <w:rFonts w:ascii="仿宋_GB2312" w:eastAsia="仿宋_GB2312" w:hint="eastAsia"/>
          <w:color w:val="000000" w:themeColor="text1"/>
          <w:sz w:val="30"/>
          <w:szCs w:val="30"/>
        </w:rPr>
        <w:t>，创六年半</w:t>
      </w:r>
      <w:r w:rsidRPr="00DF605C">
        <w:rPr>
          <w:rFonts w:ascii="仿宋_GB2312" w:eastAsia="仿宋_GB2312" w:hint="eastAsia"/>
          <w:color w:val="000000" w:themeColor="text1"/>
          <w:sz w:val="30"/>
          <w:szCs w:val="30"/>
        </w:rPr>
        <w:t>新高，预期56.3，前值56.6；8月服务业PMI初值54.9，预期55.4，前值55.4；8月综合PMI初值55.8，预期55.5，前值55.7。</w:t>
      </w:r>
      <w:r w:rsidR="00DF605C" w:rsidRPr="00DF605C">
        <w:rPr>
          <w:rFonts w:ascii="仿宋_GB2312" w:eastAsia="仿宋_GB2312"/>
          <w:color w:val="000000" w:themeColor="text1"/>
          <w:sz w:val="30"/>
          <w:szCs w:val="30"/>
        </w:rPr>
        <w:t>HIS</w:t>
      </w:r>
      <w:r w:rsidR="00DF605C" w:rsidRPr="00DF605C">
        <w:rPr>
          <w:rFonts w:ascii="仿宋_GB2312" w:eastAsia="仿宋_GB2312" w:hint="eastAsia"/>
          <w:color w:val="000000" w:themeColor="text1"/>
          <w:sz w:val="30"/>
          <w:szCs w:val="30"/>
        </w:rPr>
        <w:t xml:space="preserve"> Markit表示，</w:t>
      </w:r>
      <w:r w:rsidRPr="00DF605C">
        <w:rPr>
          <w:rFonts w:ascii="仿宋_GB2312" w:eastAsia="仿宋_GB2312" w:hint="eastAsia"/>
          <w:color w:val="000000" w:themeColor="text1"/>
          <w:sz w:val="30"/>
          <w:szCs w:val="30"/>
        </w:rPr>
        <w:t>近来欧元区PMI数据均显示欧元区经济持续强劲势头，</w:t>
      </w:r>
      <w:r w:rsidR="00DF605C" w:rsidRPr="00DF605C">
        <w:rPr>
          <w:rFonts w:ascii="仿宋_GB2312" w:eastAsia="仿宋_GB2312" w:hint="eastAsia"/>
          <w:color w:val="000000" w:themeColor="text1"/>
          <w:sz w:val="30"/>
          <w:szCs w:val="30"/>
        </w:rPr>
        <w:t>在最近几个月经济增长放缓的迹象下，这种经济扩张速度的稳定是积极的信号</w:t>
      </w:r>
      <w:r w:rsidRPr="00DF605C">
        <w:rPr>
          <w:rFonts w:ascii="仿宋_GB2312" w:eastAsia="仿宋_GB2312" w:hint="eastAsia"/>
          <w:color w:val="000000" w:themeColor="text1"/>
          <w:sz w:val="30"/>
          <w:szCs w:val="30"/>
        </w:rPr>
        <w:t>。</w:t>
      </w:r>
    </w:p>
    <w:p w:rsidR="00E059C8" w:rsidRPr="00296418" w:rsidRDefault="00E059C8" w:rsidP="00E059C8">
      <w:pPr>
        <w:pStyle w:val="a5"/>
        <w:spacing w:before="0" w:beforeAutospacing="0" w:after="0" w:afterAutospacing="0" w:line="520" w:lineRule="exact"/>
        <w:ind w:firstLineChars="200" w:firstLine="602"/>
        <w:rPr>
          <w:rFonts w:ascii="仿宋_GB2312" w:eastAsia="仿宋_GB2312" w:hAnsi="仿宋_GB2312" w:cs="仿宋_GB2312"/>
          <w:bCs/>
          <w:kern w:val="2"/>
          <w:sz w:val="30"/>
          <w:szCs w:val="30"/>
        </w:rPr>
      </w:pPr>
      <w:r>
        <w:rPr>
          <w:rFonts w:ascii="仿宋_GB2312" w:eastAsia="仿宋_GB2312" w:hAnsi="仿宋_GB2312" w:cs="仿宋_GB2312" w:hint="eastAsia"/>
          <w:b/>
          <w:kern w:val="2"/>
          <w:sz w:val="30"/>
          <w:szCs w:val="30"/>
        </w:rPr>
        <w:t>（七</w:t>
      </w:r>
      <w:r w:rsidRPr="00296418">
        <w:rPr>
          <w:rFonts w:ascii="仿宋_GB2312" w:eastAsia="仿宋_GB2312" w:hAnsi="仿宋_GB2312" w:cs="仿宋_GB2312" w:hint="eastAsia"/>
          <w:b/>
          <w:kern w:val="2"/>
          <w:sz w:val="30"/>
          <w:szCs w:val="30"/>
        </w:rPr>
        <w:t>）欧洲央行敦促银行业为英国“脱欧”做准备</w:t>
      </w:r>
    </w:p>
    <w:p w:rsidR="00E059C8" w:rsidRPr="00296418" w:rsidRDefault="00E059C8" w:rsidP="00E059C8">
      <w:pPr>
        <w:pStyle w:val="a5"/>
        <w:spacing w:before="0" w:beforeAutospacing="0" w:after="0" w:afterAutospacing="0" w:line="520" w:lineRule="exact"/>
        <w:ind w:firstLineChars="200" w:firstLine="600"/>
        <w:rPr>
          <w:rFonts w:ascii="仿宋_GB2312" w:eastAsia="仿宋_GB2312" w:hAnsi="仿宋_GB2312" w:cs="仿宋_GB2312"/>
          <w:bCs/>
          <w:kern w:val="2"/>
          <w:sz w:val="30"/>
          <w:szCs w:val="30"/>
        </w:rPr>
      </w:pPr>
      <w:r w:rsidRPr="00296418">
        <w:rPr>
          <w:rFonts w:ascii="仿宋_GB2312" w:eastAsia="仿宋_GB2312" w:hAnsi="仿宋_GB2312" w:cs="仿宋_GB2312" w:hint="eastAsia"/>
          <w:bCs/>
          <w:kern w:val="2"/>
          <w:sz w:val="30"/>
          <w:szCs w:val="30"/>
        </w:rPr>
        <w:t>欧洲央行执行委员、欧洲央行银行业监管委员会副主席劳滕施莱格8月16日表示，在欧洲的所有银行，无论大小，都应该为英国“硬脱欧”做好准备。劳滕施莱格强调，虽然伦敦未来仍将是重要的全球金融中心，但它将不再是一个进入欧盟的“自动接入点”。她指出，在向欧元区迁移和重新布局业务方面，一些大型银</w:t>
      </w:r>
      <w:r w:rsidR="003867FB">
        <w:rPr>
          <w:rFonts w:ascii="仿宋_GB2312" w:eastAsia="仿宋_GB2312" w:hAnsi="仿宋_GB2312" w:cs="仿宋_GB2312" w:hint="eastAsia"/>
          <w:bCs/>
          <w:kern w:val="2"/>
          <w:sz w:val="30"/>
          <w:szCs w:val="30"/>
        </w:rPr>
        <w:t>行已经取得进展，但做出最终决定的还不多，但各银行必须加快速度</w:t>
      </w:r>
      <w:r w:rsidRPr="00296418">
        <w:rPr>
          <w:rFonts w:ascii="仿宋_GB2312" w:eastAsia="仿宋_GB2312" w:hAnsi="仿宋_GB2312" w:cs="仿宋_GB2312" w:hint="eastAsia"/>
          <w:bCs/>
          <w:kern w:val="2"/>
          <w:sz w:val="30"/>
          <w:szCs w:val="30"/>
        </w:rPr>
        <w:t>，因为依照标准流程，时间窗口有限。对于如何防止出现“空壳银行”，劳滕施莱格表示，欧洲央行将在发放银行牌照过程中加强对新设银行的审查。同时，欧洲央行将严格审查欧元区银行为转移市场风险采取的背对背交易。</w:t>
      </w:r>
    </w:p>
    <w:p w:rsidR="00E059C8" w:rsidRPr="00296418" w:rsidRDefault="00E059C8" w:rsidP="00E059C8">
      <w:pPr>
        <w:pStyle w:val="4"/>
        <w:keepNext w:val="0"/>
        <w:keepLines w:val="0"/>
        <w:widowControl/>
        <w:spacing w:before="0" w:after="0" w:line="520" w:lineRule="exact"/>
        <w:rPr>
          <w:rFonts w:ascii="仿宋_GB2312" w:eastAsia="仿宋_GB2312" w:hAnsi="仿宋_GB2312" w:cs="仿宋_GB2312"/>
          <w:color w:val="000000" w:themeColor="text1"/>
          <w:sz w:val="30"/>
          <w:szCs w:val="30"/>
        </w:rPr>
      </w:pPr>
      <w:r w:rsidRPr="00296418">
        <w:rPr>
          <w:rFonts w:ascii="仿宋_GB2312" w:eastAsia="仿宋_GB2312" w:hAnsi="仿宋_GB2312" w:cs="仿宋_GB2312" w:hint="eastAsia"/>
          <w:color w:val="000000" w:themeColor="text1"/>
          <w:sz w:val="30"/>
          <w:szCs w:val="30"/>
        </w:rPr>
        <w:t xml:space="preserve"> </w:t>
      </w:r>
      <w:r>
        <w:rPr>
          <w:rFonts w:ascii="仿宋_GB2312" w:eastAsia="仿宋_GB2312" w:hAnsi="仿宋_GB2312" w:cs="仿宋_GB2312" w:hint="eastAsia"/>
          <w:color w:val="000000" w:themeColor="text1"/>
          <w:sz w:val="30"/>
          <w:szCs w:val="30"/>
        </w:rPr>
        <w:t xml:space="preserve">    </w:t>
      </w:r>
      <w:r w:rsidRPr="00296418">
        <w:rPr>
          <w:rFonts w:ascii="仿宋_GB2312" w:eastAsia="仿宋_GB2312" w:hAnsi="仿宋_GB2312" w:cs="仿宋_GB2312" w:hint="eastAsia"/>
          <w:color w:val="000000" w:themeColor="text1"/>
          <w:sz w:val="30"/>
          <w:szCs w:val="30"/>
        </w:rPr>
        <w:t>(</w:t>
      </w:r>
      <w:r>
        <w:rPr>
          <w:rFonts w:ascii="仿宋_GB2312" w:eastAsia="仿宋_GB2312" w:hAnsi="仿宋_GB2312" w:cs="仿宋_GB2312" w:hint="eastAsia"/>
          <w:color w:val="000000" w:themeColor="text1"/>
          <w:sz w:val="30"/>
          <w:szCs w:val="30"/>
        </w:rPr>
        <w:t>八</w:t>
      </w:r>
      <w:r w:rsidRPr="00296418">
        <w:rPr>
          <w:rFonts w:ascii="仿宋_GB2312" w:eastAsia="仿宋_GB2312" w:hAnsi="仿宋_GB2312" w:cs="仿宋_GB2312" w:hint="eastAsia"/>
          <w:color w:val="000000" w:themeColor="text1"/>
          <w:sz w:val="30"/>
          <w:szCs w:val="30"/>
        </w:rPr>
        <w:t>)</w:t>
      </w:r>
      <w:r w:rsidRPr="00296418">
        <w:rPr>
          <w:rFonts w:ascii="仿宋_GB2312" w:eastAsia="仿宋_GB2312" w:hAnsi="仿宋_GB2312" w:cs="仿宋_GB2312" w:hint="eastAsia"/>
          <w:color w:val="000000" w:themeColor="text1"/>
          <w:spacing w:val="15"/>
          <w:sz w:val="30"/>
          <w:szCs w:val="30"/>
        </w:rPr>
        <w:t xml:space="preserve"> 路透社:</w:t>
      </w:r>
      <w:r w:rsidRPr="00296418">
        <w:rPr>
          <w:rFonts w:ascii="仿宋_GB2312" w:eastAsia="仿宋_GB2312" w:hAnsi="仿宋_GB2312" w:cs="仿宋_GB2312" w:hint="eastAsia"/>
          <w:color w:val="000000" w:themeColor="text1"/>
          <w:sz w:val="30"/>
          <w:szCs w:val="30"/>
        </w:rPr>
        <w:t xml:space="preserve">印度或对中企经营设限 </w:t>
      </w:r>
    </w:p>
    <w:p w:rsidR="00E059C8" w:rsidRPr="00296418" w:rsidRDefault="00E059C8" w:rsidP="00E059C8">
      <w:pPr>
        <w:pStyle w:val="a5"/>
        <w:widowControl/>
        <w:spacing w:before="0" w:beforeAutospacing="0" w:after="0" w:afterAutospacing="0" w:line="520" w:lineRule="exact"/>
        <w:rPr>
          <w:rFonts w:ascii="仿宋_GB2312" w:eastAsia="仿宋_GB2312" w:hAnsi="仿宋_GB2312" w:cs="仿宋_GB2312"/>
          <w:color w:val="000000" w:themeColor="text1"/>
          <w:spacing w:val="15"/>
          <w:sz w:val="30"/>
          <w:szCs w:val="30"/>
        </w:rPr>
      </w:pPr>
      <w:r w:rsidRPr="00296418">
        <w:rPr>
          <w:rFonts w:ascii="仿宋_GB2312" w:eastAsia="仿宋_GB2312" w:hAnsi="仿宋_GB2312" w:cs="仿宋_GB2312" w:hint="eastAsia"/>
          <w:color w:val="FF0000"/>
          <w:spacing w:val="15"/>
          <w:sz w:val="30"/>
          <w:szCs w:val="30"/>
        </w:rPr>
        <w:lastRenderedPageBreak/>
        <w:t xml:space="preserve">   </w:t>
      </w:r>
      <w:r w:rsidRPr="00296418">
        <w:rPr>
          <w:rFonts w:ascii="仿宋_GB2312" w:eastAsia="仿宋_GB2312" w:hAnsi="仿宋_GB2312" w:cs="仿宋_GB2312" w:hint="eastAsia"/>
          <w:color w:val="000000" w:themeColor="text1"/>
          <w:spacing w:val="15"/>
          <w:sz w:val="30"/>
          <w:szCs w:val="30"/>
        </w:rPr>
        <w:t xml:space="preserve"> 路透社8月17日报道称，印度正在收紧外国企业进入其电力传输行业的规定，并严格审查电力和电信设备中是否含有恶意软件。政府高官和业界高管宣称，此举旨在阻止中国进入该国敏感产业。包括哈尔滨电气集团公司、东方电子、上海电气和北京四方继保自动化股份有限公司在内的中国企业，在印度18个城市供应设备或者管理配电网络。报道称，考虑到印度和中国正陷入30年来最严重的军事对峙，限制中国企业的举措已在莫迪政府内部获得更多支持。印度政府正在研究中央电力局准备的一份报告，该报告为企业竞标电力传输合约设立了新条件，使其更有利于本地企业。印度政府同时也对电信市场采取行动，要求提高行业的安全标准，中国的电信设备和智能手机制造商占据了该市场的主导地位。</w:t>
      </w:r>
    </w:p>
    <w:p w:rsidR="00C15B2D" w:rsidRPr="00296418" w:rsidRDefault="00C15B2D" w:rsidP="003867FB">
      <w:pPr>
        <w:adjustRightInd w:val="0"/>
        <w:snapToGrid w:val="0"/>
        <w:spacing w:line="520" w:lineRule="exact"/>
        <w:ind w:firstLineChars="200" w:firstLine="602"/>
        <w:rPr>
          <w:rFonts w:ascii="仿宋_GB2312" w:eastAsia="仿宋_GB2312"/>
          <w:bCs/>
          <w:sz w:val="30"/>
          <w:szCs w:val="30"/>
        </w:rPr>
      </w:pPr>
      <w:r w:rsidRPr="003867FB">
        <w:rPr>
          <w:rFonts w:ascii="仿宋_GB2312" w:eastAsia="仿宋_GB2312" w:hAnsi="宋体" w:cs="宋体" w:hint="eastAsia"/>
          <w:b/>
          <w:bCs/>
          <w:kern w:val="0"/>
          <w:sz w:val="30"/>
          <w:szCs w:val="30"/>
        </w:rPr>
        <w:t>（九）</w:t>
      </w:r>
      <w:r w:rsidR="003867FB" w:rsidRPr="003867FB">
        <w:rPr>
          <w:rFonts w:ascii="仿宋_GB2312" w:eastAsia="仿宋_GB2312" w:hAnsi="宋体" w:cs="宋体" w:hint="eastAsia"/>
          <w:b/>
          <w:kern w:val="0"/>
          <w:sz w:val="30"/>
          <w:szCs w:val="30"/>
        </w:rPr>
        <w:t>中金网：</w:t>
      </w:r>
      <w:r w:rsidRPr="003867FB">
        <w:rPr>
          <w:rFonts w:ascii="仿宋_GB2312" w:eastAsia="仿宋_GB2312" w:hAnsi="宋体" w:cs="宋体" w:hint="eastAsia"/>
          <w:b/>
          <w:bCs/>
          <w:kern w:val="0"/>
          <w:sz w:val="30"/>
          <w:szCs w:val="30"/>
        </w:rPr>
        <w:t>通货紧缩尚</w:t>
      </w:r>
      <w:r w:rsidRPr="00296418">
        <w:rPr>
          <w:rFonts w:ascii="仿宋_GB2312" w:eastAsia="仿宋_GB2312" w:hAnsi="宋体" w:cs="宋体" w:hint="eastAsia"/>
          <w:b/>
          <w:bCs/>
          <w:kern w:val="0"/>
          <w:sz w:val="30"/>
          <w:szCs w:val="30"/>
        </w:rPr>
        <w:t>未解决，日本央行短期内料难加息</w:t>
      </w:r>
    </w:p>
    <w:p w:rsidR="00C15B2D" w:rsidRPr="00296418" w:rsidRDefault="00C15B2D" w:rsidP="00C15B2D">
      <w:pPr>
        <w:adjustRightInd w:val="0"/>
        <w:snapToGrid w:val="0"/>
        <w:spacing w:line="520" w:lineRule="exact"/>
        <w:ind w:firstLine="600"/>
        <w:rPr>
          <w:rFonts w:ascii="仿宋_GB2312" w:eastAsia="仿宋_GB2312" w:hAnsi="宋体" w:cs="宋体"/>
          <w:kern w:val="0"/>
          <w:sz w:val="30"/>
          <w:szCs w:val="30"/>
        </w:rPr>
      </w:pPr>
      <w:r w:rsidRPr="00296418">
        <w:rPr>
          <w:rFonts w:ascii="仿宋_GB2312" w:eastAsia="仿宋_GB2312" w:hAnsi="宋体" w:cs="宋体" w:hint="eastAsia"/>
          <w:kern w:val="0"/>
          <w:sz w:val="30"/>
          <w:szCs w:val="30"/>
        </w:rPr>
        <w:t>中金网8月15日称，今年第二季度，日本的经济表现好于预期。但该国薪资增长乏力以及劳动力短缺的现状，可能会引发一系列社会问题。据FX678此前报道，日本第二季度实际GDP按年率计算增长4%，好于市场预期的2.5%。尽管日本的经济正在增长，但该国的“通货紧缩的怪兽”还未被征服。日本经济在通货膨胀和通货紧缩之间的灰色地带中挣扎。瑞穗国际首席日本固定收益策略师Cameron Umetsu警告称，如果没有工薪增长来推高日本的通胀水平，那么该国央行则难以在短期内进行加息。</w:t>
      </w:r>
    </w:p>
    <w:p w:rsidR="00C15B2D" w:rsidRPr="00296418" w:rsidRDefault="00C15B2D" w:rsidP="00C15B2D">
      <w:pPr>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（十</w:t>
      </w:r>
      <w:r w:rsidR="009C27FD">
        <w:rPr>
          <w:rFonts w:ascii="仿宋_GB2312" w:eastAsia="仿宋_GB2312" w:hint="eastAsia"/>
          <w:b/>
          <w:bCs/>
          <w:sz w:val="30"/>
          <w:szCs w:val="30"/>
        </w:rPr>
        <w:t>）金融时报：</w:t>
      </w:r>
      <w:r w:rsidRPr="00296418">
        <w:rPr>
          <w:rFonts w:ascii="仿宋_GB2312" w:eastAsia="仿宋_GB2312" w:hint="eastAsia"/>
          <w:b/>
          <w:bCs/>
          <w:sz w:val="30"/>
          <w:szCs w:val="30"/>
        </w:rPr>
        <w:t>澳大利亚也将监管比特币交易</w:t>
      </w:r>
    </w:p>
    <w:p w:rsidR="00C15B2D" w:rsidRPr="00296418" w:rsidRDefault="00C15B2D" w:rsidP="00C15B2D">
      <w:pPr>
        <w:adjustRightInd w:val="0"/>
        <w:snapToGrid w:val="0"/>
        <w:spacing w:line="520" w:lineRule="exact"/>
        <w:ind w:firstLineChars="200" w:firstLine="600"/>
        <w:rPr>
          <w:rFonts w:ascii="仿宋_GB2312" w:eastAsia="仿宋_GB2312"/>
          <w:bCs/>
          <w:sz w:val="30"/>
          <w:szCs w:val="30"/>
        </w:rPr>
      </w:pPr>
      <w:r w:rsidRPr="00296418">
        <w:rPr>
          <w:rFonts w:ascii="仿宋_GB2312" w:eastAsia="仿宋_GB2312" w:hint="eastAsia"/>
          <w:bCs/>
          <w:sz w:val="30"/>
          <w:szCs w:val="30"/>
        </w:rPr>
        <w:t>金融时报8月22</w:t>
      </w:r>
      <w:r w:rsidR="009C27FD">
        <w:rPr>
          <w:rFonts w:ascii="仿宋_GB2312" w:eastAsia="仿宋_GB2312" w:hint="eastAsia"/>
          <w:bCs/>
          <w:sz w:val="30"/>
          <w:szCs w:val="30"/>
        </w:rPr>
        <w:t>日称，澳大利亚计划加强其反洗钱的监管力度并且规范包括比特币在内的电子货币交易。在其</w:t>
      </w:r>
      <w:r w:rsidRPr="00296418">
        <w:rPr>
          <w:rFonts w:ascii="仿宋_GB2312" w:eastAsia="仿宋_GB2312" w:hint="eastAsia"/>
          <w:bCs/>
          <w:sz w:val="30"/>
          <w:szCs w:val="30"/>
        </w:rPr>
        <w:t>公布的改革计划中，</w:t>
      </w:r>
      <w:r w:rsidRPr="00296418">
        <w:rPr>
          <w:rFonts w:ascii="仿宋_GB2312" w:eastAsia="仿宋_GB2312" w:hint="eastAsia"/>
          <w:bCs/>
          <w:sz w:val="30"/>
          <w:szCs w:val="30"/>
        </w:rPr>
        <w:lastRenderedPageBreak/>
        <w:t>澳大利亚将使电子货币的交易接受澳大利亚金融犯罪打击机构——澳大利亚交易报告分析中心</w:t>
      </w:r>
      <w:r w:rsidR="009C27FD">
        <w:rPr>
          <w:rFonts w:ascii="仿宋_GB2312" w:eastAsia="仿宋_GB2312" w:hint="eastAsia"/>
          <w:bCs/>
          <w:sz w:val="30"/>
          <w:szCs w:val="30"/>
        </w:rPr>
        <w:t>的</w:t>
      </w:r>
      <w:r w:rsidRPr="00296418">
        <w:rPr>
          <w:rFonts w:ascii="仿宋_GB2312" w:eastAsia="仿宋_GB2312" w:hint="eastAsia"/>
          <w:bCs/>
          <w:sz w:val="30"/>
          <w:szCs w:val="30"/>
        </w:rPr>
        <w:t>监管。新的立法将增强澳大利亚交易报告分析中心的调查和执行权利。此次提出的监管体制改革标志着旨在更新澳大利亚反洗钱和反恐融资法的改革进程迈出了第一步。澳大利亚控制包括比特币在内的加密货币的举措是继日本后所采取相关措施的第二个国家。</w:t>
      </w:r>
    </w:p>
    <w:p w:rsidR="00C15B2D" w:rsidRPr="00296418" w:rsidRDefault="00C15B2D" w:rsidP="00C15B2D">
      <w:pPr>
        <w:adjustRightInd w:val="0"/>
        <w:snapToGrid w:val="0"/>
        <w:spacing w:line="520" w:lineRule="exact"/>
        <w:ind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（十一</w:t>
      </w:r>
      <w:r w:rsidRPr="00296418">
        <w:rPr>
          <w:rFonts w:ascii="仿宋_GB2312" w:eastAsia="仿宋_GB2312" w:hAnsi="仿宋_GB2312" w:cs="仿宋_GB2312" w:hint="eastAsia"/>
          <w:b/>
          <w:sz w:val="30"/>
          <w:szCs w:val="30"/>
        </w:rPr>
        <w:t>）巴西央行：今年第二季度巴西经济环比增长0.25%</w:t>
      </w:r>
    </w:p>
    <w:p w:rsidR="00C15B2D" w:rsidRPr="00296418" w:rsidRDefault="00C15B2D" w:rsidP="00C15B2D">
      <w:pPr>
        <w:pStyle w:val="a5"/>
        <w:spacing w:before="0" w:beforeAutospacing="0" w:after="0" w:afterAutospacing="0" w:line="520" w:lineRule="exact"/>
        <w:ind w:firstLineChars="200" w:firstLine="600"/>
        <w:rPr>
          <w:rFonts w:ascii="仿宋_GB2312" w:eastAsia="仿宋_GB2312" w:hAnsi="仿宋_GB2312" w:cs="仿宋_GB2312"/>
          <w:bCs/>
          <w:kern w:val="2"/>
          <w:sz w:val="30"/>
          <w:szCs w:val="30"/>
        </w:rPr>
      </w:pPr>
      <w:r w:rsidRPr="00296418">
        <w:rPr>
          <w:rFonts w:ascii="仿宋_GB2312" w:eastAsia="仿宋_GB2312" w:hAnsi="仿宋_GB2312" w:cs="仿宋_GB2312" w:hint="eastAsia"/>
          <w:bCs/>
          <w:kern w:val="2"/>
          <w:sz w:val="30"/>
          <w:szCs w:val="30"/>
        </w:rPr>
        <w:t>8月17日，巴西央行公布数据显示，今年第二季度巴西经济环比增长0.25%，低于第一季度的1.21%，增速稍为减缓。今年上半年，巴西经济与去年同期相比下降0.11%。为刺激经济复苏，今年以来，巴西政府实施了一系列振兴经济的措施，包括允许民众提取服务年限保证基金、大幅降低基准利率等。截至目前，巴西央行已连续第七次降息，累计降息500个基点，将基准利率从14.25%降至9.25%。</w:t>
      </w:r>
    </w:p>
    <w:p w:rsidR="00C15B2D" w:rsidRPr="00296418" w:rsidRDefault="00C15B2D" w:rsidP="009C27FD">
      <w:pPr>
        <w:pStyle w:val="a5"/>
        <w:spacing w:before="0" w:beforeAutospacing="0" w:after="0" w:afterAutospacing="0" w:line="520" w:lineRule="exact"/>
        <w:ind w:firstLineChars="200" w:firstLine="602"/>
        <w:rPr>
          <w:rFonts w:ascii="仿宋_GB2312" w:eastAsia="仿宋_GB2312" w:hAnsi="仿宋" w:cs="仿宋"/>
          <w:b/>
          <w:bCs/>
          <w:sz w:val="30"/>
          <w:szCs w:val="30"/>
        </w:rPr>
      </w:pPr>
      <w:r>
        <w:rPr>
          <w:rFonts w:ascii="仿宋_GB2312" w:eastAsia="仿宋_GB2312" w:hAnsi="仿宋" w:cs="仿宋" w:hint="eastAsia"/>
          <w:b/>
          <w:sz w:val="30"/>
          <w:szCs w:val="30"/>
        </w:rPr>
        <w:t>（十二）</w:t>
      </w:r>
      <w:r w:rsidRPr="00296418">
        <w:rPr>
          <w:rFonts w:ascii="仿宋_GB2312" w:eastAsia="仿宋_GB2312" w:hAnsi="仿宋" w:cs="仿宋" w:hint="eastAsia"/>
          <w:b/>
          <w:sz w:val="30"/>
          <w:szCs w:val="30"/>
        </w:rPr>
        <w:t>野村证券：无论</w:t>
      </w:r>
      <w:r w:rsidRPr="00296418">
        <w:rPr>
          <w:rFonts w:ascii="仿宋_GB2312" w:eastAsia="仿宋_GB2312" w:hAnsi="仿宋" w:cs="仿宋" w:hint="eastAsia"/>
          <w:b/>
          <w:bCs/>
          <w:sz w:val="30"/>
          <w:szCs w:val="30"/>
        </w:rPr>
        <w:t xml:space="preserve">朝鲜危机结局如何，韩元都将“受伤” </w:t>
      </w:r>
    </w:p>
    <w:p w:rsidR="00C15B2D" w:rsidRPr="00296418" w:rsidRDefault="00C15B2D" w:rsidP="00C15B2D">
      <w:pPr>
        <w:pStyle w:val="a5"/>
        <w:spacing w:before="0" w:beforeAutospacing="0" w:after="0" w:afterAutospacing="0" w:line="520" w:lineRule="exact"/>
        <w:ind w:firstLineChars="200" w:firstLine="600"/>
        <w:rPr>
          <w:rFonts w:ascii="仿宋_GB2312" w:eastAsia="仿宋_GB2312" w:hAnsi="仿宋_GB2312" w:cs="仿宋_GB2312"/>
          <w:bCs/>
          <w:color w:val="000000" w:themeColor="text1"/>
          <w:kern w:val="2"/>
          <w:sz w:val="30"/>
          <w:szCs w:val="30"/>
        </w:rPr>
      </w:pPr>
      <w:r w:rsidRPr="00296418">
        <w:rPr>
          <w:rFonts w:ascii="仿宋_GB2312" w:eastAsia="仿宋_GB2312" w:hAnsi="仿宋_GB2312" w:cs="仿宋_GB2312" w:hint="eastAsia"/>
          <w:bCs/>
          <w:kern w:val="2"/>
          <w:sz w:val="30"/>
          <w:szCs w:val="30"/>
        </w:rPr>
        <w:t>野村证券(Nomura)分析师8月18日在报告中称，无论朝鲜半岛地缘局势风波的结果如何，韩元</w:t>
      </w:r>
      <w:hyperlink r:id="rId9" w:tgtFrame="http://forex.hexun.com/2017-08-21/_blank" w:history="1">
        <w:r w:rsidRPr="00296418">
          <w:rPr>
            <w:rFonts w:ascii="仿宋_GB2312" w:eastAsia="仿宋_GB2312" w:hAnsi="仿宋_GB2312" w:cs="仿宋_GB2312" w:hint="eastAsia"/>
            <w:bCs/>
            <w:kern w:val="2"/>
            <w:sz w:val="30"/>
            <w:szCs w:val="30"/>
          </w:rPr>
          <w:t>汇率</w:t>
        </w:r>
      </w:hyperlink>
      <w:r w:rsidR="009C27FD">
        <w:rPr>
          <w:rFonts w:ascii="仿宋_GB2312" w:eastAsia="仿宋_GB2312" w:hAnsi="仿宋_GB2312" w:cs="仿宋_GB2312" w:hint="eastAsia"/>
          <w:bCs/>
          <w:kern w:val="2"/>
          <w:sz w:val="30"/>
          <w:szCs w:val="30"/>
        </w:rPr>
        <w:t>似乎都将受到负面影响</w:t>
      </w:r>
      <w:r w:rsidRPr="00296418">
        <w:rPr>
          <w:rFonts w:ascii="仿宋_GB2312" w:eastAsia="仿宋_GB2312" w:hAnsi="仿宋_GB2312" w:cs="仿宋_GB2312" w:hint="eastAsia"/>
          <w:bCs/>
          <w:kern w:val="2"/>
          <w:sz w:val="30"/>
          <w:szCs w:val="30"/>
        </w:rPr>
        <w:t>。分析师指出，朝鲜半岛相对平静的局面可能不会持久，因为</w:t>
      </w:r>
      <w:hyperlink r:id="rId10" w:tgtFrame="http://forex.hexun.com/2017-08-21/_blank" w:history="1">
        <w:r w:rsidRPr="00296418">
          <w:rPr>
            <w:rFonts w:ascii="仿宋_GB2312" w:eastAsia="仿宋_GB2312" w:hAnsi="仿宋_GB2312" w:cs="仿宋_GB2312" w:hint="eastAsia"/>
            <w:bCs/>
            <w:kern w:val="2"/>
            <w:sz w:val="30"/>
            <w:szCs w:val="30"/>
          </w:rPr>
          <w:t>韩国</w:t>
        </w:r>
      </w:hyperlink>
      <w:r w:rsidRPr="00296418">
        <w:rPr>
          <w:rFonts w:ascii="仿宋_GB2312" w:eastAsia="仿宋_GB2312" w:hAnsi="仿宋_GB2312" w:cs="仿宋_GB2312" w:hint="eastAsia"/>
          <w:bCs/>
          <w:kern w:val="2"/>
          <w:sz w:val="30"/>
          <w:szCs w:val="30"/>
        </w:rPr>
        <w:t>和美国将举行大规模的军事演习，这可能会令朝鲜半岛的紧张局势再次加剧并持</w:t>
      </w:r>
      <w:r w:rsidR="009C27FD">
        <w:rPr>
          <w:rFonts w:ascii="仿宋_GB2312" w:eastAsia="仿宋_GB2312" w:hAnsi="仿宋_GB2312" w:cs="仿宋_GB2312" w:hint="eastAsia"/>
          <w:bCs/>
          <w:kern w:val="2"/>
          <w:sz w:val="30"/>
          <w:szCs w:val="30"/>
        </w:rPr>
        <w:t>续一段时间。尽管这种局势并不会失控，但朝鲜半岛地缘局势风波对韩国经济前景和</w:t>
      </w:r>
      <w:proofErr w:type="gramStart"/>
      <w:r w:rsidR="009C27FD">
        <w:rPr>
          <w:rFonts w:ascii="仿宋_GB2312" w:eastAsia="仿宋_GB2312" w:hAnsi="仿宋_GB2312" w:cs="仿宋_GB2312" w:hint="eastAsia"/>
          <w:bCs/>
          <w:kern w:val="2"/>
          <w:sz w:val="30"/>
          <w:szCs w:val="30"/>
        </w:rPr>
        <w:t>韩股</w:t>
      </w:r>
      <w:proofErr w:type="gramEnd"/>
      <w:r w:rsidR="009C27FD">
        <w:rPr>
          <w:rFonts w:ascii="仿宋_GB2312" w:eastAsia="仿宋_GB2312" w:hAnsi="仿宋_GB2312" w:cs="仿宋_GB2312" w:hint="eastAsia"/>
          <w:bCs/>
          <w:kern w:val="2"/>
          <w:sz w:val="30"/>
          <w:szCs w:val="30"/>
        </w:rPr>
        <w:t>造成的压力</w:t>
      </w:r>
      <w:r w:rsidRPr="00296418">
        <w:rPr>
          <w:rFonts w:ascii="仿宋_GB2312" w:eastAsia="仿宋_GB2312" w:hAnsi="仿宋_GB2312" w:cs="仿宋_GB2312" w:hint="eastAsia"/>
          <w:bCs/>
          <w:kern w:val="2"/>
          <w:sz w:val="30"/>
          <w:szCs w:val="30"/>
        </w:rPr>
        <w:t>，很可能会继续拖累韩元</w:t>
      </w:r>
      <w:r w:rsidRPr="00296418">
        <w:rPr>
          <w:rFonts w:ascii="仿宋_GB2312" w:eastAsia="仿宋_GB2312" w:hAnsi="仿宋_GB2312" w:cs="仿宋_GB2312" w:hint="eastAsia"/>
          <w:bCs/>
          <w:color w:val="000000" w:themeColor="text1"/>
          <w:kern w:val="2"/>
          <w:sz w:val="30"/>
          <w:szCs w:val="30"/>
        </w:rPr>
        <w:t>汇率。</w:t>
      </w:r>
      <w:bookmarkStart w:id="0" w:name="_GoBack"/>
      <w:bookmarkEnd w:id="0"/>
    </w:p>
    <w:p w:rsidR="00BF4C18" w:rsidRPr="00296418" w:rsidRDefault="00C15B2D" w:rsidP="00296418">
      <w:pPr>
        <w:pStyle w:val="a5"/>
        <w:spacing w:before="0" w:beforeAutospacing="0" w:after="0" w:afterAutospacing="0" w:line="520" w:lineRule="exact"/>
        <w:ind w:firstLineChars="200" w:firstLine="602"/>
        <w:rPr>
          <w:rFonts w:ascii="仿宋_GB2312" w:eastAsia="仿宋_GB2312" w:hAnsi="仿宋_GB2312" w:cs="仿宋_GB2312"/>
          <w:b/>
          <w:color w:val="000000" w:themeColor="text1"/>
          <w:kern w:val="2"/>
          <w:sz w:val="30"/>
          <w:szCs w:val="30"/>
        </w:rPr>
      </w:pPr>
      <w:r>
        <w:rPr>
          <w:rFonts w:ascii="仿宋_GB2312" w:eastAsia="仿宋_GB2312" w:hAnsi="仿宋_GB2312" w:cs="仿宋_GB2312" w:hint="eastAsia"/>
          <w:b/>
          <w:color w:val="000000" w:themeColor="text1"/>
          <w:kern w:val="2"/>
          <w:sz w:val="30"/>
          <w:szCs w:val="30"/>
        </w:rPr>
        <w:t>（十三</w:t>
      </w:r>
      <w:r w:rsidR="007F33E8" w:rsidRPr="00296418">
        <w:rPr>
          <w:rFonts w:ascii="仿宋_GB2312" w:eastAsia="仿宋_GB2312" w:hAnsi="仿宋_GB2312" w:cs="仿宋_GB2312" w:hint="eastAsia"/>
          <w:b/>
          <w:color w:val="000000" w:themeColor="text1"/>
          <w:kern w:val="2"/>
          <w:sz w:val="30"/>
          <w:szCs w:val="30"/>
        </w:rPr>
        <w:t>）泰国二季度经济增幅创四年最高</w:t>
      </w:r>
    </w:p>
    <w:p w:rsidR="00BF4C18" w:rsidRPr="00296418" w:rsidRDefault="007F33E8" w:rsidP="00296418">
      <w:pPr>
        <w:pStyle w:val="a5"/>
        <w:spacing w:before="0" w:beforeAutospacing="0" w:after="0" w:afterAutospacing="0" w:line="520" w:lineRule="exact"/>
        <w:ind w:firstLineChars="200" w:firstLine="600"/>
        <w:rPr>
          <w:rFonts w:ascii="仿宋_GB2312" w:eastAsia="仿宋_GB2312" w:hAnsi="仿宋_GB2312" w:cs="仿宋_GB2312"/>
          <w:bCs/>
          <w:color w:val="000000" w:themeColor="text1"/>
          <w:kern w:val="2"/>
          <w:sz w:val="30"/>
          <w:szCs w:val="30"/>
        </w:rPr>
      </w:pPr>
      <w:r w:rsidRPr="00296418">
        <w:rPr>
          <w:rFonts w:ascii="仿宋_GB2312" w:eastAsia="仿宋_GB2312" w:hAnsi="仿宋_GB2312" w:cs="仿宋_GB2312" w:hint="eastAsia"/>
          <w:bCs/>
          <w:color w:val="000000" w:themeColor="text1"/>
          <w:kern w:val="2"/>
          <w:sz w:val="30"/>
          <w:szCs w:val="30"/>
        </w:rPr>
        <w:t>泰国政府8月21日公布的数据显示,今年第二季度泰国国内生产总值同比增长3.7%,高于第一季度的3.3%,是2013</w:t>
      </w:r>
      <w:r w:rsidR="009C27FD">
        <w:rPr>
          <w:rFonts w:ascii="仿宋_GB2312" w:eastAsia="仿宋_GB2312" w:hAnsi="仿宋_GB2312" w:cs="仿宋_GB2312" w:hint="eastAsia"/>
          <w:bCs/>
          <w:color w:val="000000" w:themeColor="text1"/>
          <w:kern w:val="2"/>
          <w:sz w:val="30"/>
          <w:szCs w:val="30"/>
        </w:rPr>
        <w:t>年二季度以来</w:t>
      </w:r>
      <w:r w:rsidR="009C27FD">
        <w:rPr>
          <w:rFonts w:ascii="仿宋_GB2312" w:eastAsia="仿宋_GB2312" w:hAnsi="仿宋_GB2312" w:cs="仿宋_GB2312" w:hint="eastAsia"/>
          <w:bCs/>
          <w:color w:val="000000" w:themeColor="text1"/>
          <w:kern w:val="2"/>
          <w:sz w:val="30"/>
          <w:szCs w:val="30"/>
        </w:rPr>
        <w:lastRenderedPageBreak/>
        <w:t>的最大增幅。其中，</w:t>
      </w:r>
      <w:r w:rsidRPr="00296418">
        <w:rPr>
          <w:rFonts w:ascii="仿宋_GB2312" w:eastAsia="仿宋_GB2312" w:hAnsi="仿宋_GB2312" w:cs="仿宋_GB2312" w:hint="eastAsia"/>
          <w:bCs/>
          <w:color w:val="000000" w:themeColor="text1"/>
          <w:kern w:val="2"/>
          <w:sz w:val="30"/>
          <w:szCs w:val="30"/>
        </w:rPr>
        <w:t>商品出口及服务业出现强势增长,个人消费及整体投资增加,农业、零售、酒店餐饮及交通都出现增长,推动经济持续向好。据悉,第二季度泰国出口总额达561.45亿美元,较去年同期增长8.0%,高于第一季度6.8%的增幅,对中国、美国、日本、印度等主要市场的出口均出现增长;进口总额为495.23亿美元,同比增长13.8%。私人投资增长3.2%,主要集中在机械和建筑等产业,国有企业投资增长20.5%。泰国经济部门认为,泰国经济稳定向好,预计下半年政府及私人投资将持续增加,出口、酒店餐饮、工业生产等持续增长,因此将5月份时作出的全年经济增长预期自3.5%上调至4%。</w:t>
      </w:r>
    </w:p>
    <w:p w:rsidR="00BF4C18" w:rsidRPr="00296418" w:rsidRDefault="00C15B2D" w:rsidP="00296418">
      <w:pPr>
        <w:pStyle w:val="a5"/>
        <w:spacing w:before="0" w:beforeAutospacing="0" w:after="0" w:afterAutospacing="0" w:line="520" w:lineRule="exact"/>
        <w:ind w:firstLineChars="200" w:firstLine="602"/>
        <w:rPr>
          <w:rFonts w:ascii="仿宋_GB2312" w:eastAsia="仿宋_GB2312" w:hAnsi="仿宋_GB2312" w:cs="仿宋_GB2312"/>
          <w:b/>
          <w:color w:val="000000" w:themeColor="text1"/>
          <w:kern w:val="2"/>
          <w:sz w:val="30"/>
          <w:szCs w:val="30"/>
        </w:rPr>
      </w:pPr>
      <w:r>
        <w:rPr>
          <w:rFonts w:ascii="仿宋_GB2312" w:eastAsia="仿宋_GB2312" w:hAnsi="仿宋_GB2312" w:cs="仿宋_GB2312" w:hint="eastAsia"/>
          <w:b/>
          <w:color w:val="000000" w:themeColor="text1"/>
          <w:kern w:val="2"/>
          <w:sz w:val="30"/>
          <w:szCs w:val="30"/>
        </w:rPr>
        <w:t>（十四</w:t>
      </w:r>
      <w:r w:rsidR="007F33E8" w:rsidRPr="00296418">
        <w:rPr>
          <w:rFonts w:ascii="仿宋_GB2312" w:eastAsia="仿宋_GB2312" w:hAnsi="仿宋_GB2312" w:cs="仿宋_GB2312" w:hint="eastAsia"/>
          <w:b/>
          <w:color w:val="000000" w:themeColor="text1"/>
          <w:kern w:val="2"/>
          <w:sz w:val="30"/>
          <w:szCs w:val="30"/>
        </w:rPr>
        <w:t>）巴基斯坦商界呼吁政府保持汇率稳定</w:t>
      </w:r>
    </w:p>
    <w:p w:rsidR="00BF4C18" w:rsidRPr="00296418" w:rsidRDefault="007F33E8" w:rsidP="00296418">
      <w:pPr>
        <w:pStyle w:val="a5"/>
        <w:spacing w:before="0" w:beforeAutospacing="0" w:after="0" w:afterAutospacing="0" w:line="520" w:lineRule="exact"/>
        <w:ind w:firstLineChars="200" w:firstLine="600"/>
        <w:rPr>
          <w:rFonts w:ascii="仿宋_GB2312" w:eastAsia="仿宋_GB2312" w:hAnsi="仿宋_GB2312" w:cs="仿宋_GB2312"/>
          <w:bCs/>
          <w:color w:val="FF0000"/>
          <w:kern w:val="2"/>
          <w:sz w:val="30"/>
          <w:szCs w:val="30"/>
        </w:rPr>
      </w:pPr>
      <w:r w:rsidRPr="00296418">
        <w:rPr>
          <w:rFonts w:ascii="仿宋_GB2312" w:eastAsia="仿宋_GB2312" w:hAnsi="仿宋_GB2312" w:cs="仿宋_GB2312" w:hint="eastAsia"/>
          <w:bCs/>
          <w:color w:val="000000" w:themeColor="text1"/>
          <w:kern w:val="2"/>
          <w:sz w:val="30"/>
          <w:szCs w:val="30"/>
        </w:rPr>
        <w:t>8月16日，巴基斯坦穆尔坦工商联合会主席鲁米表达了</w:t>
      </w:r>
      <w:r w:rsidR="00876B40" w:rsidRPr="00296418">
        <w:rPr>
          <w:rFonts w:ascii="仿宋_GB2312" w:eastAsia="仿宋_GB2312" w:hAnsi="仿宋_GB2312" w:cs="仿宋_GB2312" w:hint="eastAsia"/>
          <w:bCs/>
          <w:color w:val="000000" w:themeColor="text1"/>
          <w:kern w:val="2"/>
          <w:sz w:val="30"/>
          <w:szCs w:val="30"/>
        </w:rPr>
        <w:t>对</w:t>
      </w:r>
      <w:r w:rsidRPr="00296418">
        <w:rPr>
          <w:rFonts w:ascii="仿宋_GB2312" w:eastAsia="仿宋_GB2312" w:hAnsi="仿宋_GB2312" w:cs="仿宋_GB2312" w:hint="eastAsia"/>
          <w:bCs/>
          <w:color w:val="000000" w:themeColor="text1"/>
          <w:kern w:val="2"/>
          <w:sz w:val="30"/>
          <w:szCs w:val="30"/>
        </w:rPr>
        <w:t>美元汇率贬值</w:t>
      </w:r>
      <w:r w:rsidR="00876B40">
        <w:rPr>
          <w:rFonts w:ascii="仿宋_GB2312" w:eastAsia="仿宋_GB2312" w:hAnsi="仿宋_GB2312" w:cs="仿宋_GB2312" w:hint="eastAsia"/>
          <w:bCs/>
          <w:color w:val="000000" w:themeColor="text1"/>
          <w:kern w:val="2"/>
          <w:sz w:val="30"/>
          <w:szCs w:val="30"/>
        </w:rPr>
        <w:t>给</w:t>
      </w:r>
      <w:r w:rsidRPr="00296418">
        <w:rPr>
          <w:rFonts w:ascii="仿宋_GB2312" w:eastAsia="仿宋_GB2312" w:hAnsi="仿宋_GB2312" w:cs="仿宋_GB2312" w:hint="eastAsia"/>
          <w:bCs/>
          <w:color w:val="000000" w:themeColor="text1"/>
          <w:kern w:val="2"/>
          <w:sz w:val="30"/>
          <w:szCs w:val="30"/>
        </w:rPr>
        <w:t>巴基斯坦商业造成损失的担忧。近几周，美元兑卢比的汇率已涨至107.25。鲁米要求政府相关部门采取必要措施稳定汇率并采取有效措施制</w:t>
      </w:r>
      <w:r w:rsidR="001B1D96">
        <w:rPr>
          <w:rFonts w:ascii="仿宋_GB2312" w:eastAsia="仿宋_GB2312" w:hAnsi="仿宋_GB2312" w:cs="仿宋_GB2312" w:hint="eastAsia"/>
          <w:bCs/>
          <w:color w:val="000000" w:themeColor="text1"/>
          <w:kern w:val="2"/>
          <w:sz w:val="30"/>
          <w:szCs w:val="30"/>
        </w:rPr>
        <w:t>止一些妄图从当前政坛动荡时期攫取利益的行</w:t>
      </w:r>
      <w:r w:rsidR="00876B40">
        <w:rPr>
          <w:rFonts w:ascii="仿宋_GB2312" w:eastAsia="仿宋_GB2312" w:hAnsi="仿宋_GB2312" w:cs="仿宋_GB2312" w:hint="eastAsia"/>
          <w:bCs/>
          <w:color w:val="000000" w:themeColor="text1"/>
          <w:kern w:val="2"/>
          <w:sz w:val="30"/>
          <w:szCs w:val="30"/>
        </w:rPr>
        <w:t>为</w:t>
      </w:r>
      <w:r w:rsidR="001B1D96">
        <w:rPr>
          <w:rFonts w:ascii="仿宋_GB2312" w:eastAsia="仿宋_GB2312" w:hAnsi="仿宋_GB2312" w:cs="仿宋_GB2312" w:hint="eastAsia"/>
          <w:bCs/>
          <w:color w:val="000000" w:themeColor="text1"/>
          <w:kern w:val="2"/>
          <w:sz w:val="30"/>
          <w:szCs w:val="30"/>
        </w:rPr>
        <w:t>。他表示，卢比</w:t>
      </w:r>
      <w:proofErr w:type="gramStart"/>
      <w:r w:rsidR="001B1D96">
        <w:rPr>
          <w:rFonts w:ascii="仿宋_GB2312" w:eastAsia="仿宋_GB2312" w:hAnsi="仿宋_GB2312" w:cs="仿宋_GB2312" w:hint="eastAsia"/>
          <w:bCs/>
          <w:color w:val="000000" w:themeColor="text1"/>
          <w:kern w:val="2"/>
          <w:sz w:val="30"/>
          <w:szCs w:val="30"/>
        </w:rPr>
        <w:t>贬值</w:t>
      </w:r>
      <w:r w:rsidRPr="00296418">
        <w:rPr>
          <w:rFonts w:ascii="仿宋_GB2312" w:eastAsia="仿宋_GB2312" w:hAnsi="仿宋_GB2312" w:cs="仿宋_GB2312" w:hint="eastAsia"/>
          <w:bCs/>
          <w:color w:val="000000" w:themeColor="text1"/>
          <w:kern w:val="2"/>
          <w:sz w:val="30"/>
          <w:szCs w:val="30"/>
        </w:rPr>
        <w:t>既</w:t>
      </w:r>
      <w:proofErr w:type="gramEnd"/>
      <w:r w:rsidRPr="00296418">
        <w:rPr>
          <w:rFonts w:ascii="仿宋_GB2312" w:eastAsia="仿宋_GB2312" w:hAnsi="仿宋_GB2312" w:cs="仿宋_GB2312" w:hint="eastAsia"/>
          <w:bCs/>
          <w:color w:val="000000" w:themeColor="text1"/>
          <w:kern w:val="2"/>
          <w:sz w:val="30"/>
          <w:szCs w:val="30"/>
        </w:rPr>
        <w:t>不利于提高国</w:t>
      </w:r>
      <w:r w:rsidR="009C27FD">
        <w:rPr>
          <w:rFonts w:ascii="仿宋_GB2312" w:eastAsia="仿宋_GB2312" w:hAnsi="仿宋_GB2312" w:cs="仿宋_GB2312" w:hint="eastAsia"/>
          <w:bCs/>
          <w:color w:val="000000" w:themeColor="text1"/>
          <w:kern w:val="2"/>
          <w:sz w:val="30"/>
          <w:szCs w:val="30"/>
        </w:rPr>
        <w:t>家出口也不会帮助当局解决不断严重的贸易赤字问题，重点应放在出台</w:t>
      </w:r>
      <w:r w:rsidRPr="00296418">
        <w:rPr>
          <w:rFonts w:ascii="仿宋_GB2312" w:eastAsia="仿宋_GB2312" w:hAnsi="仿宋_GB2312" w:cs="仿宋_GB2312" w:hint="eastAsia"/>
          <w:bCs/>
          <w:color w:val="000000" w:themeColor="text1"/>
          <w:kern w:val="2"/>
          <w:sz w:val="30"/>
          <w:szCs w:val="30"/>
        </w:rPr>
        <w:t>增强出口竞争力的政策措施，在此过程中，还要保证货币汇率稳定，不然将导致进口支出增高、刺激通胀，最终将损害公众利益。</w:t>
      </w:r>
    </w:p>
    <w:p w:rsidR="00BF4C18" w:rsidRPr="00296418" w:rsidRDefault="00C15B2D" w:rsidP="00296418">
      <w:pPr>
        <w:pStyle w:val="a5"/>
        <w:spacing w:before="0" w:beforeAutospacing="0" w:after="0" w:afterAutospacing="0" w:line="520" w:lineRule="exact"/>
        <w:ind w:firstLineChars="200" w:firstLine="602"/>
        <w:rPr>
          <w:rFonts w:ascii="仿宋_GB2312" w:eastAsia="仿宋_GB2312" w:hAnsi="仿宋_GB2312" w:cs="仿宋_GB2312"/>
          <w:b/>
          <w:color w:val="000000" w:themeColor="text1"/>
          <w:kern w:val="2"/>
          <w:sz w:val="30"/>
          <w:szCs w:val="30"/>
        </w:rPr>
      </w:pPr>
      <w:r>
        <w:rPr>
          <w:rFonts w:ascii="仿宋_GB2312" w:eastAsia="仿宋_GB2312" w:hAnsi="仿宋_GB2312" w:cs="仿宋_GB2312" w:hint="eastAsia"/>
          <w:b/>
          <w:color w:val="000000" w:themeColor="text1"/>
          <w:kern w:val="2"/>
          <w:sz w:val="30"/>
          <w:szCs w:val="30"/>
        </w:rPr>
        <w:t>（十五</w:t>
      </w:r>
      <w:r w:rsidR="007F33E8" w:rsidRPr="00296418">
        <w:rPr>
          <w:rFonts w:ascii="仿宋_GB2312" w:eastAsia="仿宋_GB2312" w:hAnsi="仿宋_GB2312" w:cs="仿宋_GB2312" w:hint="eastAsia"/>
          <w:b/>
          <w:color w:val="000000" w:themeColor="text1"/>
          <w:kern w:val="2"/>
          <w:sz w:val="30"/>
          <w:szCs w:val="30"/>
        </w:rPr>
        <w:t>）加拿大楼市降温 7月房价创金融危机以来最大跌幅</w:t>
      </w:r>
    </w:p>
    <w:p w:rsidR="00BF4C18" w:rsidRPr="00296418" w:rsidRDefault="007F33E8" w:rsidP="00296418">
      <w:pPr>
        <w:adjustRightInd w:val="0"/>
        <w:snapToGrid w:val="0"/>
        <w:spacing w:line="520" w:lineRule="exact"/>
        <w:ind w:firstLineChars="200" w:firstLine="600"/>
        <w:rPr>
          <w:rFonts w:ascii="仿宋_GB2312" w:eastAsia="仿宋_GB2312"/>
          <w:bCs/>
          <w:sz w:val="30"/>
          <w:szCs w:val="30"/>
        </w:rPr>
      </w:pPr>
      <w:r w:rsidRPr="00296418">
        <w:rPr>
          <w:rFonts w:ascii="仿宋_GB2312" w:eastAsia="仿宋_GB2312" w:hint="eastAsia"/>
          <w:bCs/>
          <w:sz w:val="30"/>
          <w:szCs w:val="30"/>
        </w:rPr>
        <w:t>加拿大房地产协会（CREA）8月22日公布的数据显示，该国全国基准房价7月环比下跌1.5%至60.71万加元，跌幅创2008年来之最；同比下跌0.3%，为2013年来首次下滑。无论从价格还是销量上看，此前火热的多伦多如今都成了最大的拖累之地。7月多伦多房价环比下跌4.7%，二手房销量环比下跌5.4%。在这之前，多伦多楼市</w:t>
      </w:r>
      <w:r w:rsidRPr="00296418">
        <w:rPr>
          <w:rFonts w:ascii="仿宋_GB2312" w:eastAsia="仿宋_GB2312" w:hint="eastAsia"/>
          <w:bCs/>
          <w:sz w:val="30"/>
          <w:szCs w:val="30"/>
        </w:rPr>
        <w:lastRenderedPageBreak/>
        <w:t>上行的态势已续超过20年，近年来涨势尤为惊人，从2008年金融危机后低点算起，多伦多房价迄今涨幅超过200%。当地政府在实施了专门针对外国买家征税等降温政策后，7月加拿大央行加息25个基点，为2010年以来首次加息，成为跟随美联储进入加息轨道的第一家主要央行。</w:t>
      </w:r>
    </w:p>
    <w:p w:rsidR="00BF4C18" w:rsidRPr="009D1CDE" w:rsidRDefault="007F33E8" w:rsidP="00296418">
      <w:pPr>
        <w:adjustRightInd w:val="0"/>
        <w:snapToGrid w:val="0"/>
        <w:spacing w:line="520" w:lineRule="exact"/>
        <w:ind w:firstLineChars="200" w:firstLine="602"/>
        <w:jc w:val="left"/>
        <w:rPr>
          <w:rFonts w:ascii="仿宋_GB2312" w:eastAsia="仿宋_GB2312" w:hAnsi="仿宋" w:cs="仿宋"/>
          <w:b/>
          <w:bCs/>
          <w:color w:val="000000" w:themeColor="text1"/>
          <w:sz w:val="30"/>
          <w:szCs w:val="30"/>
        </w:rPr>
      </w:pPr>
      <w:r w:rsidRPr="009D1CDE">
        <w:rPr>
          <w:rFonts w:ascii="仿宋_GB2312" w:eastAsia="仿宋_GB2312" w:hAnsi="仿宋" w:cs="仿宋" w:hint="eastAsia"/>
          <w:b/>
          <w:bCs/>
          <w:color w:val="000000" w:themeColor="text1"/>
          <w:sz w:val="30"/>
          <w:szCs w:val="30"/>
        </w:rPr>
        <w:t>二、国内资本市场热点问题</w:t>
      </w:r>
    </w:p>
    <w:p w:rsidR="00BF4C18" w:rsidRPr="00296418" w:rsidRDefault="001B1D96" w:rsidP="00296418">
      <w:pPr>
        <w:adjustRightInd w:val="0"/>
        <w:snapToGrid w:val="0"/>
        <w:spacing w:line="520" w:lineRule="exact"/>
        <w:ind w:firstLineChars="196" w:firstLine="590"/>
        <w:rPr>
          <w:rFonts w:ascii="仿宋_GB2312" w:eastAsia="仿宋_GB2312" w:hAnsi="宋体" w:cs="宋体"/>
          <w:b/>
          <w:bCs/>
          <w:color w:val="000000" w:themeColor="text1"/>
          <w:kern w:val="0"/>
          <w:sz w:val="30"/>
          <w:szCs w:val="30"/>
        </w:rPr>
      </w:pPr>
      <w:r>
        <w:rPr>
          <w:rFonts w:ascii="仿宋_GB2312" w:eastAsia="仿宋_GB2312" w:hAnsi="宋体" w:cs="宋体" w:hint="eastAsia"/>
          <w:b/>
          <w:bCs/>
          <w:color w:val="000000" w:themeColor="text1"/>
          <w:kern w:val="0"/>
          <w:sz w:val="30"/>
          <w:szCs w:val="30"/>
        </w:rPr>
        <w:t>（一）</w:t>
      </w:r>
      <w:r w:rsidR="007F33E8" w:rsidRPr="00296418">
        <w:rPr>
          <w:rFonts w:ascii="仿宋_GB2312" w:eastAsia="仿宋_GB2312" w:hAnsi="宋体" w:cs="宋体" w:hint="eastAsia"/>
          <w:b/>
          <w:bCs/>
          <w:color w:val="000000" w:themeColor="text1"/>
          <w:kern w:val="0"/>
          <w:sz w:val="30"/>
          <w:szCs w:val="30"/>
        </w:rPr>
        <w:t>央行参事：下半年货币政策将紧中趋缓</w:t>
      </w:r>
    </w:p>
    <w:p w:rsidR="00BF4C18" w:rsidRPr="00CB6167" w:rsidRDefault="007F33E8" w:rsidP="00296418">
      <w:pPr>
        <w:adjustRightInd w:val="0"/>
        <w:snapToGrid w:val="0"/>
        <w:spacing w:line="520" w:lineRule="exact"/>
        <w:ind w:firstLineChars="200" w:firstLine="600"/>
        <w:jc w:val="left"/>
        <w:rPr>
          <w:rFonts w:ascii="仿宋_GB2312" w:eastAsia="仿宋_GB2312" w:hAnsi="宋体" w:cs="宋体"/>
          <w:color w:val="000000" w:themeColor="text1"/>
          <w:kern w:val="0"/>
          <w:sz w:val="30"/>
          <w:szCs w:val="30"/>
        </w:rPr>
      </w:pPr>
      <w:r w:rsidRPr="00296418">
        <w:rPr>
          <w:rFonts w:ascii="仿宋_GB2312" w:eastAsia="仿宋_GB2312" w:hAnsi="宋体" w:cs="宋体" w:hint="eastAsia"/>
          <w:color w:val="000000" w:themeColor="text1"/>
          <w:kern w:val="0"/>
          <w:sz w:val="30"/>
          <w:szCs w:val="30"/>
        </w:rPr>
        <w:t>8月15</w:t>
      </w:r>
      <w:r w:rsidR="001B1D96">
        <w:rPr>
          <w:rFonts w:ascii="仿宋_GB2312" w:eastAsia="仿宋_GB2312" w:hAnsi="宋体" w:cs="宋体" w:hint="eastAsia"/>
          <w:color w:val="000000" w:themeColor="text1"/>
          <w:kern w:val="0"/>
          <w:sz w:val="30"/>
          <w:szCs w:val="30"/>
        </w:rPr>
        <w:t>日，央行</w:t>
      </w:r>
      <w:r w:rsidRPr="00296418">
        <w:rPr>
          <w:rFonts w:ascii="仿宋_GB2312" w:eastAsia="仿宋_GB2312" w:hAnsi="宋体" w:cs="宋体" w:hint="eastAsia"/>
          <w:color w:val="000000" w:themeColor="text1"/>
          <w:kern w:val="0"/>
          <w:sz w:val="30"/>
          <w:szCs w:val="30"/>
        </w:rPr>
        <w:t>参事盛松成表示，下半年货币政策或紧中趋缓，金融市场利率一般不会再上升，</w:t>
      </w:r>
      <w:proofErr w:type="gramStart"/>
      <w:r w:rsidRPr="00296418">
        <w:rPr>
          <w:rFonts w:ascii="仿宋_GB2312" w:eastAsia="仿宋_GB2312" w:hAnsi="宋体" w:cs="宋体" w:hint="eastAsia"/>
          <w:color w:val="000000" w:themeColor="text1"/>
          <w:kern w:val="0"/>
          <w:sz w:val="30"/>
          <w:szCs w:val="30"/>
        </w:rPr>
        <w:t>而降准释放</w:t>
      </w:r>
      <w:proofErr w:type="gramEnd"/>
      <w:r w:rsidRPr="00296418">
        <w:rPr>
          <w:rFonts w:ascii="仿宋_GB2312" w:eastAsia="仿宋_GB2312" w:hAnsi="宋体" w:cs="宋体" w:hint="eastAsia"/>
          <w:color w:val="000000" w:themeColor="text1"/>
          <w:kern w:val="0"/>
          <w:sz w:val="30"/>
          <w:szCs w:val="30"/>
        </w:rPr>
        <w:t>的信号意义太浓，央行更乐</w:t>
      </w:r>
      <w:r w:rsidRPr="00DD1E81">
        <w:rPr>
          <w:rFonts w:ascii="仿宋_GB2312" w:eastAsia="仿宋_GB2312" w:hAnsi="宋体" w:cs="宋体" w:hint="eastAsia"/>
          <w:color w:val="000000" w:themeColor="text1"/>
          <w:kern w:val="0"/>
          <w:sz w:val="30"/>
          <w:szCs w:val="30"/>
        </w:rPr>
        <w:t>于通过其他手段而</w:t>
      </w:r>
      <w:proofErr w:type="gramStart"/>
      <w:r w:rsidRPr="00DD1E81">
        <w:rPr>
          <w:rFonts w:ascii="仿宋_GB2312" w:eastAsia="仿宋_GB2312" w:hAnsi="宋体" w:cs="宋体" w:hint="eastAsia"/>
          <w:color w:val="000000" w:themeColor="text1"/>
          <w:kern w:val="0"/>
          <w:sz w:val="30"/>
          <w:szCs w:val="30"/>
        </w:rPr>
        <w:t>非降准来</w:t>
      </w:r>
      <w:proofErr w:type="gramEnd"/>
      <w:r w:rsidR="009D1CDE" w:rsidRPr="00DD1E81">
        <w:rPr>
          <w:rFonts w:ascii="仿宋_GB2312" w:eastAsia="仿宋_GB2312" w:hAnsi="宋体" w:cs="宋体" w:hint="eastAsia"/>
          <w:color w:val="000000" w:themeColor="text1"/>
          <w:kern w:val="0"/>
          <w:sz w:val="30"/>
          <w:szCs w:val="30"/>
        </w:rPr>
        <w:t>达到增加货币投放的目的。盛松成表示：</w:t>
      </w:r>
      <w:r w:rsidRPr="00DD1E81">
        <w:rPr>
          <w:rFonts w:ascii="仿宋_GB2312" w:eastAsia="仿宋_GB2312" w:hAnsi="宋体" w:cs="宋体" w:hint="eastAsia"/>
          <w:color w:val="000000" w:themeColor="text1"/>
          <w:kern w:val="0"/>
          <w:sz w:val="30"/>
          <w:szCs w:val="30"/>
        </w:rPr>
        <w:t>“下半年利率一般不会继续上行，而是较为平稳甚至小幅下行，利率短期波动的幅度会比上半年小。下半年</w:t>
      </w:r>
      <w:r w:rsidRPr="00CB6167">
        <w:rPr>
          <w:rFonts w:ascii="仿宋_GB2312" w:eastAsia="仿宋_GB2312" w:hAnsi="宋体" w:cs="宋体" w:hint="eastAsia"/>
          <w:color w:val="000000" w:themeColor="text1"/>
          <w:kern w:val="0"/>
          <w:sz w:val="30"/>
          <w:szCs w:val="30"/>
        </w:rPr>
        <w:t>市场流动性可能仍处于</w:t>
      </w:r>
      <w:r w:rsidR="00DD1E81" w:rsidRPr="00CB6167">
        <w:rPr>
          <w:rFonts w:ascii="仿宋_GB2312" w:eastAsia="仿宋_GB2312" w:hAnsi="宋体" w:cs="宋体" w:hint="eastAsia"/>
          <w:color w:val="000000" w:themeColor="text1"/>
          <w:kern w:val="0"/>
          <w:sz w:val="30"/>
          <w:szCs w:val="30"/>
        </w:rPr>
        <w:t>紧平衡状态，不会大幅宽松，但也不会再趋紧，而是会有所缓和。”</w:t>
      </w:r>
      <w:r w:rsidRPr="00CB6167">
        <w:rPr>
          <w:rFonts w:ascii="仿宋_GB2312" w:eastAsia="仿宋_GB2312" w:hAnsi="宋体" w:cs="宋体" w:hint="eastAsia"/>
          <w:color w:val="000000" w:themeColor="text1"/>
          <w:kern w:val="0"/>
          <w:sz w:val="30"/>
          <w:szCs w:val="30"/>
        </w:rPr>
        <w:t>央行在第二季度的货币政策执行报告中指出，下一步将继续实施稳健中性的货币政策，综合运用价、</w:t>
      </w:r>
      <w:proofErr w:type="gramStart"/>
      <w:r w:rsidRPr="00CB6167">
        <w:rPr>
          <w:rFonts w:ascii="仿宋_GB2312" w:eastAsia="仿宋_GB2312" w:hAnsi="宋体" w:cs="宋体" w:hint="eastAsia"/>
          <w:color w:val="000000" w:themeColor="text1"/>
          <w:kern w:val="0"/>
          <w:sz w:val="30"/>
          <w:szCs w:val="30"/>
        </w:rPr>
        <w:t>量工具</w:t>
      </w:r>
      <w:proofErr w:type="gramEnd"/>
      <w:r w:rsidRPr="00CB6167">
        <w:rPr>
          <w:rFonts w:ascii="仿宋_GB2312" w:eastAsia="仿宋_GB2312" w:hAnsi="宋体" w:cs="宋体" w:hint="eastAsia"/>
          <w:color w:val="000000" w:themeColor="text1"/>
          <w:kern w:val="0"/>
          <w:sz w:val="30"/>
          <w:szCs w:val="30"/>
        </w:rPr>
        <w:t>和宏观审慎政策加强预调微调，调节好货币闸门，削峰填谷维护流动性基本稳定。</w:t>
      </w:r>
    </w:p>
    <w:p w:rsidR="00BF4C18" w:rsidRPr="00CB6167" w:rsidRDefault="00DD1E81" w:rsidP="00296418">
      <w:pPr>
        <w:spacing w:line="520" w:lineRule="exact"/>
        <w:ind w:firstLineChars="200" w:firstLine="602"/>
        <w:rPr>
          <w:rFonts w:ascii="仿宋_GB2312" w:eastAsia="仿宋_GB2312"/>
          <w:b/>
          <w:bCs/>
          <w:color w:val="000000" w:themeColor="text1"/>
          <w:sz w:val="30"/>
          <w:szCs w:val="30"/>
        </w:rPr>
      </w:pPr>
      <w:r w:rsidRPr="00CB6167">
        <w:rPr>
          <w:rFonts w:ascii="仿宋_GB2312" w:eastAsia="仿宋_GB2312" w:hint="eastAsia"/>
          <w:b/>
          <w:bCs/>
          <w:color w:val="000000" w:themeColor="text1"/>
          <w:sz w:val="30"/>
          <w:szCs w:val="30"/>
        </w:rPr>
        <w:t>（二）</w:t>
      </w:r>
      <w:proofErr w:type="gramStart"/>
      <w:r w:rsidRPr="00CB6167">
        <w:rPr>
          <w:rFonts w:ascii="仿宋_GB2312" w:eastAsia="仿宋_GB2312" w:hint="eastAsia"/>
          <w:b/>
          <w:bCs/>
          <w:color w:val="000000" w:themeColor="text1"/>
          <w:sz w:val="30"/>
          <w:szCs w:val="30"/>
        </w:rPr>
        <w:t>发改委</w:t>
      </w:r>
      <w:proofErr w:type="gramEnd"/>
      <w:r w:rsidR="007F33E8" w:rsidRPr="00CB6167">
        <w:rPr>
          <w:rFonts w:ascii="仿宋_GB2312" w:eastAsia="仿宋_GB2312" w:hint="eastAsia"/>
          <w:b/>
          <w:bCs/>
          <w:color w:val="000000" w:themeColor="text1"/>
          <w:sz w:val="30"/>
          <w:szCs w:val="30"/>
        </w:rPr>
        <w:t>：</w:t>
      </w:r>
      <w:r w:rsidR="00CB6167" w:rsidRPr="00CB6167">
        <w:rPr>
          <w:rFonts w:ascii="仿宋_GB2312" w:eastAsia="仿宋_GB2312" w:hint="eastAsia"/>
          <w:b/>
          <w:bCs/>
          <w:color w:val="000000" w:themeColor="text1"/>
          <w:sz w:val="30"/>
          <w:szCs w:val="30"/>
        </w:rPr>
        <w:t>要</w:t>
      </w:r>
      <w:r w:rsidR="007F33E8" w:rsidRPr="00CB6167">
        <w:rPr>
          <w:rFonts w:ascii="仿宋_GB2312" w:eastAsia="仿宋_GB2312" w:hint="eastAsia"/>
          <w:b/>
          <w:bCs/>
          <w:color w:val="000000" w:themeColor="text1"/>
          <w:sz w:val="30"/>
          <w:szCs w:val="30"/>
        </w:rPr>
        <w:t>推进“一带一路”建设金融创新</w:t>
      </w:r>
    </w:p>
    <w:p w:rsidR="00BF4C18" w:rsidRPr="00CB6167" w:rsidRDefault="00CB6167" w:rsidP="00296418">
      <w:pPr>
        <w:spacing w:line="520" w:lineRule="exact"/>
        <w:ind w:firstLineChars="200" w:firstLine="600"/>
        <w:rPr>
          <w:rFonts w:ascii="仿宋_GB2312" w:eastAsia="仿宋_GB2312"/>
          <w:color w:val="000000" w:themeColor="text1"/>
          <w:sz w:val="30"/>
          <w:szCs w:val="30"/>
        </w:rPr>
      </w:pPr>
      <w:r w:rsidRPr="00CB6167">
        <w:rPr>
          <w:rFonts w:ascii="仿宋_GB2312" w:eastAsia="仿宋_GB2312" w:hint="eastAsia"/>
          <w:color w:val="000000" w:themeColor="text1"/>
          <w:sz w:val="30"/>
          <w:szCs w:val="30"/>
        </w:rPr>
        <w:t>8月18日，</w:t>
      </w:r>
      <w:proofErr w:type="gramStart"/>
      <w:r w:rsidR="007F33E8" w:rsidRPr="00CB6167">
        <w:rPr>
          <w:rFonts w:ascii="仿宋_GB2312" w:eastAsia="仿宋_GB2312" w:hint="eastAsia"/>
          <w:color w:val="000000" w:themeColor="text1"/>
          <w:sz w:val="30"/>
          <w:szCs w:val="30"/>
        </w:rPr>
        <w:t>发改委</w:t>
      </w:r>
      <w:proofErr w:type="gramEnd"/>
      <w:r w:rsidRPr="00CB6167">
        <w:rPr>
          <w:rFonts w:ascii="仿宋_GB2312" w:eastAsia="仿宋_GB2312" w:hint="eastAsia"/>
          <w:color w:val="000000" w:themeColor="text1"/>
          <w:sz w:val="30"/>
          <w:szCs w:val="30"/>
        </w:rPr>
        <w:t>发布消息称</w:t>
      </w:r>
      <w:r w:rsidR="007F33E8" w:rsidRPr="00CB6167">
        <w:rPr>
          <w:rFonts w:ascii="仿宋_GB2312" w:eastAsia="仿宋_GB2312" w:hint="eastAsia"/>
          <w:color w:val="000000" w:themeColor="text1"/>
          <w:sz w:val="30"/>
          <w:szCs w:val="30"/>
        </w:rPr>
        <w:t>，今年以来，在党中央、国务院的领导下，“一带一路”建设有力有序有效推进，不断取得新进展新成就，正在成为引领我国新时期对外开放的鲜明旗帜。目前，我国已与69个国家和国际组织签署共建“一带一路”合作协议。内容覆盖“五通”各领域。2017年上半年，我国企业对“一带一路”沿线47个国家投资66.1亿美元，比去年同期增加6%。截至2016年底，在“一带一路”沿线20个国家建设了56个经贸合作区，累计投资</w:t>
      </w:r>
      <w:r w:rsidR="007F33E8" w:rsidRPr="00CB6167">
        <w:rPr>
          <w:rFonts w:ascii="仿宋_GB2312" w:eastAsia="仿宋_GB2312" w:hint="eastAsia"/>
          <w:color w:val="000000" w:themeColor="text1"/>
          <w:sz w:val="30"/>
          <w:szCs w:val="30"/>
        </w:rPr>
        <w:lastRenderedPageBreak/>
        <w:t>超过185亿美元。金融机构方面，开发银行、进出口银行在“一带一路”沿线国家发放贷款超过1100亿美元，出口信用保险公司承保“一带一路”沿线国家出口和投资超过3200亿美元，丝路基金对外投资超过60亿美元。9家中资银行在“一带一路”沿线26个国家设立了62家一级分支机构，“一带一路”沿线20个国家金融机构在我国设立了数十家分支机构和代表处。我国与“一带一路”沿线22个国家和地区签署了本币互换协议，总额近1</w:t>
      </w:r>
      <w:proofErr w:type="gramStart"/>
      <w:r w:rsidR="007F33E8" w:rsidRPr="00CB6167">
        <w:rPr>
          <w:rFonts w:ascii="仿宋_GB2312" w:eastAsia="仿宋_GB2312" w:hint="eastAsia"/>
          <w:color w:val="000000" w:themeColor="text1"/>
          <w:sz w:val="30"/>
          <w:szCs w:val="30"/>
        </w:rPr>
        <w:t>万亿</w:t>
      </w:r>
      <w:proofErr w:type="gramEnd"/>
      <w:r w:rsidR="007F33E8" w:rsidRPr="00CB6167">
        <w:rPr>
          <w:rFonts w:ascii="仿宋_GB2312" w:eastAsia="仿宋_GB2312" w:hint="eastAsia"/>
          <w:color w:val="000000" w:themeColor="text1"/>
          <w:sz w:val="30"/>
          <w:szCs w:val="30"/>
        </w:rPr>
        <w:t>元人民币。</w:t>
      </w:r>
    </w:p>
    <w:p w:rsidR="00BF4C18" w:rsidRPr="00CB6167" w:rsidRDefault="007F33E8" w:rsidP="00296418">
      <w:pPr>
        <w:adjustRightInd w:val="0"/>
        <w:snapToGrid w:val="0"/>
        <w:spacing w:line="520" w:lineRule="exact"/>
        <w:ind w:firstLineChars="196" w:firstLine="590"/>
        <w:rPr>
          <w:rFonts w:ascii="仿宋_GB2312" w:eastAsia="仿宋_GB2312" w:hAnsi="宋体" w:cs="宋体"/>
          <w:color w:val="000000" w:themeColor="text1"/>
          <w:kern w:val="0"/>
          <w:sz w:val="30"/>
          <w:szCs w:val="30"/>
        </w:rPr>
      </w:pPr>
      <w:r w:rsidRPr="00CB6167">
        <w:rPr>
          <w:rFonts w:ascii="仿宋_GB2312" w:eastAsia="仿宋_GB2312" w:hint="eastAsia"/>
          <w:b/>
          <w:color w:val="000000" w:themeColor="text1"/>
          <w:sz w:val="30"/>
          <w:szCs w:val="30"/>
        </w:rPr>
        <w:t>（三）</w:t>
      </w:r>
      <w:r w:rsidRPr="00CB6167">
        <w:rPr>
          <w:rFonts w:ascii="仿宋_GB2312" w:eastAsia="仿宋_GB2312" w:hAnsi="宋体" w:cs="宋体" w:hint="eastAsia"/>
          <w:b/>
          <w:color w:val="000000" w:themeColor="text1"/>
          <w:kern w:val="0"/>
          <w:sz w:val="30"/>
          <w:szCs w:val="30"/>
        </w:rPr>
        <w:t>金管局前总裁：内地不急于完全开放资本</w:t>
      </w:r>
      <w:r w:rsidR="00CB6167" w:rsidRPr="00CB6167">
        <w:rPr>
          <w:rFonts w:ascii="仿宋_GB2312" w:eastAsia="仿宋_GB2312" w:hAnsi="宋体" w:cs="宋体" w:hint="eastAsia"/>
          <w:b/>
          <w:color w:val="000000" w:themeColor="text1"/>
          <w:kern w:val="0"/>
          <w:sz w:val="30"/>
          <w:szCs w:val="30"/>
        </w:rPr>
        <w:t>账</w:t>
      </w:r>
      <w:r w:rsidR="0094157E">
        <w:rPr>
          <w:rFonts w:ascii="仿宋_GB2312" w:eastAsia="仿宋_GB2312" w:hAnsi="宋体" w:cs="宋体" w:hint="eastAsia"/>
          <w:b/>
          <w:color w:val="000000" w:themeColor="text1"/>
          <w:kern w:val="0"/>
          <w:sz w:val="30"/>
          <w:szCs w:val="30"/>
        </w:rPr>
        <w:t>户</w:t>
      </w:r>
    </w:p>
    <w:p w:rsidR="00BF4C18" w:rsidRPr="00CB6167" w:rsidRDefault="007F33E8" w:rsidP="00296418">
      <w:pPr>
        <w:adjustRightInd w:val="0"/>
        <w:snapToGrid w:val="0"/>
        <w:spacing w:line="520" w:lineRule="exact"/>
        <w:ind w:firstLineChars="200" w:firstLine="600"/>
        <w:jc w:val="left"/>
        <w:rPr>
          <w:rFonts w:ascii="仿宋_GB2312" w:eastAsia="仿宋_GB2312" w:hAnsi="宋体" w:cs="宋体"/>
          <w:color w:val="000000" w:themeColor="text1"/>
          <w:kern w:val="0"/>
          <w:sz w:val="30"/>
          <w:szCs w:val="30"/>
        </w:rPr>
      </w:pPr>
      <w:r w:rsidRPr="00CB6167">
        <w:rPr>
          <w:rFonts w:ascii="仿宋_GB2312" w:eastAsia="仿宋_GB2312" w:hAnsi="宋体" w:cs="宋体" w:hint="eastAsia"/>
          <w:color w:val="000000" w:themeColor="text1"/>
          <w:kern w:val="0"/>
          <w:sz w:val="30"/>
          <w:szCs w:val="30"/>
        </w:rPr>
        <w:t>8月17日</w:t>
      </w:r>
      <w:r w:rsidR="00CB6167" w:rsidRPr="00CB6167">
        <w:rPr>
          <w:rFonts w:ascii="仿宋_GB2312" w:eastAsia="仿宋_GB2312" w:hAnsi="宋体" w:cs="宋体" w:hint="eastAsia"/>
          <w:color w:val="000000" w:themeColor="text1"/>
          <w:kern w:val="0"/>
          <w:sz w:val="30"/>
          <w:szCs w:val="30"/>
        </w:rPr>
        <w:t>，香港行政会议成员及金管局前任总裁任志刚发表最新《观点》文章表示</w:t>
      </w:r>
      <w:r w:rsidRPr="00CB6167">
        <w:rPr>
          <w:rFonts w:ascii="仿宋_GB2312" w:eastAsia="仿宋_GB2312" w:hAnsi="宋体" w:cs="宋体" w:hint="eastAsia"/>
          <w:color w:val="000000" w:themeColor="text1"/>
          <w:kern w:val="0"/>
          <w:sz w:val="30"/>
          <w:szCs w:val="30"/>
        </w:rPr>
        <w:t>，</w:t>
      </w:r>
      <w:r w:rsidR="00CB6167" w:rsidRPr="00CB6167">
        <w:rPr>
          <w:rFonts w:ascii="仿宋_GB2312" w:eastAsia="仿宋_GB2312" w:hAnsi="宋体" w:cs="宋体" w:hint="eastAsia"/>
          <w:color w:val="000000" w:themeColor="text1"/>
          <w:kern w:val="0"/>
          <w:sz w:val="30"/>
          <w:szCs w:val="30"/>
        </w:rPr>
        <w:t>现时国际金融错综复杂，内地仍需要一定程度的资本管制，以有效维持货币和金融稳定。他认为</w:t>
      </w:r>
      <w:r w:rsidR="00CB6167">
        <w:rPr>
          <w:rFonts w:ascii="仿宋_GB2312" w:eastAsia="仿宋_GB2312" w:hAnsi="宋体" w:cs="宋体" w:hint="eastAsia"/>
          <w:color w:val="000000" w:themeColor="text1"/>
          <w:kern w:val="0"/>
          <w:sz w:val="30"/>
          <w:szCs w:val="30"/>
        </w:rPr>
        <w:t>，内地不会</w:t>
      </w:r>
      <w:r w:rsidR="00CB6167" w:rsidRPr="00CB6167">
        <w:rPr>
          <w:rFonts w:ascii="仿宋_GB2312" w:eastAsia="仿宋_GB2312" w:hAnsi="宋体" w:cs="宋体" w:hint="eastAsia"/>
          <w:color w:val="000000" w:themeColor="text1"/>
          <w:kern w:val="0"/>
          <w:sz w:val="30"/>
          <w:szCs w:val="30"/>
        </w:rPr>
        <w:t>急于完全开放资本账</w:t>
      </w:r>
      <w:r w:rsidR="0094157E">
        <w:rPr>
          <w:rFonts w:ascii="仿宋_GB2312" w:eastAsia="仿宋_GB2312" w:hAnsi="宋体" w:cs="宋体" w:hint="eastAsia"/>
          <w:color w:val="000000" w:themeColor="text1"/>
          <w:kern w:val="0"/>
          <w:sz w:val="30"/>
          <w:szCs w:val="30"/>
        </w:rPr>
        <w:t>户</w:t>
      </w:r>
      <w:r w:rsidRPr="00CB6167">
        <w:rPr>
          <w:rFonts w:ascii="仿宋_GB2312" w:eastAsia="仿宋_GB2312" w:hAnsi="宋体" w:cs="宋体" w:hint="eastAsia"/>
          <w:color w:val="000000" w:themeColor="text1"/>
          <w:kern w:val="0"/>
          <w:sz w:val="30"/>
          <w:szCs w:val="30"/>
        </w:rPr>
        <w:t>，希望香港可以把握时机，在内地金融完全开放前，取得一定的市场份额，成为国家不可或缺的国际金融中心。</w:t>
      </w:r>
    </w:p>
    <w:p w:rsidR="00BF4C18" w:rsidRPr="00CB6167" w:rsidRDefault="007F33E8" w:rsidP="00296418">
      <w:pPr>
        <w:adjustRightInd w:val="0"/>
        <w:snapToGrid w:val="0"/>
        <w:spacing w:line="520" w:lineRule="exact"/>
        <w:ind w:firstLineChars="200" w:firstLine="602"/>
        <w:jc w:val="left"/>
        <w:rPr>
          <w:rFonts w:ascii="仿宋_GB2312" w:eastAsia="仿宋_GB2312" w:hAnsi="仿宋_GB2312" w:cs="仿宋_GB2312"/>
          <w:b/>
          <w:bCs/>
          <w:color w:val="000000" w:themeColor="text1"/>
          <w:sz w:val="30"/>
          <w:szCs w:val="30"/>
        </w:rPr>
      </w:pPr>
      <w:r w:rsidRPr="00CB6167">
        <w:rPr>
          <w:rFonts w:ascii="仿宋_GB2312" w:eastAsia="仿宋_GB2312" w:hAnsi="仿宋_GB2312" w:cs="仿宋_GB2312" w:hint="eastAsia"/>
          <w:b/>
          <w:bCs/>
          <w:color w:val="000000" w:themeColor="text1"/>
          <w:sz w:val="30"/>
          <w:szCs w:val="30"/>
        </w:rPr>
        <w:t>（四）商务部：对美对华启动301调查强烈不满</w:t>
      </w:r>
    </w:p>
    <w:p w:rsidR="00C15B2D" w:rsidRPr="00CB6167" w:rsidRDefault="007F33E8" w:rsidP="00C15B2D">
      <w:pPr>
        <w:pStyle w:val="a5"/>
        <w:spacing w:before="0" w:beforeAutospacing="0" w:after="0" w:afterAutospacing="0" w:line="520" w:lineRule="exact"/>
        <w:ind w:firstLineChars="200" w:firstLine="600"/>
        <w:rPr>
          <w:rFonts w:ascii="仿宋_GB2312" w:eastAsia="仿宋_GB2312" w:hAnsi="仿宋_GB2312" w:cs="仿宋_GB2312"/>
          <w:bCs/>
          <w:color w:val="000000" w:themeColor="text1"/>
          <w:kern w:val="2"/>
          <w:sz w:val="30"/>
          <w:szCs w:val="30"/>
        </w:rPr>
      </w:pPr>
      <w:r w:rsidRPr="00CB6167">
        <w:rPr>
          <w:rFonts w:ascii="仿宋_GB2312" w:eastAsia="仿宋_GB2312" w:hAnsi="仿宋_GB2312" w:cs="仿宋_GB2312" w:hint="eastAsia"/>
          <w:bCs/>
          <w:color w:val="000000" w:themeColor="text1"/>
          <w:kern w:val="2"/>
          <w:sz w:val="30"/>
          <w:szCs w:val="30"/>
        </w:rPr>
        <w:t>据新华社报道，针对美国贸易代表对华启动301调查一事，商务部新闻发言人8月21日发表谈话称，</w:t>
      </w:r>
      <w:proofErr w:type="gramStart"/>
      <w:r w:rsidRPr="00CB6167">
        <w:rPr>
          <w:rFonts w:ascii="仿宋_GB2312" w:eastAsia="仿宋_GB2312" w:hAnsi="仿宋_GB2312" w:cs="仿宋_GB2312" w:hint="eastAsia"/>
          <w:bCs/>
          <w:color w:val="000000" w:themeColor="text1"/>
          <w:kern w:val="2"/>
          <w:sz w:val="30"/>
          <w:szCs w:val="30"/>
        </w:rPr>
        <w:t>美方做法</w:t>
      </w:r>
      <w:proofErr w:type="gramEnd"/>
      <w:r w:rsidRPr="00CB6167">
        <w:rPr>
          <w:rFonts w:ascii="仿宋_GB2312" w:eastAsia="仿宋_GB2312" w:hAnsi="仿宋_GB2312" w:cs="仿宋_GB2312" w:hint="eastAsia"/>
          <w:bCs/>
          <w:color w:val="000000" w:themeColor="text1"/>
          <w:kern w:val="2"/>
          <w:sz w:val="30"/>
          <w:szCs w:val="30"/>
        </w:rPr>
        <w:t>无视世贸组织规则，依据国内法对华发起贸易调查，是不负责任的，中方对这种单边主义、保护主义的做法表示强烈不满。该新闻发言人指出，美方在此时对华发起301调查，对外发出错误信号，必将遭到包括美国产业界在内的国际社会的坚决反对。中方敦促美方尊重事实，尊重双方业界希望加强合作的强烈愿望，尊重多边贸易规则，审慎行事。中方将密切关注调查进展，并将采取所有适当措施，坚决捍卫中方合法权益。</w:t>
      </w:r>
    </w:p>
    <w:p w:rsidR="00BF4C18" w:rsidRPr="00CB6167" w:rsidRDefault="007F33E8" w:rsidP="00C15B2D">
      <w:pPr>
        <w:pStyle w:val="a5"/>
        <w:spacing w:before="0" w:beforeAutospacing="0" w:after="0" w:afterAutospacing="0" w:line="520" w:lineRule="exact"/>
        <w:ind w:firstLineChars="200" w:firstLine="602"/>
        <w:rPr>
          <w:rFonts w:ascii="仿宋_GB2312" w:eastAsia="仿宋_GB2312" w:hAnsi="仿宋_GB2312" w:cs="仿宋_GB2312"/>
          <w:bCs/>
          <w:color w:val="000000" w:themeColor="text1"/>
          <w:kern w:val="2"/>
          <w:sz w:val="30"/>
          <w:szCs w:val="30"/>
        </w:rPr>
      </w:pPr>
      <w:r w:rsidRPr="00CB6167">
        <w:rPr>
          <w:rFonts w:ascii="仿宋_GB2312" w:eastAsia="仿宋_GB2312" w:hAnsi="宋体" w:cs="宋体" w:hint="eastAsia"/>
          <w:b/>
          <w:bCs/>
          <w:color w:val="000000" w:themeColor="text1"/>
          <w:sz w:val="30"/>
          <w:szCs w:val="30"/>
        </w:rPr>
        <w:t>（五）</w:t>
      </w:r>
      <w:r w:rsidR="00CB6167" w:rsidRPr="00CB6167">
        <w:rPr>
          <w:rFonts w:ascii="仿宋_GB2312" w:eastAsia="仿宋_GB2312" w:hAnsi="宋体" w:cs="宋体" w:hint="eastAsia"/>
          <w:b/>
          <w:bCs/>
          <w:color w:val="000000" w:themeColor="text1"/>
          <w:sz w:val="30"/>
          <w:szCs w:val="30"/>
        </w:rPr>
        <w:t>中国</w:t>
      </w:r>
      <w:r w:rsidRPr="00CB6167">
        <w:rPr>
          <w:rFonts w:ascii="仿宋_GB2312" w:eastAsia="仿宋_GB2312" w:hAnsi="宋体" w:cs="宋体" w:hint="eastAsia"/>
          <w:b/>
          <w:bCs/>
          <w:color w:val="000000" w:themeColor="text1"/>
          <w:sz w:val="30"/>
          <w:szCs w:val="30"/>
        </w:rPr>
        <w:t>7月M2同比</w:t>
      </w:r>
      <w:proofErr w:type="gramStart"/>
      <w:r w:rsidRPr="00CB6167">
        <w:rPr>
          <w:rFonts w:ascii="仿宋_GB2312" w:eastAsia="仿宋_GB2312" w:hAnsi="宋体" w:cs="宋体" w:hint="eastAsia"/>
          <w:b/>
          <w:bCs/>
          <w:color w:val="000000" w:themeColor="text1"/>
          <w:sz w:val="30"/>
          <w:szCs w:val="30"/>
        </w:rPr>
        <w:t>增速再</w:t>
      </w:r>
      <w:proofErr w:type="gramEnd"/>
      <w:r w:rsidRPr="00CB6167">
        <w:rPr>
          <w:rFonts w:ascii="仿宋_GB2312" w:eastAsia="仿宋_GB2312" w:hAnsi="宋体" w:cs="宋体" w:hint="eastAsia"/>
          <w:b/>
          <w:bCs/>
          <w:color w:val="000000" w:themeColor="text1"/>
          <w:sz w:val="30"/>
          <w:szCs w:val="30"/>
        </w:rPr>
        <w:t>创新低</w:t>
      </w:r>
    </w:p>
    <w:p w:rsidR="00BF4C18" w:rsidRPr="00CB6167" w:rsidRDefault="007F33E8" w:rsidP="00296418">
      <w:pPr>
        <w:adjustRightInd w:val="0"/>
        <w:snapToGrid w:val="0"/>
        <w:spacing w:line="520" w:lineRule="exact"/>
        <w:ind w:firstLineChars="200" w:firstLine="600"/>
        <w:jc w:val="left"/>
        <w:rPr>
          <w:rFonts w:ascii="仿宋_GB2312" w:eastAsia="仿宋_GB2312" w:hAnsi="仿宋" w:cs="仿宋"/>
          <w:color w:val="000000" w:themeColor="text1"/>
          <w:sz w:val="30"/>
          <w:szCs w:val="30"/>
        </w:rPr>
      </w:pPr>
      <w:r w:rsidRPr="00CB6167">
        <w:rPr>
          <w:rFonts w:ascii="仿宋_GB2312" w:eastAsia="仿宋_GB2312" w:hAnsi="宋体" w:cs="宋体" w:hint="eastAsia"/>
          <w:color w:val="000000" w:themeColor="text1"/>
          <w:kern w:val="0"/>
          <w:sz w:val="30"/>
          <w:szCs w:val="30"/>
        </w:rPr>
        <w:lastRenderedPageBreak/>
        <w:t>8月15</w:t>
      </w:r>
      <w:r w:rsidR="00CB6167" w:rsidRPr="00CB6167">
        <w:rPr>
          <w:rFonts w:ascii="仿宋_GB2312" w:eastAsia="仿宋_GB2312" w:hAnsi="宋体" w:cs="宋体" w:hint="eastAsia"/>
          <w:color w:val="000000" w:themeColor="text1"/>
          <w:kern w:val="0"/>
          <w:sz w:val="30"/>
          <w:szCs w:val="30"/>
        </w:rPr>
        <w:t>日，央行公布</w:t>
      </w:r>
      <w:r w:rsidRPr="00CB6167">
        <w:rPr>
          <w:rFonts w:ascii="仿宋_GB2312" w:eastAsia="仿宋_GB2312" w:hAnsi="宋体" w:cs="宋体" w:hint="eastAsia"/>
          <w:color w:val="000000" w:themeColor="text1"/>
          <w:kern w:val="0"/>
          <w:sz w:val="30"/>
          <w:szCs w:val="30"/>
        </w:rPr>
        <w:t>数据显示，M2货币供应同比增速自去年11月开始一路下挫，</w:t>
      </w:r>
      <w:r w:rsidR="0094157E" w:rsidRPr="00CB6167" w:rsidDel="0094157E">
        <w:rPr>
          <w:rFonts w:ascii="仿宋_GB2312" w:eastAsia="仿宋_GB2312" w:hAnsi="宋体" w:cs="宋体" w:hint="eastAsia"/>
          <w:color w:val="000000" w:themeColor="text1"/>
          <w:kern w:val="0"/>
          <w:sz w:val="30"/>
          <w:szCs w:val="30"/>
        </w:rPr>
        <w:t xml:space="preserve"> </w:t>
      </w:r>
      <w:r w:rsidRPr="00CB6167">
        <w:rPr>
          <w:rFonts w:ascii="仿宋_GB2312" w:eastAsia="仿宋_GB2312" w:hAnsi="宋体" w:cs="宋体" w:hint="eastAsia"/>
          <w:color w:val="000000" w:themeColor="text1"/>
          <w:kern w:val="0"/>
          <w:sz w:val="30"/>
          <w:szCs w:val="30"/>
        </w:rPr>
        <w:t>7</w:t>
      </w:r>
      <w:r w:rsidR="00CB6167" w:rsidRPr="00CB6167">
        <w:rPr>
          <w:rFonts w:ascii="仿宋_GB2312" w:eastAsia="仿宋_GB2312" w:hAnsi="宋体" w:cs="宋体" w:hint="eastAsia"/>
          <w:color w:val="000000" w:themeColor="text1"/>
          <w:kern w:val="0"/>
          <w:sz w:val="30"/>
          <w:szCs w:val="30"/>
        </w:rPr>
        <w:t>月再度刷新历史最低水平。央行参事盛松成</w:t>
      </w:r>
      <w:r w:rsidRPr="00CB6167">
        <w:rPr>
          <w:rFonts w:ascii="仿宋_GB2312" w:eastAsia="仿宋_GB2312" w:hAnsi="宋体" w:cs="宋体" w:hint="eastAsia"/>
          <w:color w:val="000000" w:themeColor="text1"/>
          <w:kern w:val="0"/>
          <w:sz w:val="30"/>
          <w:szCs w:val="30"/>
        </w:rPr>
        <w:t>表示，社会融资规模增量比新增贷款更适合作为货币政策中介目标，因其</w:t>
      </w:r>
      <w:r w:rsidR="00CB6167" w:rsidRPr="00CB6167">
        <w:rPr>
          <w:rFonts w:ascii="仿宋_GB2312" w:eastAsia="仿宋_GB2312" w:hAnsi="宋体" w:cs="宋体" w:hint="eastAsia"/>
          <w:color w:val="000000" w:themeColor="text1"/>
          <w:kern w:val="0"/>
          <w:sz w:val="30"/>
          <w:szCs w:val="30"/>
        </w:rPr>
        <w:t>统计涵盖了更广泛的融资渠道，</w:t>
      </w:r>
      <w:r w:rsidRPr="00CB6167">
        <w:rPr>
          <w:rFonts w:ascii="仿宋_GB2312" w:eastAsia="仿宋_GB2312" w:hAnsi="宋体" w:cs="宋体" w:hint="eastAsia"/>
          <w:color w:val="000000" w:themeColor="text1"/>
          <w:kern w:val="0"/>
          <w:sz w:val="30"/>
          <w:szCs w:val="30"/>
        </w:rPr>
        <w:t>在衡量整个社会流动性状况的准确性方面，社会融资规模指标可能超过广义货币(M2)。央行此前多次表示，只要实体经济的合理融资需求得到满足，M2增速放缓可能是新常态，市场不必过度解读。</w:t>
      </w:r>
    </w:p>
    <w:p w:rsidR="00BF4C18" w:rsidRPr="00CB6167" w:rsidRDefault="007F33E8" w:rsidP="00296418">
      <w:pPr>
        <w:pStyle w:val="a5"/>
        <w:spacing w:before="0" w:beforeAutospacing="0" w:after="0" w:afterAutospacing="0" w:line="520" w:lineRule="exact"/>
        <w:ind w:firstLineChars="200" w:firstLine="602"/>
        <w:rPr>
          <w:rFonts w:ascii="仿宋_GB2312" w:eastAsia="仿宋_GB2312" w:hAnsi="仿宋_GB2312" w:cs="仿宋_GB2312"/>
          <w:b/>
          <w:color w:val="000000" w:themeColor="text1"/>
          <w:kern w:val="2"/>
          <w:sz w:val="30"/>
          <w:szCs w:val="30"/>
        </w:rPr>
      </w:pPr>
      <w:r w:rsidRPr="00CB6167">
        <w:rPr>
          <w:rFonts w:ascii="仿宋_GB2312" w:eastAsia="仿宋_GB2312" w:hAnsi="仿宋_GB2312" w:cs="仿宋_GB2312" w:hint="eastAsia"/>
          <w:b/>
          <w:color w:val="000000" w:themeColor="text1"/>
          <w:kern w:val="2"/>
          <w:sz w:val="30"/>
          <w:szCs w:val="30"/>
        </w:rPr>
        <w:t>（六）</w:t>
      </w:r>
      <w:r w:rsidR="00CB6167" w:rsidRPr="00CB6167">
        <w:rPr>
          <w:rFonts w:ascii="仿宋_GB2312" w:eastAsia="仿宋_GB2312" w:hAnsi="仿宋_GB2312" w:cs="仿宋_GB2312" w:hint="eastAsia"/>
          <w:b/>
          <w:color w:val="000000" w:themeColor="text1"/>
          <w:kern w:val="2"/>
          <w:sz w:val="30"/>
          <w:szCs w:val="30"/>
        </w:rPr>
        <w:t>中国</w:t>
      </w:r>
      <w:r w:rsidRPr="00CB6167">
        <w:rPr>
          <w:rFonts w:ascii="仿宋_GB2312" w:eastAsia="仿宋_GB2312" w:hAnsi="仿宋_GB2312" w:cs="仿宋_GB2312" w:hint="eastAsia"/>
          <w:b/>
          <w:color w:val="000000" w:themeColor="text1"/>
          <w:kern w:val="2"/>
          <w:sz w:val="30"/>
          <w:szCs w:val="30"/>
        </w:rPr>
        <w:t>连续5个月增持国债再成美国最大海外</w:t>
      </w:r>
      <w:r w:rsidR="004F7989" w:rsidRPr="00CB6167">
        <w:rPr>
          <w:rFonts w:ascii="仿宋_GB2312" w:eastAsia="仿宋_GB2312" w:hAnsi="仿宋_GB2312" w:cs="仿宋_GB2312" w:hint="eastAsia"/>
          <w:b/>
          <w:color w:val="000000" w:themeColor="text1"/>
          <w:kern w:val="2"/>
          <w:sz w:val="30"/>
          <w:szCs w:val="30"/>
        </w:rPr>
        <w:t>“</w:t>
      </w:r>
      <w:r w:rsidRPr="00CB6167">
        <w:rPr>
          <w:rFonts w:ascii="仿宋_GB2312" w:eastAsia="仿宋_GB2312" w:hAnsi="仿宋_GB2312" w:cs="仿宋_GB2312" w:hint="eastAsia"/>
          <w:b/>
          <w:color w:val="000000" w:themeColor="text1"/>
          <w:kern w:val="2"/>
          <w:sz w:val="30"/>
          <w:szCs w:val="30"/>
        </w:rPr>
        <w:t>债主</w:t>
      </w:r>
      <w:r w:rsidR="004F7989" w:rsidRPr="00CB6167">
        <w:rPr>
          <w:rFonts w:ascii="仿宋_GB2312" w:eastAsia="仿宋_GB2312" w:hAnsi="仿宋_GB2312" w:cs="仿宋_GB2312" w:hint="eastAsia"/>
          <w:b/>
          <w:color w:val="000000" w:themeColor="text1"/>
          <w:kern w:val="2"/>
          <w:sz w:val="30"/>
          <w:szCs w:val="30"/>
        </w:rPr>
        <w:t>”</w:t>
      </w:r>
    </w:p>
    <w:p w:rsidR="00BF4C18" w:rsidRPr="00296418" w:rsidRDefault="007F33E8" w:rsidP="00296418">
      <w:pPr>
        <w:pStyle w:val="a5"/>
        <w:spacing w:before="0" w:beforeAutospacing="0" w:after="0" w:afterAutospacing="0" w:line="520" w:lineRule="exact"/>
        <w:ind w:firstLineChars="200" w:firstLine="600"/>
        <w:rPr>
          <w:rFonts w:ascii="仿宋_GB2312" w:eastAsia="仿宋_GB2312" w:hAnsi="仿宋_GB2312" w:cs="仿宋_GB2312"/>
          <w:bCs/>
          <w:color w:val="000000" w:themeColor="text1"/>
          <w:kern w:val="2"/>
          <w:sz w:val="30"/>
          <w:szCs w:val="30"/>
        </w:rPr>
      </w:pPr>
      <w:r w:rsidRPr="00296418">
        <w:rPr>
          <w:rFonts w:ascii="仿宋_GB2312" w:eastAsia="仿宋_GB2312" w:hAnsi="仿宋_GB2312" w:cs="仿宋_GB2312" w:hint="eastAsia"/>
          <w:bCs/>
          <w:kern w:val="2"/>
          <w:sz w:val="30"/>
          <w:szCs w:val="30"/>
        </w:rPr>
        <w:t>美国财政部8月15</w:t>
      </w:r>
      <w:r w:rsidR="00CB6167">
        <w:rPr>
          <w:rFonts w:ascii="仿宋_GB2312" w:eastAsia="仿宋_GB2312" w:hAnsi="仿宋_GB2312" w:cs="仿宋_GB2312" w:hint="eastAsia"/>
          <w:bCs/>
          <w:kern w:val="2"/>
          <w:sz w:val="30"/>
          <w:szCs w:val="30"/>
        </w:rPr>
        <w:t>日公布</w:t>
      </w:r>
      <w:r w:rsidRPr="00296418">
        <w:rPr>
          <w:rFonts w:ascii="仿宋_GB2312" w:eastAsia="仿宋_GB2312" w:hAnsi="仿宋_GB2312" w:cs="仿宋_GB2312" w:hint="eastAsia"/>
          <w:bCs/>
          <w:kern w:val="2"/>
          <w:sz w:val="30"/>
          <w:szCs w:val="30"/>
        </w:rPr>
        <w:t>数据显示，6月份中国所持有的美国国债、票据和国库券总额达到1.15</w:t>
      </w:r>
      <w:proofErr w:type="gramStart"/>
      <w:r w:rsidRPr="00296418">
        <w:rPr>
          <w:rFonts w:ascii="仿宋_GB2312" w:eastAsia="仿宋_GB2312" w:hAnsi="仿宋_GB2312" w:cs="仿宋_GB2312" w:hint="eastAsia"/>
          <w:bCs/>
          <w:kern w:val="2"/>
          <w:sz w:val="30"/>
          <w:szCs w:val="30"/>
        </w:rPr>
        <w:t>万亿</w:t>
      </w:r>
      <w:proofErr w:type="gramEnd"/>
      <w:r w:rsidRPr="00296418">
        <w:rPr>
          <w:rFonts w:ascii="仿宋_GB2312" w:eastAsia="仿宋_GB2312" w:hAnsi="仿宋_GB2312" w:cs="仿宋_GB2312" w:hint="eastAsia"/>
          <w:bCs/>
          <w:kern w:val="2"/>
          <w:sz w:val="30"/>
          <w:szCs w:val="30"/>
        </w:rPr>
        <w:t>美元（约合7.7</w:t>
      </w:r>
      <w:proofErr w:type="gramStart"/>
      <w:r w:rsidRPr="00296418">
        <w:rPr>
          <w:rFonts w:ascii="仿宋_GB2312" w:eastAsia="仿宋_GB2312" w:hAnsi="仿宋_GB2312" w:cs="仿宋_GB2312" w:hint="eastAsia"/>
          <w:bCs/>
          <w:kern w:val="2"/>
          <w:sz w:val="30"/>
          <w:szCs w:val="30"/>
        </w:rPr>
        <w:t>万亿</w:t>
      </w:r>
      <w:proofErr w:type="gramEnd"/>
      <w:r w:rsidRPr="00296418">
        <w:rPr>
          <w:rFonts w:ascii="仿宋_GB2312" w:eastAsia="仿宋_GB2312" w:hAnsi="仿宋_GB2312" w:cs="仿宋_GB2312" w:hint="eastAsia"/>
          <w:bCs/>
          <w:kern w:val="2"/>
          <w:sz w:val="30"/>
          <w:szCs w:val="30"/>
        </w:rPr>
        <w:t>元人民币），比5月份增加了443亿美元。日本持有美国公债总额为1.09万亿美元，比5月份减少了205亿美元。在连续第5个月增持美国国债之后，中国一举超越日本，成为了持有美国政府债券最多的国家。报道称，中美之间强劲的贸易往来提振了中国对美国主权债务的需求，国内的出口商从中受益。美国杰富瑞投资银行集团高级经济学家托</w:t>
      </w:r>
      <w:r w:rsidRPr="00296418">
        <w:rPr>
          <w:rFonts w:ascii="仿宋_GB2312" w:eastAsia="仿宋_GB2312" w:hAnsi="仿宋_GB2312" w:cs="仿宋_GB2312" w:hint="eastAsia"/>
          <w:bCs/>
          <w:color w:val="000000" w:themeColor="text1"/>
          <w:kern w:val="2"/>
          <w:sz w:val="30"/>
          <w:szCs w:val="30"/>
        </w:rPr>
        <w:t>马斯·西蒙斯分析认为，未来几个月，中国持有的美国国债量可能还会继续增加。</w:t>
      </w:r>
    </w:p>
    <w:p w:rsidR="006105EF" w:rsidRDefault="006105EF">
      <w:pPr>
        <w:spacing w:line="520" w:lineRule="exact"/>
        <w:ind w:firstLineChars="200" w:firstLine="600"/>
        <w:rPr>
          <w:rFonts w:ascii="仿宋_GB2312" w:eastAsia="仿宋_GB2312"/>
          <w:color w:val="FF0000"/>
          <w:sz w:val="30"/>
          <w:szCs w:val="30"/>
        </w:rPr>
      </w:pPr>
    </w:p>
    <w:p w:rsidR="00FF7D0F" w:rsidRDefault="00FF7D0F">
      <w:pPr>
        <w:spacing w:line="520" w:lineRule="exact"/>
        <w:ind w:firstLineChars="200" w:firstLine="600"/>
        <w:rPr>
          <w:rFonts w:ascii="仿宋_GB2312" w:eastAsia="仿宋_GB2312"/>
          <w:color w:val="FF0000"/>
          <w:sz w:val="30"/>
          <w:szCs w:val="30"/>
        </w:rPr>
      </w:pPr>
    </w:p>
    <w:p w:rsidR="006105EF" w:rsidRDefault="00B21530" w:rsidP="00B21530">
      <w:pPr>
        <w:spacing w:line="520" w:lineRule="exact"/>
        <w:ind w:firstLineChars="200" w:firstLine="560"/>
        <w:rPr>
          <w:rFonts w:ascii="仿宋_GB2312" w:eastAsia="仿宋_GB2312"/>
          <w:color w:val="FF0000"/>
          <w:sz w:val="30"/>
          <w:szCs w:val="30"/>
        </w:rPr>
      </w:pPr>
      <w:r>
        <w:rPr>
          <w:rFonts w:ascii="仿宋_GB2312" w:eastAsia="仿宋_GB2312" w:hint="eastAsia"/>
          <w:sz w:val="28"/>
          <w:szCs w:val="28"/>
        </w:rPr>
        <w:t xml:space="preserve">                              </w:t>
      </w:r>
      <w:r>
        <w:rPr>
          <w:rFonts w:ascii="仿宋_GB2312" w:eastAsia="仿宋_GB2312" w:hint="eastAsia"/>
          <w:sz w:val="28"/>
          <w:szCs w:val="28"/>
        </w:rPr>
        <w:t>二〇一七年八月二十八日</w:t>
      </w:r>
    </w:p>
    <w:p w:rsidR="006105EF" w:rsidRDefault="006105EF">
      <w:pPr>
        <w:spacing w:line="520" w:lineRule="exact"/>
        <w:ind w:firstLineChars="200" w:firstLine="600"/>
        <w:rPr>
          <w:rFonts w:ascii="仿宋_GB2312" w:eastAsia="仿宋_GB2312"/>
          <w:color w:val="FF0000"/>
          <w:sz w:val="30"/>
          <w:szCs w:val="30"/>
        </w:rPr>
      </w:pPr>
    </w:p>
    <w:p w:rsidR="004D7F68" w:rsidRPr="00971CB8" w:rsidRDefault="004D7F68">
      <w:pPr>
        <w:spacing w:line="520" w:lineRule="exact"/>
        <w:ind w:firstLineChars="200" w:firstLine="600"/>
        <w:rPr>
          <w:rFonts w:ascii="仿宋_GB2312" w:eastAsia="仿宋_GB2312"/>
          <w:color w:val="FF0000"/>
          <w:sz w:val="30"/>
          <w:szCs w:val="30"/>
        </w:rPr>
      </w:pPr>
    </w:p>
    <w:p w:rsidR="00BF4C18" w:rsidRDefault="00BF4C18">
      <w:pPr>
        <w:pStyle w:val="2"/>
        <w:spacing w:line="500" w:lineRule="exact"/>
        <w:ind w:firstLineChars="0" w:firstLine="0"/>
        <w:rPr>
          <w:rFonts w:cs="Times New Roman"/>
          <w:color w:val="auto"/>
          <w:sz w:val="24"/>
          <w:szCs w:val="24"/>
        </w:rPr>
      </w:pPr>
    </w:p>
    <w:sectPr w:rsidR="00BF4C18" w:rsidSect="00BF4C18">
      <w:footerReference w:type="even" r:id="rId11"/>
      <w:footerReference w:type="default" r:id="rId12"/>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08" w:rsidRDefault="00326E08" w:rsidP="00BF4C18">
      <w:r>
        <w:separator/>
      </w:r>
    </w:p>
  </w:endnote>
  <w:endnote w:type="continuationSeparator" w:id="0">
    <w:p w:rsidR="00326E08" w:rsidRDefault="00326E08" w:rsidP="00BF4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8" w:rsidRDefault="00064527">
    <w:pPr>
      <w:pStyle w:val="a3"/>
      <w:framePr w:wrap="around" w:vAnchor="text" w:hAnchor="margin" w:xAlign="center" w:y="1"/>
      <w:rPr>
        <w:rStyle w:val="a7"/>
      </w:rPr>
    </w:pPr>
    <w:r>
      <w:fldChar w:fldCharType="begin"/>
    </w:r>
    <w:r w:rsidR="007F33E8">
      <w:rPr>
        <w:rStyle w:val="a7"/>
      </w:rPr>
      <w:instrText xml:space="preserve">PAGE  </w:instrText>
    </w:r>
    <w:r>
      <w:fldChar w:fldCharType="end"/>
    </w:r>
  </w:p>
  <w:p w:rsidR="00BF4C18" w:rsidRDefault="00BF4C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18" w:rsidRDefault="00064527">
    <w:pPr>
      <w:pStyle w:val="a3"/>
      <w:framePr w:wrap="around" w:vAnchor="text" w:hAnchor="margin" w:xAlign="center" w:y="1"/>
      <w:rPr>
        <w:rStyle w:val="a7"/>
      </w:rPr>
    </w:pPr>
    <w:r>
      <w:fldChar w:fldCharType="begin"/>
    </w:r>
    <w:r w:rsidR="007F33E8">
      <w:rPr>
        <w:rStyle w:val="a7"/>
      </w:rPr>
      <w:instrText xml:space="preserve">PAGE  </w:instrText>
    </w:r>
    <w:r>
      <w:fldChar w:fldCharType="separate"/>
    </w:r>
    <w:r w:rsidR="00B21530">
      <w:rPr>
        <w:rStyle w:val="a7"/>
        <w:noProof/>
      </w:rPr>
      <w:t>9</w:t>
    </w:r>
    <w:r>
      <w:fldChar w:fldCharType="end"/>
    </w:r>
  </w:p>
  <w:p w:rsidR="00BF4C18" w:rsidRDefault="00BF4C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08" w:rsidRDefault="00326E08" w:rsidP="00BF4C18">
      <w:r>
        <w:separator/>
      </w:r>
    </w:p>
  </w:footnote>
  <w:footnote w:type="continuationSeparator" w:id="0">
    <w:p w:rsidR="00326E08" w:rsidRDefault="00326E08" w:rsidP="00BF4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732D"/>
    <w:multiLevelType w:val="singleLevel"/>
    <w:tmpl w:val="59A2732D"/>
    <w:lvl w:ilvl="0">
      <w:start w:val="14"/>
      <w:numFmt w:val="chineseCounting"/>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C0F62"/>
    <w:rsid w:val="00004255"/>
    <w:rsid w:val="000368F5"/>
    <w:rsid w:val="00064527"/>
    <w:rsid w:val="00093727"/>
    <w:rsid w:val="000943DF"/>
    <w:rsid w:val="000A10FA"/>
    <w:rsid w:val="000E3F37"/>
    <w:rsid w:val="00114A47"/>
    <w:rsid w:val="0017284E"/>
    <w:rsid w:val="001B1D96"/>
    <w:rsid w:val="001E516C"/>
    <w:rsid w:val="00211C8D"/>
    <w:rsid w:val="00214DE8"/>
    <w:rsid w:val="00251385"/>
    <w:rsid w:val="00281ECE"/>
    <w:rsid w:val="00296418"/>
    <w:rsid w:val="002B4400"/>
    <w:rsid w:val="0030029A"/>
    <w:rsid w:val="00304F31"/>
    <w:rsid w:val="00307855"/>
    <w:rsid w:val="00326E08"/>
    <w:rsid w:val="00345E06"/>
    <w:rsid w:val="003629E6"/>
    <w:rsid w:val="003867FB"/>
    <w:rsid w:val="003B3B6E"/>
    <w:rsid w:val="003D4650"/>
    <w:rsid w:val="003D6333"/>
    <w:rsid w:val="0046705B"/>
    <w:rsid w:val="004823FF"/>
    <w:rsid w:val="00493FC9"/>
    <w:rsid w:val="004A62BE"/>
    <w:rsid w:val="004B2CC5"/>
    <w:rsid w:val="004B358E"/>
    <w:rsid w:val="004B3C59"/>
    <w:rsid w:val="004C1868"/>
    <w:rsid w:val="004C3136"/>
    <w:rsid w:val="004D7F68"/>
    <w:rsid w:val="004F594F"/>
    <w:rsid w:val="004F7989"/>
    <w:rsid w:val="00503AFC"/>
    <w:rsid w:val="00532E74"/>
    <w:rsid w:val="00557997"/>
    <w:rsid w:val="006105EF"/>
    <w:rsid w:val="006519AA"/>
    <w:rsid w:val="00660750"/>
    <w:rsid w:val="00664090"/>
    <w:rsid w:val="00693525"/>
    <w:rsid w:val="006E72B2"/>
    <w:rsid w:val="007108FE"/>
    <w:rsid w:val="00742752"/>
    <w:rsid w:val="007F33E8"/>
    <w:rsid w:val="007F514F"/>
    <w:rsid w:val="0081682E"/>
    <w:rsid w:val="0085490D"/>
    <w:rsid w:val="00876B40"/>
    <w:rsid w:val="008D7075"/>
    <w:rsid w:val="009077E5"/>
    <w:rsid w:val="009142F0"/>
    <w:rsid w:val="00934102"/>
    <w:rsid w:val="0094157E"/>
    <w:rsid w:val="00971CB8"/>
    <w:rsid w:val="009A3D93"/>
    <w:rsid w:val="009B0389"/>
    <w:rsid w:val="009B468A"/>
    <w:rsid w:val="009C27FD"/>
    <w:rsid w:val="009C44BB"/>
    <w:rsid w:val="009D1CDE"/>
    <w:rsid w:val="009D500A"/>
    <w:rsid w:val="009D61EF"/>
    <w:rsid w:val="00A027D6"/>
    <w:rsid w:val="00A37FE9"/>
    <w:rsid w:val="00A613DA"/>
    <w:rsid w:val="00A6599E"/>
    <w:rsid w:val="00A65D25"/>
    <w:rsid w:val="00A70E38"/>
    <w:rsid w:val="00A75685"/>
    <w:rsid w:val="00A972E3"/>
    <w:rsid w:val="00AC1F78"/>
    <w:rsid w:val="00AE1CB8"/>
    <w:rsid w:val="00B104E3"/>
    <w:rsid w:val="00B21530"/>
    <w:rsid w:val="00B330A7"/>
    <w:rsid w:val="00B3379F"/>
    <w:rsid w:val="00B81609"/>
    <w:rsid w:val="00B879CC"/>
    <w:rsid w:val="00BB4C0C"/>
    <w:rsid w:val="00BB5E19"/>
    <w:rsid w:val="00BD008A"/>
    <w:rsid w:val="00BF00AC"/>
    <w:rsid w:val="00BF2CC2"/>
    <w:rsid w:val="00BF4C18"/>
    <w:rsid w:val="00C000A6"/>
    <w:rsid w:val="00C15B2D"/>
    <w:rsid w:val="00C44A7F"/>
    <w:rsid w:val="00C62E83"/>
    <w:rsid w:val="00C66D64"/>
    <w:rsid w:val="00CB6167"/>
    <w:rsid w:val="00CF3B6F"/>
    <w:rsid w:val="00CF448F"/>
    <w:rsid w:val="00D00CDE"/>
    <w:rsid w:val="00D57CBA"/>
    <w:rsid w:val="00D65A39"/>
    <w:rsid w:val="00D71E8C"/>
    <w:rsid w:val="00D869CA"/>
    <w:rsid w:val="00DA0DA8"/>
    <w:rsid w:val="00DA6476"/>
    <w:rsid w:val="00DD1E81"/>
    <w:rsid w:val="00DF0688"/>
    <w:rsid w:val="00DF4899"/>
    <w:rsid w:val="00DF605C"/>
    <w:rsid w:val="00E059C8"/>
    <w:rsid w:val="00E21488"/>
    <w:rsid w:val="00E34462"/>
    <w:rsid w:val="00E74E97"/>
    <w:rsid w:val="00EF4E3C"/>
    <w:rsid w:val="00F23D5C"/>
    <w:rsid w:val="00F51D89"/>
    <w:rsid w:val="00FC0F62"/>
    <w:rsid w:val="00FC56BA"/>
    <w:rsid w:val="00FF7D0F"/>
    <w:rsid w:val="1C4F0645"/>
    <w:rsid w:val="248E34FF"/>
    <w:rsid w:val="2BDC5465"/>
    <w:rsid w:val="58534A55"/>
    <w:rsid w:val="7FED4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18"/>
    <w:pPr>
      <w:widowControl w:val="0"/>
      <w:jc w:val="both"/>
    </w:pPr>
    <w:rPr>
      <w:kern w:val="2"/>
      <w:sz w:val="21"/>
    </w:rPr>
  </w:style>
  <w:style w:type="paragraph" w:styleId="1">
    <w:name w:val="heading 1"/>
    <w:basedOn w:val="a"/>
    <w:next w:val="a"/>
    <w:link w:val="1Char"/>
    <w:uiPriority w:val="2"/>
    <w:qFormat/>
    <w:rsid w:val="00BF4C18"/>
    <w:pPr>
      <w:spacing w:before="100" w:beforeAutospacing="1" w:after="100" w:afterAutospacing="1"/>
      <w:jc w:val="left"/>
      <w:outlineLvl w:val="0"/>
    </w:pPr>
    <w:rPr>
      <w:rFonts w:ascii="宋体" w:hAnsi="宋体" w:cs="宋体" w:hint="eastAsia"/>
      <w:b/>
      <w:kern w:val="44"/>
      <w:sz w:val="48"/>
      <w:szCs w:val="48"/>
    </w:rPr>
  </w:style>
  <w:style w:type="paragraph" w:styleId="4">
    <w:name w:val="heading 4"/>
    <w:basedOn w:val="a"/>
    <w:next w:val="a"/>
    <w:link w:val="4Char"/>
    <w:uiPriority w:val="9"/>
    <w:semiHidden/>
    <w:unhideWhenUsed/>
    <w:qFormat/>
    <w:rsid w:val="00971CB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rsid w:val="00BF4C18"/>
    <w:pPr>
      <w:spacing w:line="360" w:lineRule="auto"/>
      <w:ind w:firstLineChars="192" w:firstLine="538"/>
    </w:pPr>
    <w:rPr>
      <w:rFonts w:ascii="仿宋_GB2312" w:eastAsia="仿宋_GB2312" w:hAnsi="宋体" w:cs="仿宋_GB2312"/>
      <w:color w:val="000000"/>
      <w:sz w:val="28"/>
      <w:szCs w:val="28"/>
    </w:rPr>
  </w:style>
  <w:style w:type="paragraph" w:styleId="a3">
    <w:name w:val="footer"/>
    <w:basedOn w:val="a"/>
    <w:link w:val="Char"/>
    <w:rsid w:val="00BF4C18"/>
    <w:pPr>
      <w:tabs>
        <w:tab w:val="center" w:pos="4153"/>
        <w:tab w:val="right" w:pos="8306"/>
      </w:tabs>
      <w:snapToGrid w:val="0"/>
      <w:jc w:val="left"/>
    </w:pPr>
    <w:rPr>
      <w:sz w:val="18"/>
    </w:rPr>
  </w:style>
  <w:style w:type="paragraph" w:styleId="a4">
    <w:name w:val="header"/>
    <w:basedOn w:val="a"/>
    <w:link w:val="Char0"/>
    <w:uiPriority w:val="99"/>
    <w:unhideWhenUsed/>
    <w:qFormat/>
    <w:rsid w:val="00BF4C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F4C18"/>
    <w:pPr>
      <w:spacing w:before="100" w:beforeAutospacing="1" w:after="100" w:afterAutospacing="1"/>
      <w:jc w:val="left"/>
    </w:pPr>
    <w:rPr>
      <w:kern w:val="0"/>
      <w:sz w:val="24"/>
    </w:rPr>
  </w:style>
  <w:style w:type="character" w:styleId="a6">
    <w:name w:val="Strong"/>
    <w:basedOn w:val="a0"/>
    <w:uiPriority w:val="22"/>
    <w:qFormat/>
    <w:rsid w:val="00BF4C18"/>
    <w:rPr>
      <w:b/>
    </w:rPr>
  </w:style>
  <w:style w:type="character" w:styleId="a7">
    <w:name w:val="page number"/>
    <w:basedOn w:val="a0"/>
    <w:rsid w:val="00BF4C18"/>
  </w:style>
  <w:style w:type="character" w:styleId="a8">
    <w:name w:val="FollowedHyperlink"/>
    <w:basedOn w:val="a0"/>
    <w:uiPriority w:val="99"/>
    <w:unhideWhenUsed/>
    <w:rsid w:val="00BF4C18"/>
    <w:rPr>
      <w:color w:val="000000"/>
      <w:u w:val="none"/>
    </w:rPr>
  </w:style>
  <w:style w:type="character" w:styleId="a9">
    <w:name w:val="Hyperlink"/>
    <w:basedOn w:val="a0"/>
    <w:uiPriority w:val="99"/>
    <w:unhideWhenUsed/>
    <w:rsid w:val="00BF4C18"/>
    <w:rPr>
      <w:color w:val="000000"/>
      <w:u w:val="none"/>
    </w:rPr>
  </w:style>
  <w:style w:type="character" w:customStyle="1" w:styleId="2Char">
    <w:name w:val="正文文本缩进 2 Char"/>
    <w:link w:val="2"/>
    <w:locked/>
    <w:rsid w:val="00BF4C18"/>
    <w:rPr>
      <w:rFonts w:ascii="仿宋_GB2312" w:eastAsia="仿宋_GB2312" w:hAnsi="宋体" w:cs="仿宋_GB2312"/>
      <w:color w:val="000000"/>
      <w:sz w:val="28"/>
      <w:szCs w:val="28"/>
    </w:rPr>
  </w:style>
  <w:style w:type="character" w:customStyle="1" w:styleId="2Char1">
    <w:name w:val="正文文本缩进 2 Char1"/>
    <w:basedOn w:val="a0"/>
    <w:link w:val="2"/>
    <w:uiPriority w:val="99"/>
    <w:semiHidden/>
    <w:rsid w:val="00BF4C18"/>
    <w:rPr>
      <w:rFonts w:ascii="Times New Roman" w:eastAsia="宋体" w:hAnsi="Times New Roman" w:cs="Times New Roman"/>
      <w:szCs w:val="20"/>
    </w:rPr>
  </w:style>
  <w:style w:type="character" w:customStyle="1" w:styleId="Char">
    <w:name w:val="页脚 Char"/>
    <w:basedOn w:val="a0"/>
    <w:link w:val="a3"/>
    <w:rsid w:val="00BF4C18"/>
    <w:rPr>
      <w:rFonts w:ascii="Times New Roman" w:eastAsia="宋体" w:hAnsi="Times New Roman" w:cs="Times New Roman"/>
      <w:sz w:val="18"/>
      <w:szCs w:val="20"/>
    </w:rPr>
  </w:style>
  <w:style w:type="character" w:customStyle="1" w:styleId="Char0">
    <w:name w:val="页眉 Char"/>
    <w:basedOn w:val="a0"/>
    <w:link w:val="a4"/>
    <w:uiPriority w:val="99"/>
    <w:semiHidden/>
    <w:rsid w:val="00BF4C18"/>
    <w:rPr>
      <w:rFonts w:ascii="Times New Roman" w:eastAsia="宋体" w:hAnsi="Times New Roman" w:cs="Times New Roman"/>
      <w:sz w:val="18"/>
      <w:szCs w:val="18"/>
    </w:rPr>
  </w:style>
  <w:style w:type="character" w:customStyle="1" w:styleId="moduletitlemenuitemsel">
    <w:name w:val="moduletitle_menuitemsel"/>
    <w:basedOn w:val="a0"/>
    <w:rsid w:val="00BF4C18"/>
    <w:rPr>
      <w:rFonts w:ascii="Tahoma" w:eastAsia="Tahoma" w:hAnsi="Tahoma" w:cs="Tahoma"/>
      <w:b/>
      <w:color w:val="000000"/>
      <w:sz w:val="18"/>
      <w:szCs w:val="18"/>
    </w:rPr>
  </w:style>
  <w:style w:type="character" w:customStyle="1" w:styleId="1Char">
    <w:name w:val="标题 1 Char"/>
    <w:basedOn w:val="a0"/>
    <w:link w:val="1"/>
    <w:uiPriority w:val="2"/>
    <w:rsid w:val="00BF4C18"/>
    <w:rPr>
      <w:rFonts w:ascii="宋体" w:eastAsia="宋体" w:hAnsi="宋体" w:cs="宋体"/>
      <w:b/>
      <w:kern w:val="44"/>
      <w:sz w:val="48"/>
      <w:szCs w:val="48"/>
    </w:rPr>
  </w:style>
  <w:style w:type="paragraph" w:customStyle="1" w:styleId="7">
    <w:name w:val="无间隔7"/>
    <w:qFormat/>
    <w:rsid w:val="00BF4C18"/>
    <w:pPr>
      <w:widowControl w:val="0"/>
      <w:jc w:val="both"/>
    </w:pPr>
    <w:rPr>
      <w:kern w:val="2"/>
      <w:sz w:val="21"/>
      <w:szCs w:val="24"/>
    </w:rPr>
  </w:style>
  <w:style w:type="character" w:customStyle="1" w:styleId="wxlogo">
    <w:name w:val="wxlogo"/>
    <w:basedOn w:val="a0"/>
    <w:rsid w:val="00BF4C18"/>
  </w:style>
  <w:style w:type="character" w:customStyle="1" w:styleId="bdsnopic">
    <w:name w:val="bds_nopic"/>
    <w:basedOn w:val="a0"/>
    <w:rsid w:val="00BF4C18"/>
  </w:style>
  <w:style w:type="character" w:customStyle="1" w:styleId="bdsnopic1">
    <w:name w:val="bds_nopic1"/>
    <w:basedOn w:val="a0"/>
    <w:rsid w:val="00BF4C18"/>
  </w:style>
  <w:style w:type="character" w:customStyle="1" w:styleId="bdsnopic2">
    <w:name w:val="bds_nopic2"/>
    <w:basedOn w:val="a0"/>
    <w:rsid w:val="00BF4C18"/>
  </w:style>
  <w:style w:type="character" w:customStyle="1" w:styleId="red2">
    <w:name w:val="red2"/>
    <w:basedOn w:val="a0"/>
    <w:rsid w:val="00BF4C18"/>
    <w:rPr>
      <w:color w:val="FF0000"/>
    </w:rPr>
  </w:style>
  <w:style w:type="character" w:customStyle="1" w:styleId="wxpop">
    <w:name w:val="wxpop"/>
    <w:basedOn w:val="a0"/>
    <w:rsid w:val="00BF4C18"/>
    <w:rPr>
      <w:vanish/>
      <w:bdr w:val="single" w:sz="6" w:space="0" w:color="E9E9E9"/>
      <w:shd w:val="clear" w:color="auto" w:fill="FFFFFF"/>
    </w:rPr>
  </w:style>
  <w:style w:type="character" w:customStyle="1" w:styleId="wxjiantou">
    <w:name w:val="wxjiantou"/>
    <w:basedOn w:val="a0"/>
    <w:rsid w:val="00BF4C18"/>
    <w:rPr>
      <w:vanish/>
    </w:rPr>
  </w:style>
  <w:style w:type="character" w:customStyle="1" w:styleId="bdsmore">
    <w:name w:val="bds_more"/>
    <w:basedOn w:val="a0"/>
    <w:rsid w:val="00BF4C18"/>
    <w:rPr>
      <w:rFonts w:ascii="宋体" w:eastAsia="宋体" w:hAnsi="宋体" w:cs="宋体" w:hint="eastAsia"/>
      <w:bdr w:val="none" w:sz="0" w:space="0" w:color="auto"/>
    </w:rPr>
  </w:style>
  <w:style w:type="character" w:customStyle="1" w:styleId="bdsmore1">
    <w:name w:val="bds_more1"/>
    <w:basedOn w:val="a0"/>
    <w:rsid w:val="00BF4C18"/>
    <w:rPr>
      <w:bdr w:val="none" w:sz="0" w:space="0" w:color="auto"/>
    </w:rPr>
  </w:style>
  <w:style w:type="character" w:customStyle="1" w:styleId="bdsmore2">
    <w:name w:val="bds_more2"/>
    <w:basedOn w:val="a0"/>
    <w:rsid w:val="00BF4C18"/>
    <w:rPr>
      <w:bdr w:val="none" w:sz="0" w:space="0" w:color="auto"/>
    </w:rPr>
  </w:style>
  <w:style w:type="character" w:customStyle="1" w:styleId="bdsmore3">
    <w:name w:val="bds_more3"/>
    <w:basedOn w:val="a0"/>
    <w:rsid w:val="00BF4C18"/>
    <w:rPr>
      <w:bdr w:val="none" w:sz="0" w:space="0" w:color="auto"/>
    </w:rPr>
  </w:style>
  <w:style w:type="character" w:customStyle="1" w:styleId="bdsmore4">
    <w:name w:val="bds_more4"/>
    <w:basedOn w:val="a0"/>
    <w:rsid w:val="00BF4C18"/>
    <w:rPr>
      <w:bdr w:val="none" w:sz="0" w:space="0" w:color="auto"/>
    </w:rPr>
  </w:style>
  <w:style w:type="character" w:customStyle="1" w:styleId="4Char">
    <w:name w:val="标题 4 Char"/>
    <w:basedOn w:val="a0"/>
    <w:link w:val="4"/>
    <w:uiPriority w:val="9"/>
    <w:semiHidden/>
    <w:rsid w:val="00971CB8"/>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ews.hexun.com/korea/index.html" TargetMode="External"/><Relationship Id="rId4" Type="http://schemas.openxmlformats.org/officeDocument/2006/relationships/styles" Target="styles.xml"/><Relationship Id="rId9" Type="http://schemas.openxmlformats.org/officeDocument/2006/relationships/hyperlink" Target="http://quote.hexun.com/forex/forex.aspx?type=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14EFA-4F40-4FC8-B9B8-B89316CD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打印员</cp:lastModifiedBy>
  <cp:revision>84</cp:revision>
  <dcterms:created xsi:type="dcterms:W3CDTF">2017-08-14T08:57:00Z</dcterms:created>
  <dcterms:modified xsi:type="dcterms:W3CDTF">2017-10-11T08:18:00Z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