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5" w:rsidRPr="00F900DF" w:rsidRDefault="00446A11" w:rsidP="00A33FA5">
      <w:pPr>
        <w:spacing w:line="480" w:lineRule="exact"/>
        <w:rPr>
          <w:rFonts w:ascii="仿宋_GB2312" w:eastAsia="仿宋_GB2312" w:hAnsi="Times New Roman"/>
          <w:spacing w:val="10"/>
          <w:sz w:val="28"/>
          <w:szCs w:val="28"/>
        </w:rPr>
      </w:pPr>
      <w:r>
        <w:rPr>
          <w:rFonts w:ascii="仿宋_GB2312" w:eastAsia="仿宋_GB2312" w:hAnsi="Times New Roman" w:hint="eastAsia"/>
          <w:spacing w:val="10"/>
          <w:sz w:val="28"/>
          <w:szCs w:val="28"/>
        </w:rPr>
        <w:t>附件</w:t>
      </w:r>
      <w:r w:rsidR="00A33FA5" w:rsidRPr="00F900DF">
        <w:rPr>
          <w:rFonts w:ascii="仿宋_GB2312" w:eastAsia="仿宋_GB2312" w:hAnsi="Times New Roman" w:hint="eastAsia"/>
          <w:spacing w:val="10"/>
          <w:sz w:val="28"/>
          <w:szCs w:val="28"/>
        </w:rPr>
        <w:t>2</w:t>
      </w:r>
    </w:p>
    <w:p w:rsidR="00A33FA5" w:rsidRPr="00F900DF" w:rsidRDefault="00A33FA5" w:rsidP="00A33FA5">
      <w:pPr>
        <w:spacing w:line="560" w:lineRule="exact"/>
        <w:jc w:val="center"/>
        <w:rPr>
          <w:rFonts w:ascii="仿宋_GB2312" w:eastAsia="仿宋_GB2312" w:hAnsi="Times New Roman"/>
          <w:b/>
          <w:spacing w:val="10"/>
          <w:sz w:val="28"/>
          <w:szCs w:val="28"/>
        </w:rPr>
      </w:pPr>
      <w:r w:rsidRPr="00F900DF">
        <w:rPr>
          <w:rFonts w:ascii="仿宋_GB2312" w:eastAsia="仿宋_GB2312" w:hAnsi="Times New Roman" w:hint="eastAsia"/>
          <w:b/>
          <w:spacing w:val="10"/>
          <w:sz w:val="28"/>
          <w:szCs w:val="28"/>
        </w:rPr>
        <w:t>境外交易者、境外经纪机构从事境内特定品种期货交易月报表</w:t>
      </w:r>
    </w:p>
    <w:p w:rsidR="00A33FA5" w:rsidRDefault="00A33FA5" w:rsidP="00A33FA5">
      <w:pPr>
        <w:spacing w:line="560" w:lineRule="exact"/>
        <w:jc w:val="center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**年**月</w:t>
      </w:r>
    </w:p>
    <w:p w:rsidR="000C3271" w:rsidRDefault="000C3271" w:rsidP="00A33FA5">
      <w:pPr>
        <w:spacing w:line="560" w:lineRule="exact"/>
        <w:jc w:val="center"/>
        <w:rPr>
          <w:rFonts w:ascii="华文仿宋" w:eastAsia="华文仿宋" w:hAnsi="华文仿宋"/>
          <w:spacing w:val="10"/>
          <w:sz w:val="28"/>
          <w:szCs w:val="28"/>
        </w:rPr>
      </w:pPr>
    </w:p>
    <w:p w:rsidR="00A33FA5" w:rsidRDefault="00A33FA5" w:rsidP="00A33FA5">
      <w:pPr>
        <w:spacing w:line="400" w:lineRule="exact"/>
        <w:rPr>
          <w:rFonts w:ascii="华文仿宋" w:eastAsia="华文仿宋" w:hAnsi="华文仿宋"/>
          <w:spacing w:val="10"/>
          <w:sz w:val="24"/>
          <w:szCs w:val="24"/>
        </w:rPr>
      </w:pPr>
      <w:r>
        <w:rPr>
          <w:rFonts w:ascii="华文仿宋" w:eastAsia="华文仿宋" w:hAnsi="华文仿宋" w:hint="eastAsia"/>
          <w:spacing w:val="10"/>
          <w:sz w:val="24"/>
          <w:szCs w:val="24"/>
        </w:rPr>
        <w:t>填报机构名称：             填报机构代码：</w:t>
      </w:r>
    </w:p>
    <w:p w:rsidR="00A33FA5" w:rsidRDefault="00A33FA5" w:rsidP="00A33FA5">
      <w:pPr>
        <w:spacing w:line="400" w:lineRule="exact"/>
        <w:rPr>
          <w:rFonts w:ascii="华文仿宋" w:eastAsia="华文仿宋" w:hAnsi="华文仿宋"/>
          <w:spacing w:val="10"/>
          <w:sz w:val="24"/>
          <w:szCs w:val="24"/>
        </w:rPr>
      </w:pPr>
      <w:r>
        <w:rPr>
          <w:rFonts w:ascii="华文仿宋" w:eastAsia="华文仿宋" w:hAnsi="华文仿宋" w:hint="eastAsia"/>
          <w:spacing w:val="10"/>
          <w:sz w:val="24"/>
          <w:szCs w:val="24"/>
        </w:rPr>
        <w:t>交易品种名称：             交易品种代码：</w:t>
      </w:r>
    </w:p>
    <w:p w:rsidR="00A33FA5" w:rsidRDefault="00A33FA5" w:rsidP="00A33FA5">
      <w:pPr>
        <w:spacing w:line="480" w:lineRule="exact"/>
        <w:jc w:val="right"/>
        <w:rPr>
          <w:rFonts w:ascii="华文仿宋" w:eastAsia="华文仿宋" w:hAnsi="华文仿宋"/>
          <w:spacing w:val="10"/>
          <w:sz w:val="24"/>
          <w:szCs w:val="24"/>
          <w:u w:val="single"/>
        </w:rPr>
      </w:pPr>
      <w:r>
        <w:rPr>
          <w:rFonts w:ascii="华文仿宋" w:eastAsia="华文仿宋" w:hAnsi="华文仿宋" w:hint="eastAsia"/>
          <w:spacing w:val="10"/>
          <w:sz w:val="24"/>
          <w:szCs w:val="24"/>
        </w:rPr>
        <w:t>填报</w:t>
      </w:r>
      <w:r w:rsidRPr="000D7A38">
        <w:rPr>
          <w:rFonts w:ascii="华文仿宋" w:eastAsia="华文仿宋" w:hAnsi="华文仿宋" w:hint="eastAsia"/>
          <w:spacing w:val="10"/>
          <w:sz w:val="24"/>
          <w:szCs w:val="24"/>
        </w:rPr>
        <w:t>日期：  年  月  日</w:t>
      </w:r>
    </w:p>
    <w:tbl>
      <w:tblPr>
        <w:tblW w:w="8509" w:type="dxa"/>
        <w:jc w:val="center"/>
        <w:tblLook w:val="04A0"/>
      </w:tblPr>
      <w:tblGrid>
        <w:gridCol w:w="996"/>
        <w:gridCol w:w="4351"/>
        <w:gridCol w:w="1319"/>
        <w:gridCol w:w="1843"/>
      </w:tblGrid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当月变动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截至月末数</w:t>
            </w: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7C14B8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境外交易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者</w:t>
            </w:r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Default="00A33FA5" w:rsidP="00B21C58">
            <w:pPr>
              <w:spacing w:line="360" w:lineRule="exact"/>
              <w:jc w:val="center"/>
            </w:pP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7C14B8" w:rsidRDefault="00A33FA5" w:rsidP="00B21C58">
            <w:pPr>
              <w:widowControl/>
              <w:spacing w:line="360" w:lineRule="exact"/>
              <w:ind w:firstLineChars="200" w:firstLine="480"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境外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经纪机构（家）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Default="00A33FA5" w:rsidP="00B21C58">
            <w:pPr>
              <w:spacing w:line="360" w:lineRule="exact"/>
              <w:jc w:val="center"/>
            </w:pP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7C14B8" w:rsidRDefault="00A33FA5" w:rsidP="00B21C58">
            <w:pPr>
              <w:widowControl/>
              <w:spacing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3B4CB8" w:rsidRDefault="00A33FA5" w:rsidP="00B21C58">
            <w:pPr>
              <w:widowControl/>
              <w:spacing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3B4C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开立外汇期货结算账户（个）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7C14B8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7C14B8" w:rsidRDefault="00A33FA5" w:rsidP="00B21C58">
            <w:pPr>
              <w:widowControl/>
              <w:spacing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期货结算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专用</w:t>
            </w: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外汇账户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内</w:t>
            </w: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资金（万美</w:t>
            </w: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ind w:firstLineChars="200" w:firstLine="480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汇入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FD4193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ind w:firstLineChars="204" w:firstLine="49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ind w:firstLineChars="300" w:firstLine="72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汇出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FD4193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7C14B8" w:rsidRDefault="00A33FA5" w:rsidP="00B21C58">
            <w:pPr>
              <w:widowControl/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结汇和购汇（万美元）</w:t>
            </w: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ind w:firstLineChars="204" w:firstLine="49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Pr="00BD36FD" w:rsidRDefault="00A33FA5" w:rsidP="00B21C58">
            <w:pPr>
              <w:widowControl/>
              <w:spacing w:line="360" w:lineRule="exact"/>
              <w:ind w:firstLineChars="300" w:firstLine="72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结汇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FD4193" w:rsidRDefault="00A33FA5" w:rsidP="00B21C58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33FA5" w:rsidRPr="00BD36FD" w:rsidTr="000C3271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ind w:firstLineChars="204" w:firstLine="49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FA5" w:rsidRDefault="00A33FA5" w:rsidP="00B21C58">
            <w:pPr>
              <w:widowControl/>
              <w:spacing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 xml:space="preserve">      购汇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BD36FD" w:rsidRDefault="00A33FA5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5" w:rsidRPr="00FD4193" w:rsidRDefault="00A33FA5" w:rsidP="00B21C58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0C3271" w:rsidRPr="00BD36FD" w:rsidTr="000C3271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3271" w:rsidRPr="007C14B8" w:rsidRDefault="000C3271" w:rsidP="00B21C58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71" w:rsidRPr="007C14B8" w:rsidRDefault="000C3271" w:rsidP="00B21C58">
            <w:pPr>
              <w:widowControl/>
              <w:spacing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期货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实物交割对应实物价值（万美元</w:t>
            </w: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C3271" w:rsidRPr="00BD36FD" w:rsidTr="000C3271">
        <w:trPr>
          <w:trHeight w:hRule="exact" w:val="659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3271" w:rsidRPr="00BD36FD" w:rsidRDefault="000C3271" w:rsidP="00B21C58">
            <w:pPr>
              <w:widowControl/>
              <w:spacing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71" w:rsidRPr="00BD36FD" w:rsidRDefault="000C3271" w:rsidP="00B21C58">
            <w:pPr>
              <w:widowControl/>
              <w:spacing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境外交易者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（直接和通过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境外经纪机构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）买入期货实物价值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BD36FD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BD36FD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0C3271" w:rsidRPr="00BD36FD" w:rsidTr="000C3271">
        <w:trPr>
          <w:trHeight w:hRule="exact" w:val="427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3271" w:rsidRPr="00BD36FD" w:rsidRDefault="000C3271" w:rsidP="00B21C58">
            <w:pPr>
              <w:widowControl/>
              <w:spacing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71" w:rsidRPr="00BD36FD" w:rsidRDefault="000C3271" w:rsidP="00B21C58">
            <w:pPr>
              <w:widowControl/>
              <w:spacing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 xml:space="preserve">    其中：从境内交易者买入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225BF4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BD36FD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0C3271" w:rsidRPr="00BD36FD" w:rsidTr="000C3271">
        <w:trPr>
          <w:trHeight w:hRule="exact" w:val="710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3271" w:rsidRPr="00BD36FD" w:rsidRDefault="000C3271" w:rsidP="00B21C58">
            <w:pPr>
              <w:widowControl/>
              <w:spacing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71" w:rsidRPr="00BD36FD" w:rsidRDefault="000C3271" w:rsidP="00B21C58">
            <w:pPr>
              <w:widowControl/>
              <w:spacing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境外交易者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（直接和通过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境外经纪机构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）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卖出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期货实物价值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225BF4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BD36FD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0C3271" w:rsidRPr="00BD36FD" w:rsidTr="000C3271">
        <w:trPr>
          <w:trHeight w:hRule="exact" w:val="429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271" w:rsidRPr="00BD36FD" w:rsidRDefault="000C3271" w:rsidP="000C3271">
            <w:pPr>
              <w:widowControl/>
              <w:spacing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71" w:rsidRPr="00BD36FD" w:rsidRDefault="000C3271" w:rsidP="000C3271">
            <w:pPr>
              <w:widowControl/>
              <w:spacing w:line="32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其中：向境内交易者卖出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225BF4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271" w:rsidRPr="00BD36FD" w:rsidRDefault="000C3271" w:rsidP="00B21C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3FA5" w:rsidRDefault="00A33FA5" w:rsidP="00A33FA5">
      <w:pPr>
        <w:spacing w:line="280" w:lineRule="exact"/>
        <w:jc w:val="left"/>
        <w:rPr>
          <w:rFonts w:ascii="Times New Roman" w:eastAsia="仿宋_GB2312" w:hAnsi="Times New Roman"/>
          <w:b/>
          <w:spacing w:val="10"/>
          <w:szCs w:val="21"/>
        </w:rPr>
      </w:pPr>
      <w:r w:rsidRPr="00123781">
        <w:rPr>
          <w:rFonts w:ascii="Times New Roman" w:eastAsia="仿宋_GB2312" w:hAnsi="Times New Roman" w:hint="eastAsia"/>
          <w:b/>
          <w:spacing w:val="10"/>
          <w:szCs w:val="21"/>
        </w:rPr>
        <w:t>填表说明：</w:t>
      </w:r>
    </w:p>
    <w:p w:rsidR="00A33FA5" w:rsidRDefault="00A33FA5" w:rsidP="00A33FA5">
      <w:pPr>
        <w:spacing w:line="280" w:lineRule="exact"/>
        <w:ind w:firstLineChars="200" w:firstLine="460"/>
        <w:jc w:val="left"/>
        <w:rPr>
          <w:rFonts w:ascii="Times New Roman" w:eastAsia="仿宋_GB2312" w:hAnsi="Times New Roman"/>
          <w:spacing w:val="10"/>
          <w:szCs w:val="21"/>
        </w:rPr>
      </w:pPr>
      <w:r w:rsidRPr="00123781">
        <w:rPr>
          <w:rFonts w:ascii="Times New Roman" w:eastAsia="仿宋_GB2312" w:hAnsi="Times New Roman" w:hint="eastAsia"/>
          <w:spacing w:val="10"/>
          <w:szCs w:val="21"/>
        </w:rPr>
        <w:t>1</w:t>
      </w:r>
      <w:r w:rsidRPr="00123781">
        <w:rPr>
          <w:rFonts w:ascii="Times New Roman" w:eastAsia="仿宋_GB2312" w:hAnsi="Times New Roman" w:hint="eastAsia"/>
          <w:spacing w:val="10"/>
          <w:szCs w:val="21"/>
        </w:rPr>
        <w:t>、</w:t>
      </w:r>
      <w:r>
        <w:rPr>
          <w:rFonts w:ascii="Times New Roman" w:eastAsia="仿宋_GB2312" w:hAnsi="Times New Roman" w:hint="eastAsia"/>
          <w:spacing w:val="10"/>
          <w:szCs w:val="21"/>
        </w:rPr>
        <w:t>“</w:t>
      </w:r>
      <w:r>
        <w:rPr>
          <w:rFonts w:ascii="Times New Roman" w:eastAsia="仿宋_GB2312" w:hAnsi="Times New Roman" w:hint="eastAsia"/>
          <w:spacing w:val="10"/>
          <w:szCs w:val="21"/>
        </w:rPr>
        <w:t>**</w:t>
      </w:r>
      <w:r>
        <w:rPr>
          <w:rFonts w:ascii="Times New Roman" w:eastAsia="仿宋_GB2312" w:hAnsi="Times New Roman" w:hint="eastAsia"/>
          <w:spacing w:val="10"/>
          <w:szCs w:val="21"/>
        </w:rPr>
        <w:t>年</w:t>
      </w:r>
      <w:r>
        <w:rPr>
          <w:rFonts w:ascii="Times New Roman" w:eastAsia="仿宋_GB2312" w:hAnsi="Times New Roman" w:hint="eastAsia"/>
          <w:spacing w:val="10"/>
          <w:szCs w:val="21"/>
        </w:rPr>
        <w:t>**</w:t>
      </w:r>
      <w:r>
        <w:rPr>
          <w:rFonts w:ascii="Times New Roman" w:eastAsia="仿宋_GB2312" w:hAnsi="Times New Roman" w:hint="eastAsia"/>
          <w:spacing w:val="10"/>
          <w:szCs w:val="21"/>
        </w:rPr>
        <w:t>月”填写报表数据所属月份；填报机构为开展具体期货交易的交易所；交易品种为期货交易的特定品种（如原油等），交易品种代码为该品种在交易所交易时对应的编码。</w:t>
      </w:r>
    </w:p>
    <w:p w:rsidR="00A33FA5" w:rsidRDefault="00A33FA5" w:rsidP="00A33FA5">
      <w:pPr>
        <w:spacing w:line="280" w:lineRule="exact"/>
        <w:ind w:firstLineChars="200" w:firstLine="460"/>
        <w:jc w:val="left"/>
        <w:rPr>
          <w:rFonts w:ascii="Times New Roman" w:eastAsia="仿宋_GB2312" w:hAnsi="Times New Roman"/>
          <w:spacing w:val="10"/>
          <w:szCs w:val="21"/>
        </w:rPr>
      </w:pPr>
      <w:r>
        <w:rPr>
          <w:rFonts w:ascii="Times New Roman" w:eastAsia="仿宋_GB2312" w:hAnsi="Times New Roman" w:hint="eastAsia"/>
          <w:spacing w:val="10"/>
          <w:szCs w:val="21"/>
        </w:rPr>
        <w:t>2</w:t>
      </w:r>
      <w:r>
        <w:rPr>
          <w:rFonts w:ascii="Times New Roman" w:eastAsia="仿宋_GB2312" w:hAnsi="Times New Roman" w:hint="eastAsia"/>
          <w:spacing w:val="10"/>
          <w:szCs w:val="21"/>
        </w:rPr>
        <w:t>、“外汇期货结算账户”为境外交易者、境外经纪机构在境内存管银行开立的用于</w:t>
      </w:r>
      <w:r w:rsidRPr="00225BF4">
        <w:rPr>
          <w:rFonts w:ascii="Times New Roman" w:eastAsia="仿宋_GB2312" w:hAnsi="Times New Roman" w:hint="eastAsia"/>
          <w:spacing w:val="10"/>
          <w:szCs w:val="21"/>
        </w:rPr>
        <w:t>境内特定品种期货交易相关资金收付、汇兑及划转</w:t>
      </w:r>
      <w:r>
        <w:rPr>
          <w:rFonts w:ascii="Times New Roman" w:eastAsia="仿宋_GB2312" w:hAnsi="Times New Roman" w:hint="eastAsia"/>
          <w:spacing w:val="10"/>
          <w:szCs w:val="21"/>
        </w:rPr>
        <w:t>的专用账户，参照非居民存款账户（</w:t>
      </w:r>
      <w:r>
        <w:rPr>
          <w:rFonts w:ascii="Times New Roman" w:eastAsia="仿宋_GB2312" w:hAnsi="Times New Roman" w:hint="eastAsia"/>
          <w:spacing w:val="10"/>
          <w:szCs w:val="21"/>
        </w:rPr>
        <w:t>NRA</w:t>
      </w:r>
      <w:r>
        <w:rPr>
          <w:rFonts w:ascii="Times New Roman" w:eastAsia="仿宋_GB2312" w:hAnsi="Times New Roman" w:hint="eastAsia"/>
          <w:spacing w:val="10"/>
          <w:szCs w:val="21"/>
        </w:rPr>
        <w:t>）管理。“汇入”、“汇出”填报该账户与境内会员保证金账户之间保证金资金汇划情况，金额按美元（折算）合计。</w:t>
      </w:r>
    </w:p>
    <w:p w:rsidR="00A33FA5" w:rsidRDefault="00A33FA5" w:rsidP="00A33FA5">
      <w:pPr>
        <w:spacing w:line="280" w:lineRule="exact"/>
        <w:ind w:firstLineChars="200" w:firstLine="460"/>
        <w:jc w:val="left"/>
        <w:rPr>
          <w:rFonts w:ascii="Times New Roman" w:eastAsia="仿宋_GB2312" w:hAnsi="Times New Roman"/>
          <w:spacing w:val="10"/>
          <w:szCs w:val="21"/>
        </w:rPr>
      </w:pPr>
      <w:r>
        <w:rPr>
          <w:rFonts w:ascii="Times New Roman" w:eastAsia="仿宋_GB2312" w:hAnsi="Times New Roman" w:hint="eastAsia"/>
          <w:spacing w:val="10"/>
          <w:szCs w:val="21"/>
        </w:rPr>
        <w:t>3</w:t>
      </w:r>
      <w:r w:rsidRPr="00123781">
        <w:rPr>
          <w:rFonts w:ascii="Times New Roman" w:eastAsia="仿宋_GB2312" w:hAnsi="Times New Roman" w:hint="eastAsia"/>
          <w:spacing w:val="10"/>
          <w:szCs w:val="21"/>
        </w:rPr>
        <w:t>、</w:t>
      </w:r>
      <w:r>
        <w:rPr>
          <w:rFonts w:ascii="Times New Roman" w:eastAsia="仿宋_GB2312" w:hAnsi="Times New Roman" w:hint="eastAsia"/>
          <w:spacing w:val="10"/>
          <w:szCs w:val="21"/>
        </w:rPr>
        <w:t>境外交易者涉及期货实物交割的，填报期货实物交割对应的实物价值（买入、卖出）。</w:t>
      </w:r>
    </w:p>
    <w:p w:rsidR="00A33FA5" w:rsidRDefault="00A33FA5" w:rsidP="00A33FA5">
      <w:pPr>
        <w:spacing w:line="280" w:lineRule="exact"/>
        <w:ind w:firstLineChars="200" w:firstLine="460"/>
        <w:jc w:val="left"/>
        <w:rPr>
          <w:rFonts w:ascii="Times New Roman" w:eastAsia="仿宋_GB2312" w:hAnsi="Times New Roman"/>
          <w:spacing w:val="10"/>
          <w:szCs w:val="21"/>
        </w:rPr>
      </w:pPr>
      <w:r>
        <w:rPr>
          <w:rFonts w:ascii="Times New Roman" w:eastAsia="仿宋_GB2312" w:hAnsi="Times New Roman" w:hint="eastAsia"/>
          <w:spacing w:val="10"/>
          <w:szCs w:val="21"/>
        </w:rPr>
        <w:t>4</w:t>
      </w:r>
      <w:r>
        <w:rPr>
          <w:rFonts w:ascii="Times New Roman" w:eastAsia="仿宋_GB2312" w:hAnsi="Times New Roman" w:hint="eastAsia"/>
          <w:spacing w:val="10"/>
          <w:szCs w:val="21"/>
        </w:rPr>
        <w:t>、填报机构应</w:t>
      </w:r>
      <w:r w:rsidRPr="00123781">
        <w:rPr>
          <w:rFonts w:ascii="Times New Roman" w:eastAsia="仿宋_GB2312" w:hAnsi="Times New Roman" w:hint="eastAsia"/>
          <w:spacing w:val="10"/>
          <w:szCs w:val="21"/>
        </w:rPr>
        <w:t>在每月结束后</w:t>
      </w:r>
      <w:r w:rsidRPr="00123781">
        <w:rPr>
          <w:rFonts w:ascii="Times New Roman" w:eastAsia="仿宋_GB2312" w:hAnsi="Times New Roman" w:hint="eastAsia"/>
          <w:spacing w:val="10"/>
          <w:szCs w:val="21"/>
        </w:rPr>
        <w:t>5</w:t>
      </w:r>
      <w:r w:rsidRPr="00123781">
        <w:rPr>
          <w:rFonts w:ascii="Times New Roman" w:eastAsia="仿宋_GB2312" w:hAnsi="Times New Roman" w:hint="eastAsia"/>
          <w:spacing w:val="10"/>
          <w:szCs w:val="21"/>
        </w:rPr>
        <w:t>个工作日内向外汇局报送本报表。</w:t>
      </w:r>
    </w:p>
    <w:sectPr w:rsidR="00A33FA5" w:rsidSect="009348D6">
      <w:footerReference w:type="default" r:id="rId9"/>
      <w:pgSz w:w="11906" w:h="16838"/>
      <w:pgMar w:top="1440" w:right="1800" w:bottom="1440" w:left="1800" w:header="851" w:footer="992" w:gutter="0"/>
      <w:pgNumType w:start="6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B8" w:rsidRDefault="008739B8" w:rsidP="00071C44">
      <w:r>
        <w:separator/>
      </w:r>
    </w:p>
  </w:endnote>
  <w:endnote w:type="continuationSeparator" w:id="1">
    <w:p w:rsidR="008739B8" w:rsidRDefault="008739B8" w:rsidP="0007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02" w:rsidRDefault="00887C45">
    <w:pPr>
      <w:pStyle w:val="a3"/>
      <w:jc w:val="center"/>
    </w:pPr>
    <w:fldSimple w:instr=" PAGE   \* MERGEFORMAT ">
      <w:r w:rsidR="000C3271" w:rsidRPr="000C3271">
        <w:rPr>
          <w:noProof/>
          <w:lang w:val="zh-CN"/>
        </w:rPr>
        <w:t>7</w:t>
      </w:r>
    </w:fldSimple>
  </w:p>
  <w:p w:rsidR="004A7E02" w:rsidRDefault="004A7E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B8" w:rsidRDefault="008739B8" w:rsidP="00071C44">
      <w:r>
        <w:separator/>
      </w:r>
    </w:p>
  </w:footnote>
  <w:footnote w:type="continuationSeparator" w:id="1">
    <w:p w:rsidR="008739B8" w:rsidRDefault="008739B8" w:rsidP="0007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9FA"/>
    <w:multiLevelType w:val="hybridMultilevel"/>
    <w:tmpl w:val="B59EDC9A"/>
    <w:lvl w:ilvl="0" w:tplc="7CD0C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455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23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0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006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47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67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89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40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054F4"/>
    <w:multiLevelType w:val="hybridMultilevel"/>
    <w:tmpl w:val="D3620ED6"/>
    <w:lvl w:ilvl="0" w:tplc="160AD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C765EF"/>
    <w:multiLevelType w:val="hybridMultilevel"/>
    <w:tmpl w:val="58A059E2"/>
    <w:lvl w:ilvl="0" w:tplc="1962454E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A5071B"/>
    <w:multiLevelType w:val="hybridMultilevel"/>
    <w:tmpl w:val="ACACACE4"/>
    <w:lvl w:ilvl="0" w:tplc="4D762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E1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AC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5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24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29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C7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44"/>
    <w:rsid w:val="0000142A"/>
    <w:rsid w:val="00003DB1"/>
    <w:rsid w:val="00011A39"/>
    <w:rsid w:val="00011FDE"/>
    <w:rsid w:val="000128F3"/>
    <w:rsid w:val="000133A3"/>
    <w:rsid w:val="000236BD"/>
    <w:rsid w:val="00024692"/>
    <w:rsid w:val="0002696E"/>
    <w:rsid w:val="00035493"/>
    <w:rsid w:val="00037709"/>
    <w:rsid w:val="00040552"/>
    <w:rsid w:val="000419EE"/>
    <w:rsid w:val="0004235D"/>
    <w:rsid w:val="00042F75"/>
    <w:rsid w:val="00043EC6"/>
    <w:rsid w:val="000457FC"/>
    <w:rsid w:val="00046EA3"/>
    <w:rsid w:val="00050C0F"/>
    <w:rsid w:val="00050C40"/>
    <w:rsid w:val="00054756"/>
    <w:rsid w:val="000609AB"/>
    <w:rsid w:val="000613CB"/>
    <w:rsid w:val="00064293"/>
    <w:rsid w:val="00067094"/>
    <w:rsid w:val="00067873"/>
    <w:rsid w:val="00070F53"/>
    <w:rsid w:val="000715B5"/>
    <w:rsid w:val="00071748"/>
    <w:rsid w:val="00071C44"/>
    <w:rsid w:val="000735FC"/>
    <w:rsid w:val="00073F92"/>
    <w:rsid w:val="00076CD6"/>
    <w:rsid w:val="0007788F"/>
    <w:rsid w:val="00077E7F"/>
    <w:rsid w:val="000834CC"/>
    <w:rsid w:val="00086057"/>
    <w:rsid w:val="00091CD8"/>
    <w:rsid w:val="00092E8C"/>
    <w:rsid w:val="000938BA"/>
    <w:rsid w:val="0009751B"/>
    <w:rsid w:val="00097DC8"/>
    <w:rsid w:val="000A37AC"/>
    <w:rsid w:val="000A42AA"/>
    <w:rsid w:val="000B0654"/>
    <w:rsid w:val="000B0AA2"/>
    <w:rsid w:val="000B0B1F"/>
    <w:rsid w:val="000B63D5"/>
    <w:rsid w:val="000B6AEB"/>
    <w:rsid w:val="000B7FDE"/>
    <w:rsid w:val="000C3271"/>
    <w:rsid w:val="000C6AF8"/>
    <w:rsid w:val="000C72E4"/>
    <w:rsid w:val="000D1493"/>
    <w:rsid w:val="000D260E"/>
    <w:rsid w:val="000D55AB"/>
    <w:rsid w:val="000D6BC6"/>
    <w:rsid w:val="000D6BFD"/>
    <w:rsid w:val="000E0E09"/>
    <w:rsid w:val="000E26D8"/>
    <w:rsid w:val="000E4E87"/>
    <w:rsid w:val="000E7B3F"/>
    <w:rsid w:val="000E7EF3"/>
    <w:rsid w:val="000F038C"/>
    <w:rsid w:val="000F68E5"/>
    <w:rsid w:val="0010078E"/>
    <w:rsid w:val="00100FF5"/>
    <w:rsid w:val="001014FF"/>
    <w:rsid w:val="00102469"/>
    <w:rsid w:val="00102E76"/>
    <w:rsid w:val="00106524"/>
    <w:rsid w:val="00112DEE"/>
    <w:rsid w:val="00112F90"/>
    <w:rsid w:val="001223B2"/>
    <w:rsid w:val="00123186"/>
    <w:rsid w:val="001259E5"/>
    <w:rsid w:val="00125A75"/>
    <w:rsid w:val="00125C6D"/>
    <w:rsid w:val="00130F4B"/>
    <w:rsid w:val="0013793D"/>
    <w:rsid w:val="00137EC9"/>
    <w:rsid w:val="00141C45"/>
    <w:rsid w:val="00144077"/>
    <w:rsid w:val="00144B44"/>
    <w:rsid w:val="0014717B"/>
    <w:rsid w:val="00150EB5"/>
    <w:rsid w:val="0015124C"/>
    <w:rsid w:val="00151C24"/>
    <w:rsid w:val="0015376E"/>
    <w:rsid w:val="00155E3D"/>
    <w:rsid w:val="00156E2D"/>
    <w:rsid w:val="001610A8"/>
    <w:rsid w:val="00161179"/>
    <w:rsid w:val="00161E12"/>
    <w:rsid w:val="00162071"/>
    <w:rsid w:val="0016355D"/>
    <w:rsid w:val="00163FEF"/>
    <w:rsid w:val="0016494D"/>
    <w:rsid w:val="00165FC0"/>
    <w:rsid w:val="00170F18"/>
    <w:rsid w:val="001746CA"/>
    <w:rsid w:val="001747D6"/>
    <w:rsid w:val="00177074"/>
    <w:rsid w:val="001771C4"/>
    <w:rsid w:val="001852B7"/>
    <w:rsid w:val="00193245"/>
    <w:rsid w:val="00193363"/>
    <w:rsid w:val="00193FF7"/>
    <w:rsid w:val="00196136"/>
    <w:rsid w:val="00196560"/>
    <w:rsid w:val="00197C77"/>
    <w:rsid w:val="00197D98"/>
    <w:rsid w:val="001A50DB"/>
    <w:rsid w:val="001A55A6"/>
    <w:rsid w:val="001B29DE"/>
    <w:rsid w:val="001B376E"/>
    <w:rsid w:val="001B54AE"/>
    <w:rsid w:val="001C0FDB"/>
    <w:rsid w:val="001C290F"/>
    <w:rsid w:val="001C2D6E"/>
    <w:rsid w:val="001C47E7"/>
    <w:rsid w:val="001C6D0F"/>
    <w:rsid w:val="001D01E2"/>
    <w:rsid w:val="001D541E"/>
    <w:rsid w:val="001D6951"/>
    <w:rsid w:val="001E4F77"/>
    <w:rsid w:val="001E6473"/>
    <w:rsid w:val="001E6D40"/>
    <w:rsid w:val="001F00EF"/>
    <w:rsid w:val="001F04A2"/>
    <w:rsid w:val="001F0D52"/>
    <w:rsid w:val="001F2301"/>
    <w:rsid w:val="001F517C"/>
    <w:rsid w:val="001F736B"/>
    <w:rsid w:val="001F739A"/>
    <w:rsid w:val="00204DC6"/>
    <w:rsid w:val="002061BE"/>
    <w:rsid w:val="00206B3C"/>
    <w:rsid w:val="00206BFE"/>
    <w:rsid w:val="0020770B"/>
    <w:rsid w:val="00210A75"/>
    <w:rsid w:val="00215F55"/>
    <w:rsid w:val="00216F7C"/>
    <w:rsid w:val="002206C3"/>
    <w:rsid w:val="00222A25"/>
    <w:rsid w:val="0022347F"/>
    <w:rsid w:val="00223E91"/>
    <w:rsid w:val="002265DE"/>
    <w:rsid w:val="00231F6D"/>
    <w:rsid w:val="00234721"/>
    <w:rsid w:val="00234D7F"/>
    <w:rsid w:val="00235A05"/>
    <w:rsid w:val="00235E78"/>
    <w:rsid w:val="00240548"/>
    <w:rsid w:val="002432EE"/>
    <w:rsid w:val="00244799"/>
    <w:rsid w:val="00246876"/>
    <w:rsid w:val="00252639"/>
    <w:rsid w:val="00252A8F"/>
    <w:rsid w:val="00254E89"/>
    <w:rsid w:val="002550C0"/>
    <w:rsid w:val="0025754B"/>
    <w:rsid w:val="00266D84"/>
    <w:rsid w:val="00273722"/>
    <w:rsid w:val="00273F4F"/>
    <w:rsid w:val="00277A9D"/>
    <w:rsid w:val="00280A93"/>
    <w:rsid w:val="00281DA7"/>
    <w:rsid w:val="00282641"/>
    <w:rsid w:val="00283501"/>
    <w:rsid w:val="0029065C"/>
    <w:rsid w:val="00295099"/>
    <w:rsid w:val="002A2279"/>
    <w:rsid w:val="002A5F95"/>
    <w:rsid w:val="002B0AE4"/>
    <w:rsid w:val="002B12EC"/>
    <w:rsid w:val="002B141A"/>
    <w:rsid w:val="002B207C"/>
    <w:rsid w:val="002B4E3A"/>
    <w:rsid w:val="002B6A8D"/>
    <w:rsid w:val="002B6E2A"/>
    <w:rsid w:val="002B7143"/>
    <w:rsid w:val="002C1304"/>
    <w:rsid w:val="002C3CF0"/>
    <w:rsid w:val="002C4377"/>
    <w:rsid w:val="002C4DD8"/>
    <w:rsid w:val="002C74ED"/>
    <w:rsid w:val="002D2310"/>
    <w:rsid w:val="002D270D"/>
    <w:rsid w:val="002D4110"/>
    <w:rsid w:val="002D6B2C"/>
    <w:rsid w:val="002D7CD5"/>
    <w:rsid w:val="002E063F"/>
    <w:rsid w:val="002E21CF"/>
    <w:rsid w:val="002E6BAC"/>
    <w:rsid w:val="002E7EEE"/>
    <w:rsid w:val="002F0058"/>
    <w:rsid w:val="002F0BEA"/>
    <w:rsid w:val="002F17CB"/>
    <w:rsid w:val="002F1D94"/>
    <w:rsid w:val="002F1EB2"/>
    <w:rsid w:val="002F32B9"/>
    <w:rsid w:val="002F37E1"/>
    <w:rsid w:val="002F4D1D"/>
    <w:rsid w:val="002F53D0"/>
    <w:rsid w:val="002F6722"/>
    <w:rsid w:val="003008F6"/>
    <w:rsid w:val="003014B8"/>
    <w:rsid w:val="003024CE"/>
    <w:rsid w:val="00303F85"/>
    <w:rsid w:val="003041A6"/>
    <w:rsid w:val="00305018"/>
    <w:rsid w:val="00306D6C"/>
    <w:rsid w:val="00312E44"/>
    <w:rsid w:val="0031331A"/>
    <w:rsid w:val="00314F74"/>
    <w:rsid w:val="003210F8"/>
    <w:rsid w:val="00321851"/>
    <w:rsid w:val="00325400"/>
    <w:rsid w:val="003257CB"/>
    <w:rsid w:val="0032758E"/>
    <w:rsid w:val="00334E49"/>
    <w:rsid w:val="0033567C"/>
    <w:rsid w:val="00335B7F"/>
    <w:rsid w:val="00336D45"/>
    <w:rsid w:val="00337606"/>
    <w:rsid w:val="0034658A"/>
    <w:rsid w:val="00346885"/>
    <w:rsid w:val="00346AE2"/>
    <w:rsid w:val="00347117"/>
    <w:rsid w:val="00351714"/>
    <w:rsid w:val="003521C3"/>
    <w:rsid w:val="00352CDA"/>
    <w:rsid w:val="00357143"/>
    <w:rsid w:val="00360262"/>
    <w:rsid w:val="00360706"/>
    <w:rsid w:val="00360B8B"/>
    <w:rsid w:val="003622DB"/>
    <w:rsid w:val="00362B4A"/>
    <w:rsid w:val="00362D26"/>
    <w:rsid w:val="00363058"/>
    <w:rsid w:val="003646EE"/>
    <w:rsid w:val="00370970"/>
    <w:rsid w:val="003819DD"/>
    <w:rsid w:val="00382563"/>
    <w:rsid w:val="00383246"/>
    <w:rsid w:val="0038596C"/>
    <w:rsid w:val="00386E53"/>
    <w:rsid w:val="00391B76"/>
    <w:rsid w:val="00393BA0"/>
    <w:rsid w:val="003968B9"/>
    <w:rsid w:val="003A088D"/>
    <w:rsid w:val="003A230E"/>
    <w:rsid w:val="003A47D8"/>
    <w:rsid w:val="003A6945"/>
    <w:rsid w:val="003B09DD"/>
    <w:rsid w:val="003B1523"/>
    <w:rsid w:val="003B3804"/>
    <w:rsid w:val="003C5C79"/>
    <w:rsid w:val="003D16F4"/>
    <w:rsid w:val="003D4ED9"/>
    <w:rsid w:val="003D7ED2"/>
    <w:rsid w:val="003E35FB"/>
    <w:rsid w:val="003E47EC"/>
    <w:rsid w:val="003F54A2"/>
    <w:rsid w:val="0040119E"/>
    <w:rsid w:val="004035EB"/>
    <w:rsid w:val="00403849"/>
    <w:rsid w:val="0040542C"/>
    <w:rsid w:val="00413294"/>
    <w:rsid w:val="00413FE0"/>
    <w:rsid w:val="00423145"/>
    <w:rsid w:val="00423355"/>
    <w:rsid w:val="004248A8"/>
    <w:rsid w:val="00433DC6"/>
    <w:rsid w:val="0043456D"/>
    <w:rsid w:val="00434C9F"/>
    <w:rsid w:val="0044072B"/>
    <w:rsid w:val="00442DFA"/>
    <w:rsid w:val="00443B2D"/>
    <w:rsid w:val="00445DD9"/>
    <w:rsid w:val="00446379"/>
    <w:rsid w:val="00446A11"/>
    <w:rsid w:val="00447DC5"/>
    <w:rsid w:val="00453810"/>
    <w:rsid w:val="00453B0C"/>
    <w:rsid w:val="00455215"/>
    <w:rsid w:val="004577C2"/>
    <w:rsid w:val="00460F73"/>
    <w:rsid w:val="00461F25"/>
    <w:rsid w:val="00462EAE"/>
    <w:rsid w:val="00463AD8"/>
    <w:rsid w:val="004665C4"/>
    <w:rsid w:val="00471B11"/>
    <w:rsid w:val="00473D91"/>
    <w:rsid w:val="00475A3E"/>
    <w:rsid w:val="00476644"/>
    <w:rsid w:val="00477F62"/>
    <w:rsid w:val="00480E1A"/>
    <w:rsid w:val="00481115"/>
    <w:rsid w:val="0048337A"/>
    <w:rsid w:val="00483AEB"/>
    <w:rsid w:val="00483BAB"/>
    <w:rsid w:val="0048726B"/>
    <w:rsid w:val="00490B28"/>
    <w:rsid w:val="0049140A"/>
    <w:rsid w:val="004958D4"/>
    <w:rsid w:val="004966AB"/>
    <w:rsid w:val="004A1A54"/>
    <w:rsid w:val="004A37BE"/>
    <w:rsid w:val="004A7E02"/>
    <w:rsid w:val="004A7E1B"/>
    <w:rsid w:val="004B01B5"/>
    <w:rsid w:val="004B01DB"/>
    <w:rsid w:val="004B0F8C"/>
    <w:rsid w:val="004B7718"/>
    <w:rsid w:val="004C0BB8"/>
    <w:rsid w:val="004C2121"/>
    <w:rsid w:val="004C373F"/>
    <w:rsid w:val="004C6193"/>
    <w:rsid w:val="004C6EA9"/>
    <w:rsid w:val="004D1059"/>
    <w:rsid w:val="004D5CE7"/>
    <w:rsid w:val="004D69B4"/>
    <w:rsid w:val="004D76A3"/>
    <w:rsid w:val="004E00EB"/>
    <w:rsid w:val="004E2FE1"/>
    <w:rsid w:val="004E570F"/>
    <w:rsid w:val="004E7372"/>
    <w:rsid w:val="004E7637"/>
    <w:rsid w:val="004E7C0F"/>
    <w:rsid w:val="004F0E3D"/>
    <w:rsid w:val="004F52BB"/>
    <w:rsid w:val="004F5BB5"/>
    <w:rsid w:val="004F5C24"/>
    <w:rsid w:val="004F671C"/>
    <w:rsid w:val="005016AA"/>
    <w:rsid w:val="0050336B"/>
    <w:rsid w:val="005033BA"/>
    <w:rsid w:val="0051171C"/>
    <w:rsid w:val="005120C4"/>
    <w:rsid w:val="0051642A"/>
    <w:rsid w:val="005165F6"/>
    <w:rsid w:val="00522F75"/>
    <w:rsid w:val="00522FF5"/>
    <w:rsid w:val="00524063"/>
    <w:rsid w:val="005247CD"/>
    <w:rsid w:val="005271FA"/>
    <w:rsid w:val="00530A82"/>
    <w:rsid w:val="00534E07"/>
    <w:rsid w:val="00537AAD"/>
    <w:rsid w:val="0054179A"/>
    <w:rsid w:val="00544D5C"/>
    <w:rsid w:val="005510E1"/>
    <w:rsid w:val="00551736"/>
    <w:rsid w:val="00563408"/>
    <w:rsid w:val="00563B6E"/>
    <w:rsid w:val="00563D62"/>
    <w:rsid w:val="005738FD"/>
    <w:rsid w:val="00574EA1"/>
    <w:rsid w:val="00581B74"/>
    <w:rsid w:val="005821D2"/>
    <w:rsid w:val="00590A38"/>
    <w:rsid w:val="00591D4A"/>
    <w:rsid w:val="0059254E"/>
    <w:rsid w:val="00594328"/>
    <w:rsid w:val="00596003"/>
    <w:rsid w:val="00597B2C"/>
    <w:rsid w:val="00597D9E"/>
    <w:rsid w:val="005A1972"/>
    <w:rsid w:val="005A5096"/>
    <w:rsid w:val="005B04A8"/>
    <w:rsid w:val="005B151C"/>
    <w:rsid w:val="005B3DD2"/>
    <w:rsid w:val="005B7418"/>
    <w:rsid w:val="005B767E"/>
    <w:rsid w:val="005C0211"/>
    <w:rsid w:val="005C6C9D"/>
    <w:rsid w:val="005D0579"/>
    <w:rsid w:val="005D1EF4"/>
    <w:rsid w:val="005D2C0D"/>
    <w:rsid w:val="005D388D"/>
    <w:rsid w:val="005E0C84"/>
    <w:rsid w:val="005E19C2"/>
    <w:rsid w:val="005E2D94"/>
    <w:rsid w:val="005E3EB5"/>
    <w:rsid w:val="005E46F5"/>
    <w:rsid w:val="005E59C0"/>
    <w:rsid w:val="005E6835"/>
    <w:rsid w:val="005E793B"/>
    <w:rsid w:val="005F005D"/>
    <w:rsid w:val="005F0EA2"/>
    <w:rsid w:val="005F2E8F"/>
    <w:rsid w:val="005F4938"/>
    <w:rsid w:val="005F5BC1"/>
    <w:rsid w:val="00604056"/>
    <w:rsid w:val="00604826"/>
    <w:rsid w:val="00604835"/>
    <w:rsid w:val="00605457"/>
    <w:rsid w:val="00605D09"/>
    <w:rsid w:val="006124D3"/>
    <w:rsid w:val="006128A6"/>
    <w:rsid w:val="00623AD9"/>
    <w:rsid w:val="00631520"/>
    <w:rsid w:val="00641D4D"/>
    <w:rsid w:val="0064296A"/>
    <w:rsid w:val="006452C1"/>
    <w:rsid w:val="006475C6"/>
    <w:rsid w:val="006504AB"/>
    <w:rsid w:val="00650504"/>
    <w:rsid w:val="00653DB3"/>
    <w:rsid w:val="00653FD8"/>
    <w:rsid w:val="006557F8"/>
    <w:rsid w:val="00656A55"/>
    <w:rsid w:val="0065728E"/>
    <w:rsid w:val="006633BC"/>
    <w:rsid w:val="00663FBF"/>
    <w:rsid w:val="00667A82"/>
    <w:rsid w:val="006717D4"/>
    <w:rsid w:val="006726E0"/>
    <w:rsid w:val="00674AFA"/>
    <w:rsid w:val="00677565"/>
    <w:rsid w:val="00677961"/>
    <w:rsid w:val="006816AD"/>
    <w:rsid w:val="00682D2F"/>
    <w:rsid w:val="00686ADD"/>
    <w:rsid w:val="00687298"/>
    <w:rsid w:val="006906EF"/>
    <w:rsid w:val="00690BFA"/>
    <w:rsid w:val="00692300"/>
    <w:rsid w:val="006944C3"/>
    <w:rsid w:val="006A3A6F"/>
    <w:rsid w:val="006A7264"/>
    <w:rsid w:val="006B12E3"/>
    <w:rsid w:val="006B3F8F"/>
    <w:rsid w:val="006B47D8"/>
    <w:rsid w:val="006B500D"/>
    <w:rsid w:val="006B5672"/>
    <w:rsid w:val="006C0149"/>
    <w:rsid w:val="006C3310"/>
    <w:rsid w:val="006C3E40"/>
    <w:rsid w:val="006C60E1"/>
    <w:rsid w:val="006C654E"/>
    <w:rsid w:val="006C6F60"/>
    <w:rsid w:val="006C72E4"/>
    <w:rsid w:val="006D2764"/>
    <w:rsid w:val="006D3496"/>
    <w:rsid w:val="006D5F3D"/>
    <w:rsid w:val="006D62B3"/>
    <w:rsid w:val="006E017F"/>
    <w:rsid w:val="006E27FB"/>
    <w:rsid w:val="006E3BB1"/>
    <w:rsid w:val="006E4C9F"/>
    <w:rsid w:val="006E4EAC"/>
    <w:rsid w:val="006E7534"/>
    <w:rsid w:val="006E7EEC"/>
    <w:rsid w:val="006F0A24"/>
    <w:rsid w:val="006F4A66"/>
    <w:rsid w:val="006F6FE0"/>
    <w:rsid w:val="006F73A8"/>
    <w:rsid w:val="00703B8A"/>
    <w:rsid w:val="007111C2"/>
    <w:rsid w:val="00711889"/>
    <w:rsid w:val="00711BBE"/>
    <w:rsid w:val="00715D5F"/>
    <w:rsid w:val="007160B0"/>
    <w:rsid w:val="00717EA3"/>
    <w:rsid w:val="00721ADB"/>
    <w:rsid w:val="00727BBF"/>
    <w:rsid w:val="007373D4"/>
    <w:rsid w:val="007403DE"/>
    <w:rsid w:val="00740432"/>
    <w:rsid w:val="00744827"/>
    <w:rsid w:val="0074615A"/>
    <w:rsid w:val="00747189"/>
    <w:rsid w:val="00756603"/>
    <w:rsid w:val="007605FF"/>
    <w:rsid w:val="00762FD2"/>
    <w:rsid w:val="007635CB"/>
    <w:rsid w:val="007658C4"/>
    <w:rsid w:val="00766579"/>
    <w:rsid w:val="007670C4"/>
    <w:rsid w:val="00770A4A"/>
    <w:rsid w:val="00771EA2"/>
    <w:rsid w:val="007740FE"/>
    <w:rsid w:val="007770B2"/>
    <w:rsid w:val="00782AFA"/>
    <w:rsid w:val="00782D8E"/>
    <w:rsid w:val="00783130"/>
    <w:rsid w:val="0078522C"/>
    <w:rsid w:val="00793B2B"/>
    <w:rsid w:val="00793F79"/>
    <w:rsid w:val="007976E3"/>
    <w:rsid w:val="007A1BDA"/>
    <w:rsid w:val="007A2274"/>
    <w:rsid w:val="007B4A2F"/>
    <w:rsid w:val="007B5B60"/>
    <w:rsid w:val="007C10D2"/>
    <w:rsid w:val="007C398E"/>
    <w:rsid w:val="007D4BDF"/>
    <w:rsid w:val="007E0881"/>
    <w:rsid w:val="007E3365"/>
    <w:rsid w:val="007F496A"/>
    <w:rsid w:val="0080138B"/>
    <w:rsid w:val="00806F34"/>
    <w:rsid w:val="00811130"/>
    <w:rsid w:val="00811593"/>
    <w:rsid w:val="00811B4F"/>
    <w:rsid w:val="00814362"/>
    <w:rsid w:val="00814B30"/>
    <w:rsid w:val="00815C6A"/>
    <w:rsid w:val="00824F00"/>
    <w:rsid w:val="00832FDE"/>
    <w:rsid w:val="008330BC"/>
    <w:rsid w:val="0083487B"/>
    <w:rsid w:val="00836CE7"/>
    <w:rsid w:val="00837FCD"/>
    <w:rsid w:val="00841CD5"/>
    <w:rsid w:val="00850619"/>
    <w:rsid w:val="00851F84"/>
    <w:rsid w:val="008522E2"/>
    <w:rsid w:val="008525F1"/>
    <w:rsid w:val="00852DEB"/>
    <w:rsid w:val="00853B32"/>
    <w:rsid w:val="00854EF2"/>
    <w:rsid w:val="0085562B"/>
    <w:rsid w:val="0086176F"/>
    <w:rsid w:val="00862640"/>
    <w:rsid w:val="00865E47"/>
    <w:rsid w:val="008705EE"/>
    <w:rsid w:val="008713AB"/>
    <w:rsid w:val="008739B8"/>
    <w:rsid w:val="008741F6"/>
    <w:rsid w:val="008779D6"/>
    <w:rsid w:val="0088000A"/>
    <w:rsid w:val="00887C45"/>
    <w:rsid w:val="008901E3"/>
    <w:rsid w:val="00890A80"/>
    <w:rsid w:val="00891BF0"/>
    <w:rsid w:val="00891CA1"/>
    <w:rsid w:val="00893FA1"/>
    <w:rsid w:val="008A1418"/>
    <w:rsid w:val="008A2CFC"/>
    <w:rsid w:val="008A35E2"/>
    <w:rsid w:val="008A4A48"/>
    <w:rsid w:val="008B2E83"/>
    <w:rsid w:val="008B4C68"/>
    <w:rsid w:val="008B64F4"/>
    <w:rsid w:val="008C158D"/>
    <w:rsid w:val="008C3117"/>
    <w:rsid w:val="008C650A"/>
    <w:rsid w:val="008C713C"/>
    <w:rsid w:val="008C7719"/>
    <w:rsid w:val="008D0810"/>
    <w:rsid w:val="008D21BE"/>
    <w:rsid w:val="008D2628"/>
    <w:rsid w:val="008D359A"/>
    <w:rsid w:val="008D5831"/>
    <w:rsid w:val="008D6515"/>
    <w:rsid w:val="008D6640"/>
    <w:rsid w:val="008E1CC4"/>
    <w:rsid w:val="008E4BA4"/>
    <w:rsid w:val="008F277D"/>
    <w:rsid w:val="008F407A"/>
    <w:rsid w:val="009021BE"/>
    <w:rsid w:val="00903258"/>
    <w:rsid w:val="00903606"/>
    <w:rsid w:val="0090381F"/>
    <w:rsid w:val="009123E0"/>
    <w:rsid w:val="00912A93"/>
    <w:rsid w:val="00920142"/>
    <w:rsid w:val="00920A95"/>
    <w:rsid w:val="009236C1"/>
    <w:rsid w:val="009268AD"/>
    <w:rsid w:val="00926D5A"/>
    <w:rsid w:val="00933006"/>
    <w:rsid w:val="009348D6"/>
    <w:rsid w:val="009351C1"/>
    <w:rsid w:val="0093671D"/>
    <w:rsid w:val="00936DF0"/>
    <w:rsid w:val="00941DED"/>
    <w:rsid w:val="00942659"/>
    <w:rsid w:val="00943FF9"/>
    <w:rsid w:val="009441FF"/>
    <w:rsid w:val="00956A97"/>
    <w:rsid w:val="00960067"/>
    <w:rsid w:val="00961BA5"/>
    <w:rsid w:val="00962765"/>
    <w:rsid w:val="00963047"/>
    <w:rsid w:val="00964843"/>
    <w:rsid w:val="00970396"/>
    <w:rsid w:val="00974414"/>
    <w:rsid w:val="009771A7"/>
    <w:rsid w:val="00977665"/>
    <w:rsid w:val="00983031"/>
    <w:rsid w:val="00984AF7"/>
    <w:rsid w:val="009861F2"/>
    <w:rsid w:val="00986BAB"/>
    <w:rsid w:val="00987620"/>
    <w:rsid w:val="0099034C"/>
    <w:rsid w:val="00993B1C"/>
    <w:rsid w:val="009A0480"/>
    <w:rsid w:val="009A347A"/>
    <w:rsid w:val="009A3A7C"/>
    <w:rsid w:val="009A4669"/>
    <w:rsid w:val="009A6569"/>
    <w:rsid w:val="009B141A"/>
    <w:rsid w:val="009B21F1"/>
    <w:rsid w:val="009B3601"/>
    <w:rsid w:val="009B4199"/>
    <w:rsid w:val="009C2BDF"/>
    <w:rsid w:val="009C6633"/>
    <w:rsid w:val="009C7314"/>
    <w:rsid w:val="009C7ED7"/>
    <w:rsid w:val="009E0122"/>
    <w:rsid w:val="009E02CF"/>
    <w:rsid w:val="009E0358"/>
    <w:rsid w:val="009E414C"/>
    <w:rsid w:val="009E44F4"/>
    <w:rsid w:val="009E7A5B"/>
    <w:rsid w:val="009F41B3"/>
    <w:rsid w:val="009F4EDA"/>
    <w:rsid w:val="00A0241F"/>
    <w:rsid w:val="00A04497"/>
    <w:rsid w:val="00A05C91"/>
    <w:rsid w:val="00A06EE1"/>
    <w:rsid w:val="00A06F76"/>
    <w:rsid w:val="00A07956"/>
    <w:rsid w:val="00A1077D"/>
    <w:rsid w:val="00A110E0"/>
    <w:rsid w:val="00A160CB"/>
    <w:rsid w:val="00A16D2C"/>
    <w:rsid w:val="00A202D5"/>
    <w:rsid w:val="00A26703"/>
    <w:rsid w:val="00A33FA5"/>
    <w:rsid w:val="00A35E06"/>
    <w:rsid w:val="00A36E15"/>
    <w:rsid w:val="00A41B8A"/>
    <w:rsid w:val="00A41CD7"/>
    <w:rsid w:val="00A432EC"/>
    <w:rsid w:val="00A43AF7"/>
    <w:rsid w:val="00A44CEB"/>
    <w:rsid w:val="00A50224"/>
    <w:rsid w:val="00A55B92"/>
    <w:rsid w:val="00A56A77"/>
    <w:rsid w:val="00A604EA"/>
    <w:rsid w:val="00A6194A"/>
    <w:rsid w:val="00A62083"/>
    <w:rsid w:val="00A637FB"/>
    <w:rsid w:val="00A654E0"/>
    <w:rsid w:val="00A65509"/>
    <w:rsid w:val="00A671C1"/>
    <w:rsid w:val="00A700FC"/>
    <w:rsid w:val="00A70830"/>
    <w:rsid w:val="00A71006"/>
    <w:rsid w:val="00A72C45"/>
    <w:rsid w:val="00A74028"/>
    <w:rsid w:val="00A76711"/>
    <w:rsid w:val="00A76989"/>
    <w:rsid w:val="00A809ED"/>
    <w:rsid w:val="00A80AD6"/>
    <w:rsid w:val="00A83677"/>
    <w:rsid w:val="00A84EBF"/>
    <w:rsid w:val="00A85D48"/>
    <w:rsid w:val="00A86086"/>
    <w:rsid w:val="00A871D3"/>
    <w:rsid w:val="00A90CA8"/>
    <w:rsid w:val="00A9396A"/>
    <w:rsid w:val="00A956CE"/>
    <w:rsid w:val="00A97AD2"/>
    <w:rsid w:val="00AA0FF2"/>
    <w:rsid w:val="00AA432C"/>
    <w:rsid w:val="00AA675A"/>
    <w:rsid w:val="00AA6D92"/>
    <w:rsid w:val="00AB0BE4"/>
    <w:rsid w:val="00AB4DC6"/>
    <w:rsid w:val="00AC121A"/>
    <w:rsid w:val="00AC2C80"/>
    <w:rsid w:val="00AC2D38"/>
    <w:rsid w:val="00AC5C96"/>
    <w:rsid w:val="00AC7D61"/>
    <w:rsid w:val="00AD24C7"/>
    <w:rsid w:val="00AD2AFD"/>
    <w:rsid w:val="00AD35A0"/>
    <w:rsid w:val="00AD3F81"/>
    <w:rsid w:val="00AD54C8"/>
    <w:rsid w:val="00AD6CD0"/>
    <w:rsid w:val="00AD7765"/>
    <w:rsid w:val="00AE0B65"/>
    <w:rsid w:val="00AE3BD4"/>
    <w:rsid w:val="00AE4582"/>
    <w:rsid w:val="00AE57DB"/>
    <w:rsid w:val="00AE63C4"/>
    <w:rsid w:val="00AF2F28"/>
    <w:rsid w:val="00AF429A"/>
    <w:rsid w:val="00AF6112"/>
    <w:rsid w:val="00AF6DAE"/>
    <w:rsid w:val="00AF707D"/>
    <w:rsid w:val="00B07C01"/>
    <w:rsid w:val="00B10615"/>
    <w:rsid w:val="00B10A40"/>
    <w:rsid w:val="00B10DFF"/>
    <w:rsid w:val="00B15B2C"/>
    <w:rsid w:val="00B17413"/>
    <w:rsid w:val="00B2293D"/>
    <w:rsid w:val="00B23573"/>
    <w:rsid w:val="00B25ABD"/>
    <w:rsid w:val="00B314BA"/>
    <w:rsid w:val="00B34CD3"/>
    <w:rsid w:val="00B4101A"/>
    <w:rsid w:val="00B41287"/>
    <w:rsid w:val="00B43B4A"/>
    <w:rsid w:val="00B47E7D"/>
    <w:rsid w:val="00B50D47"/>
    <w:rsid w:val="00B5205B"/>
    <w:rsid w:val="00B548D6"/>
    <w:rsid w:val="00B54C7D"/>
    <w:rsid w:val="00B64741"/>
    <w:rsid w:val="00B64AB8"/>
    <w:rsid w:val="00B65ADE"/>
    <w:rsid w:val="00B65BF6"/>
    <w:rsid w:val="00B669CF"/>
    <w:rsid w:val="00B66A0C"/>
    <w:rsid w:val="00B66A4B"/>
    <w:rsid w:val="00B66EDB"/>
    <w:rsid w:val="00B73BC1"/>
    <w:rsid w:val="00B7603C"/>
    <w:rsid w:val="00B80B15"/>
    <w:rsid w:val="00B82612"/>
    <w:rsid w:val="00B82A96"/>
    <w:rsid w:val="00B831B9"/>
    <w:rsid w:val="00B83B09"/>
    <w:rsid w:val="00B83B98"/>
    <w:rsid w:val="00B91637"/>
    <w:rsid w:val="00B926EF"/>
    <w:rsid w:val="00B927FD"/>
    <w:rsid w:val="00B95FBC"/>
    <w:rsid w:val="00BA0178"/>
    <w:rsid w:val="00BA092E"/>
    <w:rsid w:val="00BB086A"/>
    <w:rsid w:val="00BB1311"/>
    <w:rsid w:val="00BB5FBD"/>
    <w:rsid w:val="00BC10E1"/>
    <w:rsid w:val="00BC42AA"/>
    <w:rsid w:val="00BC433E"/>
    <w:rsid w:val="00BC43A7"/>
    <w:rsid w:val="00BD1AF6"/>
    <w:rsid w:val="00BD3D8A"/>
    <w:rsid w:val="00BD7767"/>
    <w:rsid w:val="00BE64A3"/>
    <w:rsid w:val="00BE7A97"/>
    <w:rsid w:val="00BF0BBC"/>
    <w:rsid w:val="00BF31BE"/>
    <w:rsid w:val="00BF41F3"/>
    <w:rsid w:val="00BF6D12"/>
    <w:rsid w:val="00BF77A4"/>
    <w:rsid w:val="00C000A0"/>
    <w:rsid w:val="00C02B32"/>
    <w:rsid w:val="00C0360D"/>
    <w:rsid w:val="00C04141"/>
    <w:rsid w:val="00C06206"/>
    <w:rsid w:val="00C169B2"/>
    <w:rsid w:val="00C16F92"/>
    <w:rsid w:val="00C206B2"/>
    <w:rsid w:val="00C20716"/>
    <w:rsid w:val="00C24E98"/>
    <w:rsid w:val="00C31FFD"/>
    <w:rsid w:val="00C3449A"/>
    <w:rsid w:val="00C34A1D"/>
    <w:rsid w:val="00C34C90"/>
    <w:rsid w:val="00C36931"/>
    <w:rsid w:val="00C51AD8"/>
    <w:rsid w:val="00C57552"/>
    <w:rsid w:val="00C6469D"/>
    <w:rsid w:val="00C64791"/>
    <w:rsid w:val="00C66906"/>
    <w:rsid w:val="00C670F6"/>
    <w:rsid w:val="00C6736B"/>
    <w:rsid w:val="00C70C29"/>
    <w:rsid w:val="00C7336E"/>
    <w:rsid w:val="00C73FEB"/>
    <w:rsid w:val="00C75145"/>
    <w:rsid w:val="00C80078"/>
    <w:rsid w:val="00C80D5D"/>
    <w:rsid w:val="00C80DF8"/>
    <w:rsid w:val="00C828D4"/>
    <w:rsid w:val="00C85291"/>
    <w:rsid w:val="00C935EF"/>
    <w:rsid w:val="00C941FE"/>
    <w:rsid w:val="00C94680"/>
    <w:rsid w:val="00C946FD"/>
    <w:rsid w:val="00CA0CCD"/>
    <w:rsid w:val="00CA3957"/>
    <w:rsid w:val="00CA480F"/>
    <w:rsid w:val="00CA6592"/>
    <w:rsid w:val="00CA7475"/>
    <w:rsid w:val="00CB18B2"/>
    <w:rsid w:val="00CB519A"/>
    <w:rsid w:val="00CB5D52"/>
    <w:rsid w:val="00CB71D7"/>
    <w:rsid w:val="00CC1116"/>
    <w:rsid w:val="00CC2424"/>
    <w:rsid w:val="00CC3F7B"/>
    <w:rsid w:val="00CC4A4C"/>
    <w:rsid w:val="00CD0A7B"/>
    <w:rsid w:val="00CE25B9"/>
    <w:rsid w:val="00CE3430"/>
    <w:rsid w:val="00CF0A4C"/>
    <w:rsid w:val="00CF0F3D"/>
    <w:rsid w:val="00CF65E5"/>
    <w:rsid w:val="00D01B4F"/>
    <w:rsid w:val="00D02F38"/>
    <w:rsid w:val="00D04CC9"/>
    <w:rsid w:val="00D07A74"/>
    <w:rsid w:val="00D132C9"/>
    <w:rsid w:val="00D178CB"/>
    <w:rsid w:val="00D17F3B"/>
    <w:rsid w:val="00D20D63"/>
    <w:rsid w:val="00D24091"/>
    <w:rsid w:val="00D25292"/>
    <w:rsid w:val="00D256B8"/>
    <w:rsid w:val="00D331E7"/>
    <w:rsid w:val="00D341A5"/>
    <w:rsid w:val="00D424D3"/>
    <w:rsid w:val="00D42A0A"/>
    <w:rsid w:val="00D43D15"/>
    <w:rsid w:val="00D46EB4"/>
    <w:rsid w:val="00D50413"/>
    <w:rsid w:val="00D52140"/>
    <w:rsid w:val="00D52C29"/>
    <w:rsid w:val="00D52FCE"/>
    <w:rsid w:val="00D6074B"/>
    <w:rsid w:val="00D626F7"/>
    <w:rsid w:val="00D64F74"/>
    <w:rsid w:val="00D65185"/>
    <w:rsid w:val="00D713A7"/>
    <w:rsid w:val="00D73186"/>
    <w:rsid w:val="00D733B5"/>
    <w:rsid w:val="00D7506E"/>
    <w:rsid w:val="00D80F8A"/>
    <w:rsid w:val="00D8284D"/>
    <w:rsid w:val="00D83180"/>
    <w:rsid w:val="00D84E2A"/>
    <w:rsid w:val="00D9142C"/>
    <w:rsid w:val="00D948CB"/>
    <w:rsid w:val="00D94B77"/>
    <w:rsid w:val="00D97C53"/>
    <w:rsid w:val="00DA2BDE"/>
    <w:rsid w:val="00DA527B"/>
    <w:rsid w:val="00DA68E5"/>
    <w:rsid w:val="00DA7030"/>
    <w:rsid w:val="00DA7DC5"/>
    <w:rsid w:val="00DB0AA3"/>
    <w:rsid w:val="00DB0C4C"/>
    <w:rsid w:val="00DB0F87"/>
    <w:rsid w:val="00DB2E0E"/>
    <w:rsid w:val="00DB401C"/>
    <w:rsid w:val="00DB402B"/>
    <w:rsid w:val="00DC05C7"/>
    <w:rsid w:val="00DC05C8"/>
    <w:rsid w:val="00DC329F"/>
    <w:rsid w:val="00DC499C"/>
    <w:rsid w:val="00DD1D08"/>
    <w:rsid w:val="00DD26FA"/>
    <w:rsid w:val="00DD2968"/>
    <w:rsid w:val="00DD4D11"/>
    <w:rsid w:val="00DD5D02"/>
    <w:rsid w:val="00DE1442"/>
    <w:rsid w:val="00DE1B09"/>
    <w:rsid w:val="00DE222C"/>
    <w:rsid w:val="00DE3F5C"/>
    <w:rsid w:val="00DE444E"/>
    <w:rsid w:val="00DE49CA"/>
    <w:rsid w:val="00DE572A"/>
    <w:rsid w:val="00DE657F"/>
    <w:rsid w:val="00DF46F7"/>
    <w:rsid w:val="00DF5BE5"/>
    <w:rsid w:val="00DF5CDC"/>
    <w:rsid w:val="00E02E40"/>
    <w:rsid w:val="00E03592"/>
    <w:rsid w:val="00E06CB8"/>
    <w:rsid w:val="00E159CA"/>
    <w:rsid w:val="00E17F8E"/>
    <w:rsid w:val="00E22B8C"/>
    <w:rsid w:val="00E22E5F"/>
    <w:rsid w:val="00E31756"/>
    <w:rsid w:val="00E36EDD"/>
    <w:rsid w:val="00E404E2"/>
    <w:rsid w:val="00E40882"/>
    <w:rsid w:val="00E453D9"/>
    <w:rsid w:val="00E46E93"/>
    <w:rsid w:val="00E52F88"/>
    <w:rsid w:val="00E54D10"/>
    <w:rsid w:val="00E57719"/>
    <w:rsid w:val="00E609C5"/>
    <w:rsid w:val="00E62007"/>
    <w:rsid w:val="00E6376D"/>
    <w:rsid w:val="00E65675"/>
    <w:rsid w:val="00E73752"/>
    <w:rsid w:val="00E75EE9"/>
    <w:rsid w:val="00E81C32"/>
    <w:rsid w:val="00E82AAB"/>
    <w:rsid w:val="00E83D6E"/>
    <w:rsid w:val="00E84D5B"/>
    <w:rsid w:val="00E8570D"/>
    <w:rsid w:val="00E90075"/>
    <w:rsid w:val="00E96261"/>
    <w:rsid w:val="00EA0689"/>
    <w:rsid w:val="00EA1B86"/>
    <w:rsid w:val="00EA571C"/>
    <w:rsid w:val="00EA6062"/>
    <w:rsid w:val="00EB163C"/>
    <w:rsid w:val="00EB2ECD"/>
    <w:rsid w:val="00EB4BFD"/>
    <w:rsid w:val="00EB5532"/>
    <w:rsid w:val="00EB6444"/>
    <w:rsid w:val="00EB6BB0"/>
    <w:rsid w:val="00EB6CF0"/>
    <w:rsid w:val="00EC0E8D"/>
    <w:rsid w:val="00EC33F5"/>
    <w:rsid w:val="00EC39BB"/>
    <w:rsid w:val="00ED26FE"/>
    <w:rsid w:val="00ED7BC6"/>
    <w:rsid w:val="00EE0867"/>
    <w:rsid w:val="00EE52B0"/>
    <w:rsid w:val="00EE6C20"/>
    <w:rsid w:val="00EF0DA1"/>
    <w:rsid w:val="00EF125E"/>
    <w:rsid w:val="00EF1428"/>
    <w:rsid w:val="00EF2BBD"/>
    <w:rsid w:val="00EF3E7B"/>
    <w:rsid w:val="00EF5373"/>
    <w:rsid w:val="00F029A7"/>
    <w:rsid w:val="00F04FBC"/>
    <w:rsid w:val="00F061B7"/>
    <w:rsid w:val="00F10E7F"/>
    <w:rsid w:val="00F16511"/>
    <w:rsid w:val="00F172E8"/>
    <w:rsid w:val="00F204C2"/>
    <w:rsid w:val="00F26440"/>
    <w:rsid w:val="00F26A56"/>
    <w:rsid w:val="00F3502B"/>
    <w:rsid w:val="00F354D7"/>
    <w:rsid w:val="00F36DD2"/>
    <w:rsid w:val="00F36FD1"/>
    <w:rsid w:val="00F37DBA"/>
    <w:rsid w:val="00F41FD6"/>
    <w:rsid w:val="00F429D8"/>
    <w:rsid w:val="00F53AD6"/>
    <w:rsid w:val="00F564C0"/>
    <w:rsid w:val="00F62B3D"/>
    <w:rsid w:val="00F6522E"/>
    <w:rsid w:val="00F6753E"/>
    <w:rsid w:val="00F702D3"/>
    <w:rsid w:val="00F70A8C"/>
    <w:rsid w:val="00F71E85"/>
    <w:rsid w:val="00F72473"/>
    <w:rsid w:val="00F748FE"/>
    <w:rsid w:val="00F74CFE"/>
    <w:rsid w:val="00F74F89"/>
    <w:rsid w:val="00F77D8C"/>
    <w:rsid w:val="00F80903"/>
    <w:rsid w:val="00F80D4A"/>
    <w:rsid w:val="00F864A8"/>
    <w:rsid w:val="00F86A81"/>
    <w:rsid w:val="00F900DF"/>
    <w:rsid w:val="00F921B9"/>
    <w:rsid w:val="00F945EF"/>
    <w:rsid w:val="00F9595B"/>
    <w:rsid w:val="00FA043D"/>
    <w:rsid w:val="00FA3E90"/>
    <w:rsid w:val="00FA556F"/>
    <w:rsid w:val="00FA7C59"/>
    <w:rsid w:val="00FB1170"/>
    <w:rsid w:val="00FB2D4D"/>
    <w:rsid w:val="00FB615B"/>
    <w:rsid w:val="00FB7CD3"/>
    <w:rsid w:val="00FC2069"/>
    <w:rsid w:val="00FC2F85"/>
    <w:rsid w:val="00FC4219"/>
    <w:rsid w:val="00FC44FC"/>
    <w:rsid w:val="00FC462B"/>
    <w:rsid w:val="00FC53C4"/>
    <w:rsid w:val="00FD234E"/>
    <w:rsid w:val="00FD26CF"/>
    <w:rsid w:val="00FD6C74"/>
    <w:rsid w:val="00FE0C41"/>
    <w:rsid w:val="00FE30C1"/>
    <w:rsid w:val="00FE3A97"/>
    <w:rsid w:val="00FE7707"/>
    <w:rsid w:val="00FF0BCB"/>
    <w:rsid w:val="00FF155F"/>
    <w:rsid w:val="00FF338B"/>
    <w:rsid w:val="00FF4552"/>
    <w:rsid w:val="00FF47C9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21BE"/>
    <w:pPr>
      <w:keepNext/>
      <w:jc w:val="center"/>
      <w:outlineLvl w:val="0"/>
    </w:pPr>
    <w:rPr>
      <w:rFonts w:ascii="Book Antiqua" w:hAnsi="Book Antiqua"/>
      <w:b/>
      <w:bCs/>
      <w:color w:val="000000"/>
      <w:kern w:val="0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1C44"/>
    <w:rPr>
      <w:rFonts w:ascii="Calibri" w:eastAsia="宋体" w:hAnsi="Calibri" w:cs="Times New Roman"/>
      <w:sz w:val="18"/>
      <w:szCs w:val="18"/>
    </w:rPr>
  </w:style>
  <w:style w:type="paragraph" w:customStyle="1" w:styleId="p1">
    <w:name w:val="p1"/>
    <w:basedOn w:val="a"/>
    <w:rsid w:val="00071C44"/>
    <w:pPr>
      <w:widowControl/>
      <w:spacing w:line="360" w:lineRule="auto"/>
      <w:ind w:firstLine="420"/>
    </w:pPr>
    <w:rPr>
      <w:kern w:val="0"/>
      <w:sz w:val="20"/>
      <w:szCs w:val="20"/>
    </w:rPr>
  </w:style>
  <w:style w:type="paragraph" w:styleId="a4">
    <w:name w:val="footnote text"/>
    <w:basedOn w:val="a"/>
    <w:link w:val="Char0"/>
    <w:uiPriority w:val="99"/>
    <w:rsid w:val="00071C44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071C44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basedOn w:val="a0"/>
    <w:uiPriority w:val="99"/>
    <w:rsid w:val="00071C44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07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71C4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2BD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6736B"/>
    <w:rPr>
      <w:color w:val="0000FF"/>
      <w:u w:val="single"/>
    </w:rPr>
  </w:style>
  <w:style w:type="table" w:styleId="a9">
    <w:name w:val="Table Grid"/>
    <w:basedOn w:val="a1"/>
    <w:uiPriority w:val="59"/>
    <w:rsid w:val="00503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9021BE"/>
    <w:rPr>
      <w:rFonts w:ascii="Book Antiqua" w:eastAsia="宋体" w:hAnsi="Book Antiqua" w:cs="Times New Roman"/>
      <w:b/>
      <w:bCs/>
      <w:color w:val="000000"/>
      <w:kern w:val="0"/>
      <w:sz w:val="28"/>
      <w:szCs w:val="30"/>
    </w:rPr>
  </w:style>
  <w:style w:type="paragraph" w:styleId="aa">
    <w:name w:val="Body Text"/>
    <w:basedOn w:val="a"/>
    <w:link w:val="Char2"/>
    <w:rsid w:val="009021BE"/>
    <w:pPr>
      <w:spacing w:after="120"/>
    </w:pPr>
    <w:rPr>
      <w:sz w:val="32"/>
      <w:szCs w:val="20"/>
    </w:rPr>
  </w:style>
  <w:style w:type="character" w:customStyle="1" w:styleId="Char2">
    <w:name w:val="正文文本 Char"/>
    <w:basedOn w:val="a0"/>
    <w:link w:val="aa"/>
    <w:rsid w:val="009021BE"/>
    <w:rPr>
      <w:rFonts w:ascii="Calibri" w:eastAsia="宋体" w:hAnsi="Calibri" w:cs="Times New Roman"/>
      <w:sz w:val="32"/>
      <w:szCs w:val="20"/>
    </w:rPr>
  </w:style>
  <w:style w:type="paragraph" w:styleId="2">
    <w:name w:val="Body Text Indent 2"/>
    <w:basedOn w:val="a"/>
    <w:link w:val="2Char"/>
    <w:rsid w:val="009021BE"/>
    <w:pPr>
      <w:spacing w:after="120" w:line="480" w:lineRule="auto"/>
      <w:ind w:leftChars="200" w:left="420"/>
    </w:pPr>
    <w:rPr>
      <w:rFonts w:ascii="仿宋_GB2312" w:eastAsia="仿宋_GB2312" w:hAnsi="Times New Roman"/>
      <w:szCs w:val="24"/>
    </w:rPr>
  </w:style>
  <w:style w:type="character" w:customStyle="1" w:styleId="2Char">
    <w:name w:val="正文文本缩进 2 Char"/>
    <w:basedOn w:val="a0"/>
    <w:link w:val="2"/>
    <w:rsid w:val="009021BE"/>
    <w:rPr>
      <w:rFonts w:ascii="仿宋_GB2312" w:eastAsia="仿宋_GB2312" w:hAnsi="Times New Roman" w:cs="Times New Roman"/>
      <w:szCs w:val="24"/>
    </w:rPr>
  </w:style>
  <w:style w:type="paragraph" w:styleId="ab">
    <w:name w:val="No Spacing"/>
    <w:uiPriority w:val="1"/>
    <w:qFormat/>
    <w:rsid w:val="00FB7CD3"/>
    <w:pPr>
      <w:adjustRightInd w:val="0"/>
      <w:snapToGrid w:val="0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9716-6B80-4AEB-BA3E-853079D1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张卓</dc:creator>
  <cp:keywords/>
  <dc:description/>
  <cp:lastModifiedBy>张卓</cp:lastModifiedBy>
  <cp:revision>3</cp:revision>
  <cp:lastPrinted>2015-07-06T08:28:00Z</cp:lastPrinted>
  <dcterms:created xsi:type="dcterms:W3CDTF">2015-07-31T03:19:00Z</dcterms:created>
  <dcterms:modified xsi:type="dcterms:W3CDTF">2015-07-31T03:20:00Z</dcterms:modified>
</cp:coreProperties>
</file>