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5"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left"/>
              <w:rPr>
                <w:rFonts w:ascii="Times New Roman" w:hAnsi="Times New Roman" w:eastAsia="仿宋_GB2312" w:cs="Times New Roman"/>
                <w:sz w:val="24"/>
                <w:szCs w:val="24"/>
              </w:rPr>
            </w:pPr>
          </w:p>
        </w:tc>
        <w:tc>
          <w:tcPr>
            <w:tcW w:w="792" w:type="dxa"/>
            <w:vMerge w:val="restar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 w:hRule="atLeast"/>
        </w:trPr>
        <w:tc>
          <w:tcPr>
            <w:tcW w:w="6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vAlign w:val="center"/>
          </w:tcPr>
          <w:p>
            <w:pPr>
              <w:jc w:val="center"/>
              <w:rPr>
                <w:rFonts w:ascii="Times New Roman" w:hAnsi="Times New Roman" w:eastAsia="仿宋_GB2312" w:cs="Times New Roman"/>
                <w:sz w:val="24"/>
                <w:szCs w:val="24"/>
              </w:rPr>
            </w:pPr>
          </w:p>
        </w:tc>
        <w:tc>
          <w:tcPr>
            <w:tcW w:w="792" w:type="dxa"/>
            <w:vMerge w:val="continue"/>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（1）申请人持《银行办理调运外币现钞进出境业务备案表》（一式两份）及有关材料，向所在地国家外汇管理局分局（外汇管理部）进行备案。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（2）分局（外汇管理部）收到申请人内容齐全的备案材料后，在其提交的《银行办理调运外币现钞进出境业务备案表》上加盖签章予以确认，并将其中一份备案表退还申请人留存。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外汇管理部）应自申请人备案之日起10个工作日内将备案银行情况书面通知当地直属海关，同时抄送国家外汇管理局及辖内中心支局、支局；当地直属海关收到当地分局（外汇管理部）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外汇管理部）提交《银行停办调运外币现钞进出境业务备案表》履行停办备案手续。分局（外汇管理部）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加盖国家外汇管理局分局（外汇管理部）签章的《银行调运外币现钞进出境业务备案表》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hint="eastAsia" w:ascii="Times New Roman" w:hAnsi="Times New Roman" w:eastAsia="黑体" w:cs="Times New Roman"/>
          <w:sz w:val="30"/>
          <w:szCs w:val="30"/>
          <w:lang w:val="en-US" w:eastAsia="zh-CN"/>
        </w:rPr>
      </w:pPr>
      <w:r>
        <w:rPr>
          <w:rFonts w:hint="eastAsia" w:ascii="黑体" w:hAnsi="黑体" w:eastAsia="黑体" w:cs="黑体"/>
          <w:b w:val="0"/>
          <w:bCs w:val="0"/>
          <w:sz w:val="30"/>
          <w:szCs w:val="30"/>
          <w:lang w:eastAsia="zh-CN"/>
        </w:rPr>
        <w:t>（十六）</w:t>
      </w:r>
      <w:r>
        <w:rPr>
          <w:rFonts w:hint="eastAsia" w:ascii="Times New Roman" w:hAnsi="Times New Roman" w:eastAsia="黑体" w:cs="Times New Roman"/>
          <w:sz w:val="30"/>
          <w:szCs w:val="30"/>
          <w:lang w:eastAsia="zh-CN"/>
        </w:rPr>
        <w:t>办公场所、</w:t>
      </w:r>
      <w:r>
        <w:rPr>
          <w:rFonts w:hint="eastAsia" w:ascii="Times New Roman" w:hAnsi="Times New Roman" w:eastAsia="黑体" w:cs="Times New Roman"/>
          <w:sz w:val="30"/>
          <w:szCs w:val="30"/>
        </w:rPr>
        <w:t>咨询途径、监督和投诉</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 窗口：国家外汇管理局山西省分局国际收支科</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办公地址：山西省太原市迎泽大街135号（中国人民银行山西省分行</w:t>
      </w:r>
      <w:bookmarkStart w:id="0" w:name="_GoBack"/>
      <w:bookmarkEnd w:id="0"/>
      <w:r>
        <w:rPr>
          <w:rFonts w:hint="eastAsia" w:ascii="仿宋_GB2312" w:hAnsi="仿宋_GB2312" w:eastAsia="仿宋_GB2312" w:cs="仿宋_GB2312"/>
          <w:sz w:val="30"/>
          <w:szCs w:val="30"/>
          <w:lang w:val="en-US" w:eastAsia="zh-CN"/>
        </w:rPr>
        <w:t>办公楼2213室）</w:t>
      </w:r>
    </w:p>
    <w:p>
      <w:pPr>
        <w:widowControl w:val="0"/>
        <w:numPr>
          <w:ilvl w:val="0"/>
          <w:numId w:val="1"/>
        </w:numPr>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电话：0351-4922858;0351-4922848;0351-4922875；</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3.办公时间：周一至周五，除节假日外，上午：8：30-12：00  下午：14：30-17：30。</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 信件邮寄地址：国家外汇管理局山西省分局国际收支科，邮政编码030001。</w:t>
      </w:r>
    </w:p>
    <w:p>
      <w:pPr>
        <w:widowControl w:val="0"/>
        <w:wordWrap/>
        <w:adjustRightInd/>
        <w:snapToGrid/>
        <w:spacing w:line="360" w:lineRule="auto"/>
        <w:ind w:left="0" w:leftChars="0" w:right="0" w:firstLine="600" w:firstLineChars="20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 网址：国家外汇管理局山西省分局官方互联网站（网址可通过</w:t>
      </w:r>
      <w:r>
        <w:rPr>
          <w:rFonts w:hint="eastAsia" w:ascii="仿宋_GB2312" w:hAnsi="仿宋_GB2312" w:eastAsia="仿宋_GB2312" w:cs="仿宋_GB2312"/>
          <w:sz w:val="30"/>
          <w:szCs w:val="30"/>
          <w:lang w:val="en-US" w:eastAsia="zh-CN"/>
        </w:rPr>
        <w:fldChar w:fldCharType="begin"/>
      </w:r>
      <w:r>
        <w:rPr>
          <w:rFonts w:hint="eastAsia" w:ascii="仿宋_GB2312" w:hAnsi="仿宋_GB2312" w:eastAsia="仿宋_GB2312" w:cs="仿宋_GB2312"/>
          <w:sz w:val="30"/>
          <w:szCs w:val="30"/>
          <w:lang w:val="en-US" w:eastAsia="zh-CN"/>
        </w:rPr>
        <w:instrText xml:space="preserve"> HYPERLINK "http://www.safe.gov.cn" </w:instrText>
      </w:r>
      <w:r>
        <w:rPr>
          <w:rFonts w:hint="eastAsia" w:ascii="仿宋_GB2312" w:hAnsi="仿宋_GB2312" w:eastAsia="仿宋_GB2312" w:cs="仿宋_GB2312"/>
          <w:sz w:val="30"/>
          <w:szCs w:val="30"/>
          <w:lang w:val="en-US" w:eastAsia="zh-CN"/>
        </w:rPr>
        <w:fldChar w:fldCharType="separate"/>
      </w:r>
      <w:r>
        <w:rPr>
          <w:rFonts w:hint="eastAsia" w:ascii="仿宋_GB2312" w:hAnsi="仿宋_GB2312" w:eastAsia="仿宋_GB2312" w:cs="仿宋_GB2312"/>
          <w:sz w:val="30"/>
          <w:szCs w:val="30"/>
          <w:lang w:val="en-US" w:eastAsia="zh-CN"/>
        </w:rPr>
        <w:t>www.safe.gov.cn</w:t>
      </w:r>
      <w:r>
        <w:rPr>
          <w:rFonts w:hint="eastAsia" w:ascii="仿宋_GB2312" w:hAnsi="仿宋_GB2312" w:eastAsia="仿宋_GB2312" w:cs="仿宋_GB2312"/>
          <w:sz w:val="30"/>
          <w:szCs w:val="30"/>
          <w:lang w:val="en-US" w:eastAsia="zh-CN"/>
        </w:rPr>
        <w:fldChar w:fldCharType="end"/>
      </w:r>
      <w:r>
        <w:rPr>
          <w:rFonts w:hint="eastAsia" w:ascii="仿宋_GB2312" w:hAnsi="仿宋_GB2312" w:eastAsia="仿宋_GB2312" w:cs="仿宋_GB2312"/>
          <w:sz w:val="30"/>
          <w:szCs w:val="30"/>
          <w:lang w:val="en-US" w:eastAsia="zh-CN"/>
        </w:rPr>
        <w:t>进行链接查找）。</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7" o:spid="_x0000_s1027" style="position:absolute;left:0;margin-left:-41.35pt;margin-top:16.05pt;height:439.05pt;width:474.15pt;rotation:0f;z-index:251658240;" coordorigin="718,3009" coordsize="9483,8781">
            <o:lock v:ext="edit" position="f" selection="f" grouping="f" rotation="f" cropping="f" text="f" aspectratio="f"/>
            <v:roundrect id="圆角矩形 20" o:spid="_x0000_s1028" style="position:absolute;left:1298;top:3009;height:1684;width:297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9" style="position:absolute;left:7272;top:4592;height:674;width:292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420" w:firstLineChars="200"/>
                    </w:pPr>
                    <w:r>
                      <w:rPr>
                        <w:rFonts w:hint="eastAsia"/>
                      </w:rPr>
                      <w:t>申请人补全材料</w:t>
                    </w:r>
                  </w:p>
                </w:txbxContent>
              </v:textbox>
            </v:roundrect>
            <v:roundrect id="圆角矩形 10" o:spid="_x0000_s1030" style="position:absolute;left:4730;top:5541;height:500;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oundrect>
            <v:roundrect id="圆角矩形 8" o:spid="_x0000_s1031" style="position:absolute;left:4699;top:6297;height:906;width:536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oundrect>
            <v:roundrect id="圆角矩形 14" o:spid="_x0000_s1032" style="position:absolute;left:3434;top:7971;height:603;width:4218;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ind w:firstLine="525" w:firstLineChars="250"/>
                    </w:pPr>
                    <w:r>
                      <w:rPr>
                        <w:rFonts w:hint="eastAsia"/>
                      </w:rPr>
                      <w:t>依法应予受理，出具受理单</w:t>
                    </w:r>
                  </w:p>
                </w:txbxContent>
              </v:textbox>
            </v:roundrect>
            <v:roundrect id="圆角矩形 1" o:spid="_x0000_s1033" style="position:absolute;left:3434;top:9011;height:702;width:4219;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txbxContent>
              </v:textbox>
            </v:roundrect>
            <v:roundrect id="圆角矩形 5" o:spid="_x0000_s1034" style="position:absolute;left:6174;top:10618;height:1172;width:3617;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txbxContent>
              </v:textbox>
            </v:roundrect>
            <v:roundrect id="圆角矩形 4" o:spid="_x0000_s1035" style="position:absolute;left:1848;top:10618;height:1172;width:3952;rotation:0f;" o:ole="f" fillcolor="#FFFFFF" filled="t" o:preferrelative="t" stroked="t" coordsize="21600,21600" arcsize="16.6666666666667%">
              <v:stroke color="#000000" color2="#FFFFFF" miterlimit="2"/>
              <v:imagedata gain="65536f" blacklevel="0f" gamma="0"/>
              <o:lock v:ext="edit" position="f" selection="f" grouping="f" rotation="f" cropping="f" text="f" aspectratio="f"/>
              <v:textbox>
                <w:txbxContent>
                  <w:p>
                    <w:r>
                      <w:rPr>
                        <w:rFonts w:hint="eastAsia"/>
                      </w:rPr>
                      <w:t>予以许可，向申请人出具加盖签章的备案表</w:t>
                    </w:r>
                  </w:p>
                </w:txbxContent>
              </v:textbox>
            </v:roundrect>
            <v:shape id="直接箭头连接符 18" o:spid="_x0000_s1036" type="#_x0000_t32" style="position:absolute;left:2355;top:4936;height:0;width:499;rotation:589824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1" o:spid="_x0000_s1037" type="#_x0000_t34" style="position:absolute;left:3525;top:565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7" o:spid="_x0000_s1038" type="#_x0000_t34" style="position:absolute;left:3525;top:6735;height:1;width:1172;rotation:0f;" o:ole="f" fillcolor="#FFFFFF" filled="t" o:preferrelative="t" stroked="t" coordorigin="0,0" coordsize="21600,21600" adj="10800">
              <v:stroke color="#000000" color2="#FFFFFF" miterlimit="2" endarrow="block"/>
              <v:imagedata gain="65536f" blacklevel="0f" gamma="0"/>
              <o:lock v:ext="edit" position="f" selection="f" grouping="f" rotation="f" cropping="f" text="f" aspectratio="f"/>
            </v:shape>
            <v:shape id="直接箭头连接符 19" o:spid="_x0000_s1039" type="#_x0000_t32" style="position:absolute;left:2629;top:4981;flip:x;height:1;width:464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3" o:spid="_x0000_s1040" type="#_x0000_t32" style="position:absolute;left:5490;top:8574;height:437;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3" o:spid="_x0000_s1041" type="#_x0000_t32" style="position:absolute;left:6771;top:9713;height:90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2" o:spid="_x0000_s1042" type="#_x0000_t32" style="position:absolute;left:4289;top:9713;height:90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直接箭头连接符 15" o:spid="_x0000_s1043" type="#_x0000_t32" style="position:absolute;left:2612;top:6826;height:139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直接箭头连接符 16" o:spid="_x0000_s1044" type="#_x0000_t32" style="position:absolute;left:2612;top:8217;height:0;width:822;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流程图: 决策 6" o:spid="_x0000_s1045" type="#_x0000_t110" style="position:absolute;left:718;top:5192;height:2011;width:379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shape id="Straight Connector 86" o:spid="_x0000_s1046" type="#_x0000_t32" style="position:absolute;left:8910;top:5266;flip:y;height:27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w:pic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8"/>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20"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2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52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6</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6</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30588422">
    <w:nsid w:val="6130CE06"/>
    <w:multiLevelType w:val="singleLevel"/>
    <w:tmpl w:val="6130CE06"/>
    <w:lvl w:ilvl="0" w:tentative="1">
      <w:start w:val="2"/>
      <w:numFmt w:val="decimal"/>
      <w:suff w:val="space"/>
      <w:lvlText w:val="%1."/>
      <w:lvlJc w:val="left"/>
    </w:lvl>
  </w:abstractNum>
  <w:num w:numId="1">
    <w:abstractNumId w:val="16305884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41960"/>
    <w:rsid w:val="00042B58"/>
    <w:rsid w:val="00054B00"/>
    <w:rsid w:val="00055270"/>
    <w:rsid w:val="00057F76"/>
    <w:rsid w:val="0006200B"/>
    <w:rsid w:val="0006560A"/>
    <w:rsid w:val="00072F8A"/>
    <w:rsid w:val="000750C8"/>
    <w:rsid w:val="00080630"/>
    <w:rsid w:val="00091661"/>
    <w:rsid w:val="00092D53"/>
    <w:rsid w:val="00096CBB"/>
    <w:rsid w:val="00097F7B"/>
    <w:rsid w:val="000B1B41"/>
    <w:rsid w:val="000B6901"/>
    <w:rsid w:val="000B728B"/>
    <w:rsid w:val="000C15B3"/>
    <w:rsid w:val="000C2B33"/>
    <w:rsid w:val="000D1995"/>
    <w:rsid w:val="000D58AA"/>
    <w:rsid w:val="000D7478"/>
    <w:rsid w:val="000F4F5C"/>
    <w:rsid w:val="00120DFD"/>
    <w:rsid w:val="00121179"/>
    <w:rsid w:val="0012271F"/>
    <w:rsid w:val="00130519"/>
    <w:rsid w:val="00135BEE"/>
    <w:rsid w:val="0014667A"/>
    <w:rsid w:val="00154B58"/>
    <w:rsid w:val="00157C64"/>
    <w:rsid w:val="00157E81"/>
    <w:rsid w:val="00170126"/>
    <w:rsid w:val="00177059"/>
    <w:rsid w:val="00181D3E"/>
    <w:rsid w:val="00185A51"/>
    <w:rsid w:val="00186BC2"/>
    <w:rsid w:val="00196FAE"/>
    <w:rsid w:val="001A3E49"/>
    <w:rsid w:val="001A72AA"/>
    <w:rsid w:val="001B09C8"/>
    <w:rsid w:val="001B1E2C"/>
    <w:rsid w:val="001C44C7"/>
    <w:rsid w:val="001D65A2"/>
    <w:rsid w:val="001E1407"/>
    <w:rsid w:val="001F08A9"/>
    <w:rsid w:val="001F4BD4"/>
    <w:rsid w:val="001F7297"/>
    <w:rsid w:val="00205D07"/>
    <w:rsid w:val="00212F39"/>
    <w:rsid w:val="00217116"/>
    <w:rsid w:val="00226CDF"/>
    <w:rsid w:val="00231EED"/>
    <w:rsid w:val="00233841"/>
    <w:rsid w:val="002343C8"/>
    <w:rsid w:val="00235736"/>
    <w:rsid w:val="00235F24"/>
    <w:rsid w:val="002417D2"/>
    <w:rsid w:val="00241FE8"/>
    <w:rsid w:val="0024527E"/>
    <w:rsid w:val="00253F7B"/>
    <w:rsid w:val="00263773"/>
    <w:rsid w:val="00263B1F"/>
    <w:rsid w:val="00271A6A"/>
    <w:rsid w:val="00281976"/>
    <w:rsid w:val="00291C17"/>
    <w:rsid w:val="0029313A"/>
    <w:rsid w:val="002A668C"/>
    <w:rsid w:val="002B0B1C"/>
    <w:rsid w:val="002B598D"/>
    <w:rsid w:val="002B61C1"/>
    <w:rsid w:val="002C38CF"/>
    <w:rsid w:val="002D5B1D"/>
    <w:rsid w:val="002E1323"/>
    <w:rsid w:val="002F2D2F"/>
    <w:rsid w:val="002F3868"/>
    <w:rsid w:val="002F633D"/>
    <w:rsid w:val="00300EF5"/>
    <w:rsid w:val="00302119"/>
    <w:rsid w:val="00302E87"/>
    <w:rsid w:val="00307F23"/>
    <w:rsid w:val="00310261"/>
    <w:rsid w:val="00317654"/>
    <w:rsid w:val="0031779B"/>
    <w:rsid w:val="003425E6"/>
    <w:rsid w:val="00343044"/>
    <w:rsid w:val="00344B01"/>
    <w:rsid w:val="00353AC4"/>
    <w:rsid w:val="003616B4"/>
    <w:rsid w:val="00373EC0"/>
    <w:rsid w:val="00382911"/>
    <w:rsid w:val="003A090F"/>
    <w:rsid w:val="003A57B2"/>
    <w:rsid w:val="003A7229"/>
    <w:rsid w:val="003B755F"/>
    <w:rsid w:val="003C0E26"/>
    <w:rsid w:val="003C7132"/>
    <w:rsid w:val="003D5E28"/>
    <w:rsid w:val="003D607A"/>
    <w:rsid w:val="003D77A5"/>
    <w:rsid w:val="003E6BF6"/>
    <w:rsid w:val="003F221D"/>
    <w:rsid w:val="003F3097"/>
    <w:rsid w:val="00402AE8"/>
    <w:rsid w:val="00404C3E"/>
    <w:rsid w:val="00405FE6"/>
    <w:rsid w:val="004105BC"/>
    <w:rsid w:val="00420571"/>
    <w:rsid w:val="00421C27"/>
    <w:rsid w:val="00440A1F"/>
    <w:rsid w:val="00443603"/>
    <w:rsid w:val="00443604"/>
    <w:rsid w:val="004501EA"/>
    <w:rsid w:val="00452108"/>
    <w:rsid w:val="00460458"/>
    <w:rsid w:val="004626B7"/>
    <w:rsid w:val="0046792D"/>
    <w:rsid w:val="00475E80"/>
    <w:rsid w:val="004767DF"/>
    <w:rsid w:val="00493CCC"/>
    <w:rsid w:val="004A0218"/>
    <w:rsid w:val="004A7840"/>
    <w:rsid w:val="004B545A"/>
    <w:rsid w:val="004B7E80"/>
    <w:rsid w:val="004C457E"/>
    <w:rsid w:val="004C48D5"/>
    <w:rsid w:val="004D03B7"/>
    <w:rsid w:val="004D1436"/>
    <w:rsid w:val="004D2003"/>
    <w:rsid w:val="004D4EF1"/>
    <w:rsid w:val="004D57AE"/>
    <w:rsid w:val="004E6A8C"/>
    <w:rsid w:val="004E6C83"/>
    <w:rsid w:val="005056D4"/>
    <w:rsid w:val="0051145B"/>
    <w:rsid w:val="0052193E"/>
    <w:rsid w:val="00526B2B"/>
    <w:rsid w:val="00530798"/>
    <w:rsid w:val="005362B0"/>
    <w:rsid w:val="00542447"/>
    <w:rsid w:val="00564312"/>
    <w:rsid w:val="0056467D"/>
    <w:rsid w:val="005A2981"/>
    <w:rsid w:val="005C3FAA"/>
    <w:rsid w:val="005C6937"/>
    <w:rsid w:val="005C7F02"/>
    <w:rsid w:val="005E1B5C"/>
    <w:rsid w:val="005F0A86"/>
    <w:rsid w:val="005F144A"/>
    <w:rsid w:val="005F1C00"/>
    <w:rsid w:val="0061621E"/>
    <w:rsid w:val="006245C1"/>
    <w:rsid w:val="00624687"/>
    <w:rsid w:val="00630AA8"/>
    <w:rsid w:val="00630B2E"/>
    <w:rsid w:val="00630E72"/>
    <w:rsid w:val="00643D2A"/>
    <w:rsid w:val="0066041A"/>
    <w:rsid w:val="00660FD7"/>
    <w:rsid w:val="00664E11"/>
    <w:rsid w:val="00673B30"/>
    <w:rsid w:val="00696E5D"/>
    <w:rsid w:val="006A1005"/>
    <w:rsid w:val="006A1A06"/>
    <w:rsid w:val="006B49E8"/>
    <w:rsid w:val="006B5B86"/>
    <w:rsid w:val="006C5908"/>
    <w:rsid w:val="006C633E"/>
    <w:rsid w:val="006D56AB"/>
    <w:rsid w:val="006D734F"/>
    <w:rsid w:val="006D74BC"/>
    <w:rsid w:val="006E043F"/>
    <w:rsid w:val="006E4695"/>
    <w:rsid w:val="006E4B8B"/>
    <w:rsid w:val="006E5901"/>
    <w:rsid w:val="006F6D10"/>
    <w:rsid w:val="0071091C"/>
    <w:rsid w:val="00714961"/>
    <w:rsid w:val="00732E0D"/>
    <w:rsid w:val="00744BD5"/>
    <w:rsid w:val="00745748"/>
    <w:rsid w:val="00747B03"/>
    <w:rsid w:val="00750E36"/>
    <w:rsid w:val="00753CB0"/>
    <w:rsid w:val="00755460"/>
    <w:rsid w:val="00761FB7"/>
    <w:rsid w:val="00762107"/>
    <w:rsid w:val="00764CB9"/>
    <w:rsid w:val="00765B05"/>
    <w:rsid w:val="0077269F"/>
    <w:rsid w:val="00785F45"/>
    <w:rsid w:val="007A07F1"/>
    <w:rsid w:val="007A2780"/>
    <w:rsid w:val="007A68EA"/>
    <w:rsid w:val="007B06FC"/>
    <w:rsid w:val="007B0FEF"/>
    <w:rsid w:val="007B2DB5"/>
    <w:rsid w:val="007D2C11"/>
    <w:rsid w:val="007D6171"/>
    <w:rsid w:val="007D69EA"/>
    <w:rsid w:val="007E2C7B"/>
    <w:rsid w:val="007E411B"/>
    <w:rsid w:val="007F0863"/>
    <w:rsid w:val="007F2F3B"/>
    <w:rsid w:val="00800D52"/>
    <w:rsid w:val="00802307"/>
    <w:rsid w:val="0082168E"/>
    <w:rsid w:val="00821968"/>
    <w:rsid w:val="0084639E"/>
    <w:rsid w:val="008471B6"/>
    <w:rsid w:val="00851521"/>
    <w:rsid w:val="0085686A"/>
    <w:rsid w:val="00860878"/>
    <w:rsid w:val="008731FF"/>
    <w:rsid w:val="0088294A"/>
    <w:rsid w:val="00884A76"/>
    <w:rsid w:val="0089282A"/>
    <w:rsid w:val="008A4538"/>
    <w:rsid w:val="008A704B"/>
    <w:rsid w:val="008B08D2"/>
    <w:rsid w:val="008B3B99"/>
    <w:rsid w:val="008B4EE5"/>
    <w:rsid w:val="008B5807"/>
    <w:rsid w:val="008C4A01"/>
    <w:rsid w:val="008D5FA0"/>
    <w:rsid w:val="008E2D38"/>
    <w:rsid w:val="008E6FDE"/>
    <w:rsid w:val="008F5724"/>
    <w:rsid w:val="008F5900"/>
    <w:rsid w:val="00902633"/>
    <w:rsid w:val="009027D8"/>
    <w:rsid w:val="0090372F"/>
    <w:rsid w:val="00911E27"/>
    <w:rsid w:val="00911E9A"/>
    <w:rsid w:val="0092129A"/>
    <w:rsid w:val="00925BB2"/>
    <w:rsid w:val="00930C8C"/>
    <w:rsid w:val="009341A0"/>
    <w:rsid w:val="009360EA"/>
    <w:rsid w:val="00947C57"/>
    <w:rsid w:val="00951149"/>
    <w:rsid w:val="00960EDB"/>
    <w:rsid w:val="009622DB"/>
    <w:rsid w:val="009664BC"/>
    <w:rsid w:val="00980F02"/>
    <w:rsid w:val="00991B77"/>
    <w:rsid w:val="00997523"/>
    <w:rsid w:val="009A0C5D"/>
    <w:rsid w:val="009A58EB"/>
    <w:rsid w:val="009A759D"/>
    <w:rsid w:val="009C4672"/>
    <w:rsid w:val="009C491B"/>
    <w:rsid w:val="009D0911"/>
    <w:rsid w:val="009D24F8"/>
    <w:rsid w:val="009D688C"/>
    <w:rsid w:val="009F7A36"/>
    <w:rsid w:val="00A05404"/>
    <w:rsid w:val="00A1258B"/>
    <w:rsid w:val="00A249C2"/>
    <w:rsid w:val="00A24FAB"/>
    <w:rsid w:val="00A27E4F"/>
    <w:rsid w:val="00A301E7"/>
    <w:rsid w:val="00A3068F"/>
    <w:rsid w:val="00A42E69"/>
    <w:rsid w:val="00A45CA7"/>
    <w:rsid w:val="00A51415"/>
    <w:rsid w:val="00A6014E"/>
    <w:rsid w:val="00A60356"/>
    <w:rsid w:val="00A66F2C"/>
    <w:rsid w:val="00A81DF1"/>
    <w:rsid w:val="00A90EF3"/>
    <w:rsid w:val="00AA7717"/>
    <w:rsid w:val="00AB131E"/>
    <w:rsid w:val="00AB60F8"/>
    <w:rsid w:val="00AB644F"/>
    <w:rsid w:val="00AC3F5E"/>
    <w:rsid w:val="00AE7ACF"/>
    <w:rsid w:val="00B06409"/>
    <w:rsid w:val="00B10912"/>
    <w:rsid w:val="00B17D66"/>
    <w:rsid w:val="00B31FD9"/>
    <w:rsid w:val="00B33782"/>
    <w:rsid w:val="00B35D3A"/>
    <w:rsid w:val="00B422F1"/>
    <w:rsid w:val="00B71531"/>
    <w:rsid w:val="00B7456C"/>
    <w:rsid w:val="00B84131"/>
    <w:rsid w:val="00B8630E"/>
    <w:rsid w:val="00B931F4"/>
    <w:rsid w:val="00B95573"/>
    <w:rsid w:val="00B96395"/>
    <w:rsid w:val="00BA2AF8"/>
    <w:rsid w:val="00BB2650"/>
    <w:rsid w:val="00BB5B14"/>
    <w:rsid w:val="00BB5BDC"/>
    <w:rsid w:val="00BB7683"/>
    <w:rsid w:val="00BB7B76"/>
    <w:rsid w:val="00BC7E04"/>
    <w:rsid w:val="00BD233D"/>
    <w:rsid w:val="00BD6698"/>
    <w:rsid w:val="00BF05C0"/>
    <w:rsid w:val="00BF4EF0"/>
    <w:rsid w:val="00C01775"/>
    <w:rsid w:val="00C02E44"/>
    <w:rsid w:val="00C147D2"/>
    <w:rsid w:val="00C2075F"/>
    <w:rsid w:val="00C2377A"/>
    <w:rsid w:val="00C23799"/>
    <w:rsid w:val="00C274C9"/>
    <w:rsid w:val="00C31E02"/>
    <w:rsid w:val="00C405CF"/>
    <w:rsid w:val="00C45BC1"/>
    <w:rsid w:val="00C54291"/>
    <w:rsid w:val="00C55166"/>
    <w:rsid w:val="00C672C3"/>
    <w:rsid w:val="00C712B2"/>
    <w:rsid w:val="00C94325"/>
    <w:rsid w:val="00C946FA"/>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93E78"/>
    <w:rsid w:val="00DA7D86"/>
    <w:rsid w:val="00DC6E91"/>
    <w:rsid w:val="00DC7514"/>
    <w:rsid w:val="00DD3845"/>
    <w:rsid w:val="00DD3C89"/>
    <w:rsid w:val="00E1687A"/>
    <w:rsid w:val="00E20A2E"/>
    <w:rsid w:val="00E277DE"/>
    <w:rsid w:val="00E27EE9"/>
    <w:rsid w:val="00E3239D"/>
    <w:rsid w:val="00E3254B"/>
    <w:rsid w:val="00E3439B"/>
    <w:rsid w:val="00E42C5F"/>
    <w:rsid w:val="00E56379"/>
    <w:rsid w:val="00E65A1B"/>
    <w:rsid w:val="00E72F1F"/>
    <w:rsid w:val="00E934AB"/>
    <w:rsid w:val="00EA06AC"/>
    <w:rsid w:val="00EA08BF"/>
    <w:rsid w:val="00EA24FB"/>
    <w:rsid w:val="00EB3204"/>
    <w:rsid w:val="00EB50BA"/>
    <w:rsid w:val="00EC3D33"/>
    <w:rsid w:val="00ED302A"/>
    <w:rsid w:val="00ED3A42"/>
    <w:rsid w:val="00EE02BC"/>
    <w:rsid w:val="00EE6970"/>
    <w:rsid w:val="00EF38D0"/>
    <w:rsid w:val="00EF3DDF"/>
    <w:rsid w:val="00EF4A8C"/>
    <w:rsid w:val="00EF4EB8"/>
    <w:rsid w:val="00F2678C"/>
    <w:rsid w:val="00F27B38"/>
    <w:rsid w:val="00F341DD"/>
    <w:rsid w:val="00F40278"/>
    <w:rsid w:val="00F41832"/>
    <w:rsid w:val="00F43EE1"/>
    <w:rsid w:val="00F56988"/>
    <w:rsid w:val="00F620FB"/>
    <w:rsid w:val="00F64129"/>
    <w:rsid w:val="00F6571F"/>
    <w:rsid w:val="00F755CD"/>
    <w:rsid w:val="00F82E7A"/>
    <w:rsid w:val="00F8687E"/>
    <w:rsid w:val="00F8707A"/>
    <w:rsid w:val="00F91E34"/>
    <w:rsid w:val="00F93331"/>
    <w:rsid w:val="00F95549"/>
    <w:rsid w:val="00FA1E24"/>
    <w:rsid w:val="00FA2450"/>
    <w:rsid w:val="00FA24FB"/>
    <w:rsid w:val="00FA632B"/>
    <w:rsid w:val="00FB38EA"/>
    <w:rsid w:val="00FB5E0F"/>
    <w:rsid w:val="00FB6AFF"/>
    <w:rsid w:val="00FC4D8F"/>
    <w:rsid w:val="00FD06D3"/>
    <w:rsid w:val="00FD10C1"/>
    <w:rsid w:val="00FD5574"/>
    <w:rsid w:val="00FD7A1B"/>
    <w:rsid w:val="00FE3157"/>
    <w:rsid w:val="00FE6865"/>
    <w:rsid w:val="00FE6993"/>
    <w:rsid w:val="00FE766F"/>
    <w:rsid w:val="41F014D6"/>
    <w:rsid w:val="45CA631F"/>
    <w:rsid w:val="5ABF35BD"/>
    <w:rsid w:val="5EAC1430"/>
    <w:rsid w:val="6B8203CB"/>
    <w:rsid w:val="76281C62"/>
    <w:rsid w:val="767158EE"/>
    <w:rsid w:val="7B02009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429</Words>
  <Characters>2451</Characters>
  <Lines>20</Lines>
  <Paragraphs>5</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郑博涵</cp:lastModifiedBy>
  <cp:lastPrinted>2021-08-06T10:19:00Z</cp:lastPrinted>
  <dcterms:modified xsi:type="dcterms:W3CDTF">2023-08-25T01:29:26Z</dcterms:modified>
  <dc:title>编号：57016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