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eastAsia="仿宋_GB2312"/>
          <w:b/>
          <w:sz w:val="30"/>
          <w:szCs w:val="30"/>
        </w:rPr>
      </w:pPr>
      <w:r>
        <w:rPr>
          <w:rFonts w:hint="eastAsia" w:ascii="仿宋_GB2312" w:eastAsia="仿宋_GB2312"/>
          <w:b/>
          <w:sz w:val="30"/>
          <w:szCs w:val="30"/>
        </w:rPr>
        <w:t>附件：</w:t>
      </w:r>
    </w:p>
    <w:p>
      <w:pPr>
        <w:jc w:val="center"/>
        <w:rPr>
          <w:rFonts w:ascii="仿宋_GB2312" w:eastAsia="仿宋_GB2312"/>
          <w:b/>
          <w:sz w:val="36"/>
          <w:szCs w:val="36"/>
        </w:rPr>
      </w:pPr>
      <w:r>
        <w:rPr>
          <w:rFonts w:hint="eastAsia" w:ascii="仿宋_GB2312" w:eastAsia="仿宋_GB2312"/>
          <w:b/>
          <w:sz w:val="36"/>
          <w:szCs w:val="36"/>
        </w:rPr>
        <w:t>直接投资项下存量权益登记操作规程</w:t>
      </w:r>
    </w:p>
    <w:p>
      <w:pPr>
        <w:ind w:firstLine="705" w:firstLineChars="195"/>
        <w:jc w:val="center"/>
        <w:rPr>
          <w:rFonts w:ascii="仿宋_GB2312" w:eastAsia="仿宋_GB2312"/>
          <w:b/>
          <w:sz w:val="36"/>
          <w:szCs w:val="36"/>
        </w:rPr>
      </w:pPr>
    </w:p>
    <w:p>
      <w:pPr>
        <w:ind w:firstLine="587" w:firstLineChars="195"/>
        <w:rPr>
          <w:rFonts w:ascii="仿宋_GB2312" w:hAnsi="宋体" w:eastAsia="仿宋_GB2312"/>
          <w:sz w:val="30"/>
          <w:szCs w:val="30"/>
        </w:rPr>
      </w:pPr>
      <w:r>
        <w:rPr>
          <w:rFonts w:hint="eastAsia" w:ascii="仿宋_GB2312" w:eastAsia="仿宋_GB2312"/>
          <w:b/>
          <w:sz w:val="30"/>
          <w:szCs w:val="30"/>
        </w:rPr>
        <w:t>一、登记申报范围：</w:t>
      </w:r>
      <w:r>
        <w:rPr>
          <w:rFonts w:hint="eastAsia" w:ascii="仿宋_GB2312" w:eastAsia="仿宋_GB2312"/>
          <w:sz w:val="30"/>
          <w:szCs w:val="30"/>
        </w:rPr>
        <w:t>2015年12月31日前办理工商登记的外商投资企业（含上海自由贸易试验区内企业）、2015年12月31日前经主管部门（如商务部门）批准的境外投资企业（含上海自由贸易试验区内企业）、2015年12月31日前办理境外设立特殊目的公司返程投资登记手续的境内自然人，纳入存量权益登记工作申报范畴。其中：外方投资者仅为境内投资性外商投资企业（外商投资性公司、外商股权投资企业、外商投资创业投资企业）的外商投资企业无需登记申报年度存量权益，由投资性外商投资企业通过其报表一并登记申报；已于2016年01月01日前</w:t>
      </w:r>
      <w:r>
        <w:rPr>
          <w:rFonts w:hint="eastAsia" w:ascii="仿宋_GB2312" w:hAnsi="宋体" w:eastAsia="仿宋_GB2312"/>
          <w:sz w:val="30"/>
          <w:szCs w:val="30"/>
        </w:rPr>
        <w:t>经主管部门批准注销和转内资的外商投资企业，经主管部门批准注销境外投资手续的境内企业和个人，至外汇局办理相关登记手续后，可不纳入直接投资存量权益登记申报范畴。</w:t>
      </w:r>
    </w:p>
    <w:p>
      <w:pPr>
        <w:ind w:firstLine="585" w:firstLineChars="195"/>
        <w:rPr>
          <w:rFonts w:ascii="仿宋_GB2312" w:eastAsia="仿宋_GB2312"/>
          <w:sz w:val="30"/>
          <w:szCs w:val="30"/>
        </w:rPr>
      </w:pPr>
      <w:r>
        <w:rPr>
          <w:rFonts w:hint="eastAsia" w:ascii="仿宋_GB2312" w:eastAsia="仿宋_GB2312"/>
          <w:sz w:val="30"/>
          <w:szCs w:val="30"/>
        </w:rPr>
        <w:t>参加过2015年抽样调查的外商投资企业无需再重复登记申报2015年度FDI存量权益登记，样本企业名单见附表三。</w:t>
      </w:r>
    </w:p>
    <w:p>
      <w:pPr>
        <w:ind w:firstLine="630"/>
        <w:rPr>
          <w:rFonts w:ascii="仿宋_GB2312" w:eastAsia="仿宋_GB2312"/>
          <w:sz w:val="30"/>
          <w:szCs w:val="30"/>
        </w:rPr>
      </w:pPr>
      <w:r>
        <w:rPr>
          <w:rFonts w:hint="eastAsia" w:ascii="仿宋_GB2312" w:eastAsia="仿宋_GB2312"/>
          <w:b/>
          <w:sz w:val="30"/>
          <w:szCs w:val="30"/>
        </w:rPr>
        <w:t>二、报送方式</w:t>
      </w:r>
      <w:r>
        <w:rPr>
          <w:rFonts w:hint="eastAsia" w:ascii="仿宋_GB2312" w:eastAsia="仿宋_GB2312"/>
          <w:sz w:val="30"/>
          <w:szCs w:val="30"/>
        </w:rPr>
        <w:t>:</w:t>
      </w:r>
    </w:p>
    <w:p>
      <w:pPr>
        <w:ind w:firstLine="630"/>
        <w:rPr>
          <w:rFonts w:ascii="仿宋_GB2312" w:eastAsia="仿宋_GB2312"/>
          <w:sz w:val="30"/>
          <w:szCs w:val="30"/>
        </w:rPr>
      </w:pPr>
      <w:r>
        <w:rPr>
          <w:rFonts w:hint="eastAsia" w:ascii="仿宋_GB2312" w:eastAsia="仿宋_GB2312"/>
          <w:sz w:val="30"/>
          <w:szCs w:val="30"/>
        </w:rPr>
        <w:t>（一）2015年度直接投资存量权益登记的数据可通过“国家外汇管理局应用服务平台(asone)——资本项目信息系统”申报</w:t>
      </w:r>
      <w:r>
        <w:rPr>
          <w:rFonts w:hint="eastAsia"/>
          <w:b/>
          <w:sz w:val="28"/>
          <w:szCs w:val="28"/>
        </w:rPr>
        <w:t>（访问地址：http://asone.safesvc.gov.cn/asone/）</w:t>
      </w:r>
      <w:r>
        <w:rPr>
          <w:rFonts w:hint="eastAsia" w:ascii="仿宋_GB2312" w:eastAsia="仿宋_GB2312"/>
          <w:sz w:val="30"/>
          <w:szCs w:val="30"/>
        </w:rPr>
        <w:t>。企业可委托会计师事务所、银行代为登记申报存量权益数据。</w:t>
      </w:r>
    </w:p>
    <w:p>
      <w:pPr>
        <w:ind w:firstLine="630"/>
        <w:rPr>
          <w:rFonts w:ascii="仿宋_GB2312" w:eastAsia="仿宋_GB2312"/>
          <w:sz w:val="30"/>
          <w:szCs w:val="30"/>
        </w:rPr>
      </w:pPr>
      <w:r>
        <w:rPr>
          <w:rFonts w:hint="eastAsia" w:ascii="仿宋_GB2312" w:eastAsia="仿宋_GB2312"/>
          <w:sz w:val="30"/>
          <w:szCs w:val="30"/>
        </w:rPr>
        <w:t>（二）上海地区试行银行代理企业登记申报存量权益数据。2016年7月1日至2016年9月30日期间去银行办理外汇收支业务且尚未登记申报存量权益的企业，须由银行为其代理登记申报后方可为其办理外汇收支业务。若在此时间段内没有外汇收支业务需要办理，企业可选择自行登记申报或委托会计师事务所、银行代理登记申报。</w:t>
      </w:r>
    </w:p>
    <w:p>
      <w:pPr>
        <w:ind w:firstLine="570"/>
        <w:jc w:val="left"/>
        <w:rPr>
          <w:rFonts w:ascii="仿宋_GB2312" w:eastAsia="仿宋_GB2312"/>
          <w:sz w:val="30"/>
          <w:szCs w:val="30"/>
        </w:rPr>
      </w:pPr>
      <w:r>
        <w:rPr>
          <w:rFonts w:hint="eastAsia" w:ascii="仿宋_GB2312" w:eastAsia="仿宋_GB2312"/>
          <w:sz w:val="30"/>
          <w:szCs w:val="30"/>
        </w:rPr>
        <w:t>（三）企业可不提交登记申报信息的纸质材料，但须保证其真实、准确，相关材料留存5年备外汇局抽查。</w:t>
      </w:r>
    </w:p>
    <w:p>
      <w:pPr>
        <w:ind w:firstLine="600" w:firstLineChars="200"/>
        <w:rPr>
          <w:rFonts w:ascii="仿宋_GB2312" w:eastAsia="仿宋_GB2312"/>
          <w:sz w:val="30"/>
          <w:szCs w:val="30"/>
        </w:rPr>
      </w:pPr>
      <w:r>
        <w:rPr>
          <w:rFonts w:hint="eastAsia" w:ascii="仿宋_GB2312" w:eastAsia="仿宋_GB2312"/>
          <w:sz w:val="30"/>
          <w:szCs w:val="30"/>
        </w:rPr>
        <w:t>（四）为便利数据报送，国家外汇管理局专门设定了企业端统一的登记申报用户，用于登录“应用服务平台asone”并开展登记申报存量权益工作。</w:t>
      </w:r>
    </w:p>
    <w:p>
      <w:pPr>
        <w:ind w:firstLine="600" w:firstLineChars="200"/>
        <w:rPr>
          <w:rFonts w:ascii="仿宋_GB2312" w:eastAsia="仿宋_GB2312"/>
          <w:sz w:val="30"/>
          <w:szCs w:val="30"/>
        </w:rPr>
      </w:pPr>
      <w:r>
        <w:rPr>
          <w:rFonts w:hint="eastAsia" w:ascii="仿宋_GB2312" w:eastAsia="仿宋_GB2312"/>
          <w:sz w:val="30"/>
          <w:szCs w:val="30"/>
        </w:rPr>
        <w:t>机构代码：主体组织机构代码</w:t>
      </w:r>
    </w:p>
    <w:p>
      <w:pPr>
        <w:ind w:firstLine="600" w:firstLineChars="200"/>
        <w:rPr>
          <w:rFonts w:ascii="仿宋_GB2312" w:eastAsia="仿宋_GB2312"/>
          <w:sz w:val="30"/>
          <w:szCs w:val="30"/>
        </w:rPr>
      </w:pPr>
      <w:r>
        <w:rPr>
          <w:rFonts w:hint="eastAsia" w:ascii="仿宋_GB2312" w:eastAsia="仿宋_GB2312"/>
          <w:sz w:val="30"/>
          <w:szCs w:val="30"/>
        </w:rPr>
        <w:t>用户代码：quanyidj</w:t>
      </w:r>
    </w:p>
    <w:p>
      <w:pPr>
        <w:ind w:firstLine="600" w:firstLineChars="200"/>
        <w:rPr>
          <w:rFonts w:ascii="仿宋_GB2312" w:eastAsia="仿宋_GB2312"/>
          <w:sz w:val="30"/>
          <w:szCs w:val="30"/>
        </w:rPr>
      </w:pPr>
      <w:r>
        <w:rPr>
          <w:rFonts w:hint="eastAsia" w:ascii="仿宋_GB2312" w:eastAsia="仿宋_GB2312"/>
          <w:sz w:val="30"/>
          <w:szCs w:val="30"/>
        </w:rPr>
        <w:t>用户密码：20150101Aa</w:t>
      </w:r>
    </w:p>
    <w:p>
      <w:pPr>
        <w:ind w:firstLine="600" w:firstLineChars="200"/>
        <w:rPr>
          <w:rFonts w:ascii="仿宋_GB2312" w:eastAsia="仿宋_GB2312"/>
          <w:sz w:val="30"/>
          <w:szCs w:val="30"/>
        </w:rPr>
      </w:pPr>
      <w:r>
        <w:rPr>
          <w:rFonts w:hint="eastAsia" w:ascii="仿宋_GB2312" w:eastAsia="仿宋_GB2312"/>
          <w:sz w:val="30"/>
          <w:szCs w:val="30"/>
        </w:rPr>
        <w:t>此统一用户仅具有存量权益登记角色的权限，不可用于其他业务。事务所端和银行端登录“应用服务平台asone”的用户和密码可继续使用。</w:t>
      </w:r>
      <w:r>
        <w:rPr>
          <w:rFonts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登录系统后点击“存量权益管理”，然后按照自身业务类型，境内外商投资企业点击“FDI存量权益登记”，境外投资企业点击“ODI存量权益登记”，在右边界面点击“申报/修改”，选择正确年份进行登记申报，具体操作截屏如下：</w:t>
      </w:r>
    </w:p>
    <w:p>
      <w:pPr>
        <w:ind w:firstLine="420" w:firstLineChars="200"/>
      </w:pPr>
      <w:r>
        <w:rPr>
          <w:rFonts w:ascii="Times New Roman" w:hAnsi="Times New Roman" w:eastAsia="宋体" w:cs="Times New Roman"/>
          <w:kern w:val="2"/>
          <w:sz w:val="21"/>
          <w:szCs w:val="24"/>
          <w:lang w:val="en-US" w:eastAsia="zh-CN" w:bidi="ar-SA"/>
        </w:rPr>
        <w:pict>
          <v:shape id="图片框 1025" o:spid="_x0000_s1026" type="#_x0000_t75" style="height:246.75pt;width:410.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firstLine="480" w:firstLineChars="200"/>
        <w:rPr>
          <w:rFonts w:ascii="楷体_GB2312" w:eastAsia="楷体_GB2312" w:cs="楷体_GB2312"/>
          <w:sz w:val="24"/>
        </w:rPr>
      </w:pPr>
    </w:p>
    <w:p>
      <w:pPr>
        <w:ind w:firstLine="600" w:firstLineChars="200"/>
        <w:rPr>
          <w:rFonts w:ascii="仿宋_GB2312" w:eastAsia="仿宋_GB2312"/>
          <w:sz w:val="30"/>
          <w:szCs w:val="30"/>
        </w:rPr>
      </w:pPr>
    </w:p>
    <w:p>
      <w:pPr>
        <w:jc w:val="left"/>
      </w:pPr>
      <w:r>
        <w:rPr>
          <w:rFonts w:ascii="Times New Roman" w:hAnsi="Times New Roman" w:eastAsia="宋体" w:cs="Times New Roman"/>
          <w:kern w:val="2"/>
          <w:sz w:val="21"/>
          <w:szCs w:val="24"/>
          <w:lang w:val="en-US" w:eastAsia="zh-CN" w:bidi="ar-SA"/>
        </w:rPr>
        <w:pict>
          <v:shape id="图片框 1026" o:spid="_x0000_s1027" type="#_x0000_t75" style="height:255.75pt;width:438.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pPr>
    </w:p>
    <w:p>
      <w:pPr>
        <w:jc w:val="left"/>
      </w:pPr>
    </w:p>
    <w:p>
      <w:pPr>
        <w:jc w:val="left"/>
      </w:pPr>
    </w:p>
    <w:p>
      <w:pPr>
        <w:jc w:val="left"/>
      </w:pPr>
    </w:p>
    <w:p>
      <w:pPr>
        <w:jc w:val="left"/>
      </w:pPr>
    </w:p>
    <w:p>
      <w:pPr>
        <w:jc w:val="left"/>
      </w:pPr>
    </w:p>
    <w:p>
      <w:pPr>
        <w:jc w:val="left"/>
      </w:pPr>
    </w:p>
    <w:p>
      <w:pPr>
        <w:jc w:val="left"/>
      </w:pPr>
    </w:p>
    <w:p>
      <w:pPr>
        <w:ind w:firstLine="420" w:firstLineChars="200"/>
        <w:rPr>
          <w:rFonts w:ascii="仿宋_GB2312" w:eastAsia="仿宋_GB2312"/>
          <w:sz w:val="30"/>
          <w:szCs w:val="30"/>
        </w:rPr>
      </w:pPr>
      <w:r>
        <w:rPr>
          <w:rFonts w:hint="eastAsia"/>
        </w:rPr>
        <w:t xml:space="preserve"> </w:t>
      </w:r>
      <w:r>
        <w:rPr>
          <w:rFonts w:hint="eastAsia" w:ascii="仿宋_GB2312" w:eastAsia="仿宋_GB2312"/>
          <w:sz w:val="30"/>
          <w:szCs w:val="30"/>
        </w:rPr>
        <w:t xml:space="preserve"> 同时请企业注意报送时应使用IE8浏览器，若出现异常提示，请按下图所示位置下载浏览器设置说明进行设置。</w:t>
      </w:r>
    </w:p>
    <w:p>
      <w:pPr>
        <w:jc w:val="left"/>
        <w:rPr>
          <w:rFonts w:ascii="仿宋_GB2312" w:eastAsia="仿宋_GB2312"/>
          <w:sz w:val="30"/>
          <w:szCs w:val="30"/>
        </w:rPr>
      </w:pPr>
      <w:r>
        <w:rPr>
          <w:rFonts w:ascii="Times New Roman" w:hAnsi="Times New Roman" w:eastAsia="宋体" w:cs="Times New Roman"/>
          <w:kern w:val="2"/>
          <w:sz w:val="21"/>
          <w:szCs w:val="24"/>
          <w:lang w:val="en-US" w:eastAsia="zh-CN" w:bidi="ar-SA"/>
        </w:rPr>
        <w:pict>
          <v:shape id="图片框 1027" o:spid="_x0000_s1028" type="#_x0000_t75" style="height:242.25pt;width:410.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firstLine="602" w:firstLineChars="200"/>
        <w:rPr>
          <w:rFonts w:ascii="仿宋_GB2312" w:eastAsia="仿宋_GB2312"/>
          <w:sz w:val="30"/>
          <w:szCs w:val="30"/>
        </w:rPr>
      </w:pPr>
      <w:r>
        <w:rPr>
          <w:rFonts w:hint="eastAsia" w:ascii="仿宋_GB2312" w:eastAsia="仿宋_GB2312"/>
          <w:b/>
          <w:sz w:val="30"/>
          <w:szCs w:val="30"/>
        </w:rPr>
        <w:t>三、登记申报时间：</w:t>
      </w:r>
      <w:r>
        <w:rPr>
          <w:rFonts w:hint="eastAsia" w:ascii="仿宋_GB2312" w:eastAsia="仿宋_GB2312"/>
          <w:sz w:val="30"/>
          <w:szCs w:val="30"/>
        </w:rPr>
        <w:t>2016年1月1日——2016年9月30日。外汇局将对上报数据信息实施抽检，申报主体应配合外汇局做好本项工作。2016年9月30日后依然未完成年度存量权益登记申报工作的主体，外汇局将依据《外汇管理条例》等法律法规予以处理，包括但不限于暂停相关外汇业务、移交检查部门处罚等方式。纳入登记申报范畴的主体可于截止日后申请补登记，如有合理理由且系初次未按规定申报的，可凭相关说明函向外汇局申请补登记业务；若无合理理由，外汇局将先移交检查部门查处后受理补登记申请。</w:t>
      </w:r>
    </w:p>
    <w:p>
      <w:pPr>
        <w:jc w:val="lef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附表1：《境内直接投资外方权益统计表》</w:t>
      </w:r>
    </w:p>
    <w:p>
      <w:pPr>
        <w:jc w:val="lef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附表2：《</w:t>
      </w:r>
      <w:r>
        <w:rPr>
          <w:rFonts w:ascii="仿宋_GB2312" w:eastAsia="仿宋_GB2312"/>
          <w:sz w:val="30"/>
          <w:szCs w:val="30"/>
        </w:rPr>
        <w:t>境外直接投资中方权益统计表</w:t>
      </w:r>
      <w:r>
        <w:rPr>
          <w:rFonts w:hint="eastAsia" w:ascii="仿宋_GB2312" w:eastAsia="仿宋_GB2312"/>
          <w:sz w:val="30"/>
          <w:szCs w:val="30"/>
        </w:rPr>
        <w:t>》</w:t>
      </w:r>
    </w:p>
    <w:p>
      <w:pPr>
        <w:rPr>
          <w:rFonts w:ascii="仿宋_GB2312" w:eastAsia="仿宋_GB2312"/>
          <w:sz w:val="30"/>
          <w:szCs w:val="30"/>
        </w:rPr>
      </w:pPr>
      <w:r>
        <w:rPr>
          <w:rFonts w:hint="eastAsia" w:ascii="仿宋_GB2312" w:eastAsia="仿宋_GB2312"/>
          <w:sz w:val="30"/>
          <w:szCs w:val="30"/>
          <w:lang w:val="en-US" w:eastAsia="zh-CN"/>
        </w:rPr>
        <w:t xml:space="preserve">    </w:t>
      </w:r>
      <w:bookmarkStart w:id="4" w:name="_GoBack"/>
      <w:bookmarkEnd w:id="4"/>
      <w:r>
        <w:rPr>
          <w:rFonts w:hint="eastAsia" w:ascii="仿宋_GB2312" w:eastAsia="仿宋_GB2312"/>
          <w:sz w:val="30"/>
          <w:szCs w:val="30"/>
        </w:rPr>
        <w:t>附表3：《外商投资企业2015年存量权益抽样调查样本企业名单》</w:t>
      </w:r>
    </w:p>
    <w:p>
      <w:pPr>
        <w:pStyle w:val="2"/>
        <w:jc w:val="center"/>
        <w:rPr>
          <w:rFonts w:eastAsia="黑体"/>
          <w:b w:val="0"/>
          <w:bCs w:val="0"/>
          <w:sz w:val="30"/>
          <w:lang w:eastAsia="zh-CN"/>
        </w:rPr>
      </w:pPr>
      <w:bookmarkStart w:id="0" w:name="_Toc412647116"/>
      <w:r>
        <w:rPr>
          <w:rFonts w:eastAsia="黑体"/>
          <w:b w:val="0"/>
          <w:bCs w:val="0"/>
          <w:sz w:val="30"/>
        </w:rPr>
        <w:t xml:space="preserve"> </w:t>
      </w:r>
      <w:r>
        <w:rPr>
          <w:rFonts w:hint="eastAsia" w:eastAsia="黑体"/>
          <w:b w:val="0"/>
          <w:bCs w:val="0"/>
          <w:sz w:val="30"/>
          <w:lang w:eastAsia="zh-CN"/>
        </w:rPr>
        <w:t>附表1：</w:t>
      </w:r>
      <w:r>
        <w:rPr>
          <w:rFonts w:eastAsia="黑体"/>
          <w:b w:val="0"/>
          <w:bCs w:val="0"/>
          <w:sz w:val="30"/>
        </w:rPr>
        <w:t>境内直接投资外方权益统计表</w:t>
      </w:r>
      <w:bookmarkEnd w:id="0"/>
    </w:p>
    <w:tbl>
      <w:tblPr>
        <w:tblW w:w="8691" w:type="dxa"/>
        <w:jc w:val="center"/>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03"/>
        <w:gridCol w:w="795"/>
        <w:gridCol w:w="248"/>
        <w:gridCol w:w="567"/>
        <w:gridCol w:w="992"/>
        <w:gridCol w:w="481"/>
        <w:gridCol w:w="463"/>
        <w:gridCol w:w="850"/>
        <w:gridCol w:w="892"/>
      </w:tblGrid>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top"/>
          </w:tcPr>
          <w:p>
            <w:pPr>
              <w:widowControl/>
            </w:pPr>
            <w:r>
              <w:rPr>
                <w:rFonts w:eastAsia="仿宋_GB2312"/>
                <w:b/>
                <w:kern w:val="0"/>
                <w:sz w:val="24"/>
              </w:rPr>
              <w:t>编制单位：</w:t>
            </w:r>
          </w:p>
        </w:tc>
        <w:tc>
          <w:tcPr>
            <w:tcW w:w="4245" w:type="dxa"/>
            <w:gridSpan w:val="6"/>
            <w:tcBorders>
              <w:top w:val="single" w:color="auto" w:sz="4" w:space="0"/>
              <w:left w:val="single" w:color="auto" w:sz="4" w:space="0"/>
              <w:bottom w:val="single" w:color="auto" w:sz="4" w:space="0"/>
              <w:right w:val="single" w:color="auto" w:sz="4" w:space="0"/>
            </w:tcBorders>
            <w:vAlign w:val="top"/>
          </w:tcPr>
          <w:p>
            <w:pPr>
              <w:widowControl/>
              <w:jc w:val="center"/>
            </w:pPr>
            <w:r>
              <w:rPr>
                <w:rFonts w:eastAsia="仿宋_GB2312"/>
                <w:b/>
                <w:kern w:val="0"/>
                <w:sz w:val="24"/>
              </w:rPr>
              <w:t>填报时间：      年    月    日</w:t>
            </w:r>
          </w:p>
        </w:tc>
      </w:tr>
      <w:tr>
        <w:trPr>
          <w:trHeight w:val="285" w:hRule="atLeast"/>
          <w:jc w:val="center"/>
        </w:trPr>
        <w:tc>
          <w:tcPr>
            <w:tcW w:w="8691" w:type="dxa"/>
            <w:gridSpan w:val="9"/>
            <w:tcBorders>
              <w:top w:val="single" w:color="auto" w:sz="4" w:space="0"/>
              <w:left w:val="single" w:color="auto" w:sz="4" w:space="0"/>
              <w:bottom w:val="single" w:color="auto" w:sz="4" w:space="0"/>
              <w:right w:val="single" w:color="auto" w:sz="4" w:space="0"/>
            </w:tcBorders>
            <w:vAlign w:val="bottom"/>
          </w:tcPr>
          <w:p>
            <w:pPr>
              <w:widowControl/>
              <w:ind w:firstLine="34"/>
            </w:pPr>
            <w:r>
              <w:rPr>
                <w:rFonts w:eastAsia="仿宋_GB2312"/>
                <w:b/>
                <w:bCs/>
                <w:kern w:val="0"/>
                <w:sz w:val="24"/>
              </w:rPr>
              <w:t xml:space="preserve">组织机构代码：                                   </w:t>
            </w:r>
            <w:r>
              <w:rPr>
                <w:rFonts w:hint="eastAsia" w:eastAsia="仿宋_GB2312"/>
                <w:b/>
                <w:bCs/>
                <w:kern w:val="0"/>
                <w:sz w:val="24"/>
              </w:rPr>
              <w:t xml:space="preserve"> </w:t>
            </w:r>
            <w:r>
              <w:rPr>
                <w:rFonts w:eastAsia="仿宋_GB2312"/>
                <w:b/>
                <w:bCs/>
                <w:kern w:val="0"/>
                <w:sz w:val="24"/>
              </w:rPr>
              <w:t>金额单位：人民币元</w:t>
            </w: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b/>
              </w:rPr>
            </w:pPr>
            <w:r>
              <w:rPr>
                <w:b/>
              </w:rPr>
              <w:t>指标</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b/>
              </w:rPr>
            </w:pPr>
            <w:r>
              <w:rPr>
                <w:b/>
              </w:rPr>
              <w:t>期初数</w:t>
            </w: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34"/>
              <w:jc w:val="center"/>
              <w:rPr>
                <w:b/>
              </w:rPr>
            </w:pPr>
            <w:r>
              <w:rPr>
                <w:b/>
              </w:rPr>
              <w:t>期末数</w:t>
            </w: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szCs w:val="21"/>
              </w:rPr>
            </w:pPr>
            <w:r>
              <w:rPr>
                <w:rFonts w:hint="eastAsia"/>
                <w:szCs w:val="21"/>
              </w:rPr>
              <w:t>一、外商投资企业资产合计</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Cs w:val="21"/>
              </w:rPr>
            </w:pPr>
            <w:r>
              <w:rPr>
                <w:kern w:val="0"/>
                <w:szCs w:val="21"/>
              </w:rPr>
              <w:t xml:space="preserve">    其中：流动资产</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Cs w:val="21"/>
              </w:rPr>
            </w:pPr>
            <w:r>
              <w:rPr>
                <w:kern w:val="0"/>
                <w:szCs w:val="21"/>
              </w:rPr>
              <w:t xml:space="preserve">          </w:t>
            </w:r>
            <w:r>
              <w:rPr>
                <w:rFonts w:hint="eastAsia"/>
                <w:kern w:val="0"/>
                <w:szCs w:val="21"/>
              </w:rPr>
              <w:t>非流动资产</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szCs w:val="21"/>
              </w:rPr>
            </w:pPr>
            <w:r>
              <w:rPr>
                <w:rFonts w:hint="eastAsia"/>
                <w:szCs w:val="21"/>
              </w:rPr>
              <w:t>二、外商投资企业负债合计</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Cs w:val="21"/>
              </w:rPr>
            </w:pPr>
            <w:r>
              <w:rPr>
                <w:kern w:val="0"/>
                <w:szCs w:val="21"/>
              </w:rPr>
              <w:t xml:space="preserve">    其中：短期负债</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Cs w:val="21"/>
              </w:rPr>
            </w:pPr>
            <w:r>
              <w:rPr>
                <w:kern w:val="0"/>
                <w:szCs w:val="21"/>
              </w:rPr>
              <w:t xml:space="preserve">          长期负债</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Cs w:val="21"/>
              </w:rPr>
            </w:pPr>
            <w:r>
              <w:rPr>
                <w:rFonts w:hint="eastAsia"/>
                <w:kern w:val="0"/>
                <w:szCs w:val="21"/>
              </w:rPr>
              <w:t>三、归属外商投资企业全体股东的权益</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rPr>
                <w:kern w:val="0"/>
                <w:szCs w:val="21"/>
              </w:rPr>
            </w:pPr>
            <w:r>
              <w:rPr>
                <w:rFonts w:hint="eastAsia"/>
                <w:kern w:val="0"/>
                <w:szCs w:val="21"/>
              </w:rPr>
              <w:t>四、归属于外方股东的权益</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20" w:firstLineChars="200"/>
              <w:rPr>
                <w:kern w:val="0"/>
                <w:szCs w:val="21"/>
              </w:rPr>
            </w:pPr>
            <w:r>
              <w:rPr>
                <w:rFonts w:hint="eastAsia"/>
                <w:kern w:val="0"/>
                <w:szCs w:val="21"/>
              </w:rPr>
              <w:t>4.1归属外方股东的实收资本</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20" w:firstLineChars="200"/>
              <w:jc w:val="left"/>
              <w:rPr>
                <w:kern w:val="0"/>
                <w:szCs w:val="21"/>
              </w:rPr>
            </w:pPr>
            <w:r>
              <w:rPr>
                <w:rFonts w:hint="eastAsia"/>
              </w:rPr>
              <w:t>4.2</w:t>
            </w:r>
            <w:r>
              <w:t>外方</w:t>
            </w:r>
            <w:r>
              <w:rPr>
                <w:rFonts w:hint="eastAsia"/>
              </w:rPr>
              <w:t>股东</w:t>
            </w:r>
            <w:r>
              <w:t>享有的公积金及留存收益额</w:t>
            </w:r>
          </w:p>
        </w:tc>
        <w:tc>
          <w:tcPr>
            <w:tcW w:w="2040" w:type="dxa"/>
            <w:gridSpan w:val="3"/>
            <w:tcBorders>
              <w:top w:val="single" w:color="auto" w:sz="4" w:space="0"/>
              <w:left w:val="single" w:color="auto" w:sz="4" w:space="0"/>
              <w:bottom w:val="single" w:color="auto" w:sz="4" w:space="0"/>
              <w:right w:val="single" w:color="auto" w:sz="4" w:space="0"/>
            </w:tcBorders>
            <w:vAlign w:val="bottom"/>
          </w:tc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ind w:firstLine="1155" w:firstLineChars="550"/>
              <w:jc w:val="left"/>
            </w:pPr>
            <w:r>
              <w:rPr>
                <w:rFonts w:hint="eastAsia"/>
              </w:rPr>
              <w:t>其中：</w:t>
            </w:r>
            <w:r>
              <w:t>资本公积</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t xml:space="preserve">   </w:t>
            </w:r>
            <w:r>
              <w:rPr>
                <w:rFonts w:hint="eastAsia"/>
              </w:rPr>
              <w:t xml:space="preserve">    </w:t>
            </w:r>
            <w:r>
              <w:t xml:space="preserve"> </w:t>
            </w:r>
            <w:r>
              <w:rPr>
                <w:rFonts w:hint="eastAsia"/>
              </w:rPr>
              <w:t xml:space="preserve">         </w:t>
            </w:r>
            <w:r>
              <w:t>盈余公积</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t xml:space="preserve">   </w:t>
            </w:r>
            <w:r>
              <w:rPr>
                <w:rFonts w:hint="eastAsia"/>
              </w:rPr>
              <w:t xml:space="preserve">              </w:t>
            </w:r>
            <w:r>
              <w:t>未分配利润</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t xml:space="preserve">  </w:t>
            </w:r>
            <w:r>
              <w:rPr>
                <w:rFonts w:hint="eastAsia"/>
              </w:rPr>
              <w:t xml:space="preserve">  4.3</w:t>
            </w:r>
            <w:r>
              <w:t>其</w:t>
            </w:r>
            <w:r>
              <w:rPr>
                <w:rFonts w:hint="eastAsia"/>
              </w:rPr>
              <w:t>它</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rPr>
                <w:rFonts w:hint="eastAsia"/>
                <w:kern w:val="0"/>
                <w:szCs w:val="21"/>
              </w:rPr>
              <w:t>五、外商投资企业少数股东权益</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rPr>
                <w:rFonts w:hint="eastAsia"/>
              </w:rPr>
              <w:t>六、</w:t>
            </w:r>
            <w:r>
              <w:t>外方投资者实际出资额</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rPr>
                <w:rFonts w:hint="eastAsia"/>
              </w:rPr>
              <w:t>七、外商投资企业应付外方股利</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jc w:val="left"/>
            </w:pPr>
            <w:r>
              <w:rPr>
                <w:rFonts w:hint="eastAsia"/>
              </w:rPr>
              <w:t>八</w:t>
            </w:r>
            <w:r>
              <w:t>、</w:t>
            </w:r>
            <w:r>
              <w:rPr>
                <w:rFonts w:hint="eastAsia"/>
              </w:rPr>
              <w:t>外商投资企业盈利情况</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b/>
              </w:rPr>
            </w:pPr>
            <w:r>
              <w:rPr>
                <w:rFonts w:hint="eastAsia"/>
                <w:b/>
              </w:rPr>
              <w:t>当期（上年）数</w:t>
            </w: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center"/>
              <w:rPr>
                <w:b/>
              </w:rPr>
            </w:pPr>
            <w:r>
              <w:rPr>
                <w:rFonts w:hint="eastAsia"/>
                <w:b/>
              </w:rPr>
              <w:t>历年累计</w:t>
            </w: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ind w:firstLine="210" w:firstLineChars="100"/>
              <w:jc w:val="left"/>
            </w:pPr>
            <w:r>
              <w:rPr>
                <w:rFonts w:hint="eastAsia"/>
              </w:rPr>
              <w:t>归属于外商投资企业全体股东的净利润</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ind w:firstLine="420" w:firstLineChars="200"/>
              <w:jc w:val="left"/>
            </w:pPr>
            <w:r>
              <w:t>其中：外方</w:t>
            </w:r>
            <w:r>
              <w:rPr>
                <w:rFonts w:hint="eastAsia"/>
              </w:rPr>
              <w:t>股东享有</w:t>
            </w:r>
            <w:r>
              <w:t>的</w:t>
            </w:r>
            <w:r>
              <w:rPr>
                <w:rFonts w:hint="eastAsia"/>
              </w:rPr>
              <w:t>净</w:t>
            </w:r>
            <w:r>
              <w:t>利润</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ind w:firstLine="210" w:firstLineChars="100"/>
              <w:jc w:val="left"/>
            </w:pPr>
            <w:r>
              <w:rPr>
                <w:rFonts w:hint="eastAsia"/>
              </w:rPr>
              <w:t>分配外方股东的利润金额合计</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285" w:hRule="atLeast"/>
          <w:jc w:val="center"/>
        </w:trPr>
        <w:tc>
          <w:tcPr>
            <w:tcW w:w="4446" w:type="dxa"/>
            <w:gridSpan w:val="3"/>
            <w:tcBorders>
              <w:top w:val="single" w:color="auto" w:sz="4" w:space="0"/>
              <w:left w:val="single" w:color="auto" w:sz="4" w:space="0"/>
              <w:bottom w:val="single" w:color="auto" w:sz="4" w:space="0"/>
              <w:right w:val="single" w:color="auto" w:sz="4" w:space="0"/>
            </w:tcBorders>
            <w:vAlign w:val="bottom"/>
          </w:tcPr>
          <w:p>
            <w:pPr>
              <w:widowControl/>
              <w:ind w:firstLine="210" w:firstLineChars="100"/>
              <w:jc w:val="left"/>
            </w:pPr>
            <w:r>
              <w:rPr>
                <w:rFonts w:hint="eastAsia"/>
              </w:rPr>
              <w:t>汇往外方股东的利润金额合计</w:t>
            </w:r>
          </w:p>
        </w:tc>
        <w:tc>
          <w:tcPr>
            <w:tcW w:w="2040"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c>
          <w:tcPr>
            <w:tcW w:w="2205" w:type="dxa"/>
            <w:gridSpan w:val="3"/>
            <w:tcBorders>
              <w:top w:val="single" w:color="auto" w:sz="4" w:space="0"/>
              <w:left w:val="single" w:color="auto" w:sz="4" w:space="0"/>
              <w:bottom w:val="single" w:color="auto" w:sz="4" w:space="0"/>
              <w:right w:val="single" w:color="auto" w:sz="4" w:space="0"/>
            </w:tcBorders>
            <w:vAlign w:val="bottom"/>
          </w:tcPr>
          <w:p>
            <w:pPr>
              <w:widowControl/>
              <w:ind w:firstLine="480"/>
              <w:jc w:val="left"/>
            </w:pPr>
          </w:p>
        </w:tc>
      </w:tr>
      <w:tr>
        <w:trPr>
          <w:trHeight w:val="479" w:hRule="atLeast"/>
          <w:jc w:val="center"/>
        </w:trPr>
        <w:tc>
          <w:tcPr>
            <w:tcW w:w="8691" w:type="dxa"/>
            <w:gridSpan w:val="9"/>
            <w:tcBorders>
              <w:top w:val="single" w:color="auto" w:sz="4" w:space="0"/>
              <w:left w:val="single" w:color="auto" w:sz="4" w:space="0"/>
              <w:bottom w:val="single" w:color="auto" w:sz="4" w:space="0"/>
              <w:right w:val="single" w:color="auto" w:sz="4" w:space="0"/>
            </w:tcBorders>
            <w:vAlign w:val="bottom"/>
          </w:tcPr>
          <w:p>
            <w:pPr>
              <w:widowControl/>
              <w:jc w:val="left"/>
              <w:rPr>
                <w:b/>
              </w:rPr>
            </w:pPr>
            <w:r>
              <w:rPr>
                <w:b/>
              </w:rPr>
              <w:t>附注（仅投资性外商投资企业填写）</w:t>
            </w:r>
          </w:p>
        </w:tc>
      </w:tr>
      <w:tr>
        <w:trPr>
          <w:cantSplit/>
          <w:trHeight w:val="285" w:hRule="atLeast"/>
          <w:jc w:val="center"/>
        </w:trPr>
        <w:tc>
          <w:tcPr>
            <w:tcW w:w="34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权益法核算子公司中享有的权益（期末数）</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应付</w:t>
            </w:r>
          </w:p>
          <w:p>
            <w:pPr>
              <w:widowControl/>
              <w:jc w:val="center"/>
              <w:rPr>
                <w:szCs w:val="21"/>
              </w:rPr>
            </w:pPr>
            <w:r>
              <w:rPr>
                <w:szCs w:val="21"/>
              </w:rPr>
              <w:t>股利</w:t>
            </w:r>
          </w:p>
        </w:tc>
        <w:tc>
          <w:tcPr>
            <w:tcW w:w="8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实收</w:t>
            </w:r>
          </w:p>
          <w:p>
            <w:pPr>
              <w:widowControl/>
              <w:jc w:val="center"/>
              <w:rPr>
                <w:szCs w:val="21"/>
              </w:rPr>
            </w:pPr>
            <w:r>
              <w:rPr>
                <w:szCs w:val="21"/>
              </w:rPr>
              <w:t>资本</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未分配</w:t>
            </w:r>
          </w:p>
          <w:p>
            <w:pPr>
              <w:widowControl/>
              <w:jc w:val="center"/>
              <w:rPr>
                <w:szCs w:val="21"/>
              </w:rPr>
            </w:pPr>
            <w:r>
              <w:rPr>
                <w:szCs w:val="21"/>
              </w:rPr>
              <w:t>利润</w:t>
            </w:r>
          </w:p>
        </w:tc>
        <w:tc>
          <w:tcPr>
            <w:tcW w:w="9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资本</w:t>
            </w:r>
          </w:p>
          <w:p>
            <w:pPr>
              <w:widowControl/>
              <w:jc w:val="center"/>
              <w:rPr>
                <w:szCs w:val="21"/>
              </w:rPr>
            </w:pPr>
            <w:r>
              <w:rPr>
                <w:szCs w:val="21"/>
              </w:rPr>
              <w:t>公积</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盈余</w:t>
            </w:r>
          </w:p>
          <w:p>
            <w:pPr>
              <w:jc w:val="center"/>
              <w:rPr>
                <w:szCs w:val="21"/>
              </w:rPr>
            </w:pPr>
            <w:r>
              <w:rPr>
                <w:szCs w:val="21"/>
              </w:rPr>
              <w:t>公积</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其他</w:t>
            </w:r>
          </w:p>
        </w:tc>
      </w:tr>
      <w:tr>
        <w:trPr>
          <w:cantSplit/>
          <w:trHeight w:val="497" w:hRule="atLeast"/>
          <w:jc w:val="center"/>
        </w:trPr>
        <w:tc>
          <w:tcPr>
            <w:tcW w:w="34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8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9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szCs w:val="21"/>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szCs w:val="21"/>
              </w:rPr>
            </w:pPr>
          </w:p>
        </w:tc>
      </w:tr>
      <w:tr>
        <w:trPr>
          <w:cantSplit/>
          <w:trHeight w:val="285" w:hRule="atLeast"/>
          <w:jc w:val="center"/>
        </w:trPr>
        <w:tc>
          <w:tcPr>
            <w:tcW w:w="3403"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成本法核算子公司中享有的权益（期末数）</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应付</w:t>
            </w:r>
          </w:p>
          <w:p>
            <w:pPr>
              <w:widowControl/>
              <w:jc w:val="center"/>
              <w:rPr>
                <w:szCs w:val="21"/>
              </w:rPr>
            </w:pPr>
            <w:r>
              <w:rPr>
                <w:szCs w:val="21"/>
              </w:rPr>
              <w:t>股利</w:t>
            </w:r>
          </w:p>
        </w:tc>
        <w:tc>
          <w:tcPr>
            <w:tcW w:w="8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实收</w:t>
            </w:r>
          </w:p>
          <w:p>
            <w:pPr>
              <w:widowControl/>
              <w:jc w:val="center"/>
              <w:rPr>
                <w:szCs w:val="21"/>
              </w:rPr>
            </w:pPr>
            <w:r>
              <w:rPr>
                <w:szCs w:val="21"/>
              </w:rPr>
              <w:t>资本</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未分配</w:t>
            </w:r>
          </w:p>
          <w:p>
            <w:pPr>
              <w:widowControl/>
              <w:jc w:val="center"/>
              <w:rPr>
                <w:szCs w:val="21"/>
              </w:rPr>
            </w:pPr>
            <w:r>
              <w:rPr>
                <w:szCs w:val="21"/>
              </w:rPr>
              <w:t>利润</w:t>
            </w:r>
          </w:p>
        </w:tc>
        <w:tc>
          <w:tcPr>
            <w:tcW w:w="9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资本</w:t>
            </w:r>
          </w:p>
          <w:p>
            <w:pPr>
              <w:widowControl/>
              <w:jc w:val="center"/>
              <w:rPr>
                <w:szCs w:val="21"/>
              </w:rPr>
            </w:pPr>
            <w:r>
              <w:rPr>
                <w:szCs w:val="21"/>
              </w:rPr>
              <w:t>公积</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r>
              <w:rPr>
                <w:szCs w:val="21"/>
              </w:rPr>
              <w:t>盈余</w:t>
            </w:r>
          </w:p>
          <w:p>
            <w:pPr>
              <w:jc w:val="center"/>
              <w:rPr>
                <w:b/>
                <w:szCs w:val="21"/>
              </w:rPr>
            </w:pPr>
            <w:r>
              <w:rPr>
                <w:szCs w:val="21"/>
              </w:rPr>
              <w:t>公积</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其他</w:t>
            </w:r>
          </w:p>
        </w:tc>
      </w:tr>
      <w:tr>
        <w:trPr>
          <w:cantSplit/>
          <w:trHeight w:val="493" w:hRule="atLeast"/>
          <w:jc w:val="center"/>
        </w:trPr>
        <w:tc>
          <w:tcPr>
            <w:tcW w:w="34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95" w:type="dxa"/>
            <w:tcBorders>
              <w:top w:val="single" w:color="auto" w:sz="4" w:space="0"/>
              <w:left w:val="single" w:color="auto" w:sz="4" w:space="0"/>
              <w:bottom w:val="single" w:color="auto" w:sz="4" w:space="0"/>
              <w:right w:val="single" w:color="auto" w:sz="4" w:space="0"/>
            </w:tcBorders>
            <w:vAlign w:val="bottom"/>
          </w:tcPr>
          <w:p>
            <w:pPr>
              <w:widowControl/>
              <w:jc w:val="left"/>
              <w:rPr>
                <w:szCs w:val="21"/>
              </w:rPr>
            </w:pPr>
          </w:p>
        </w:tc>
        <w:tc>
          <w:tcPr>
            <w:tcW w:w="815"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szCs w:val="21"/>
              </w:rPr>
            </w:pPr>
          </w:p>
        </w:tc>
        <w:tc>
          <w:tcPr>
            <w:tcW w:w="992" w:type="dxa"/>
            <w:tcBorders>
              <w:top w:val="single" w:color="auto" w:sz="4" w:space="0"/>
              <w:left w:val="single" w:color="auto" w:sz="4" w:space="0"/>
              <w:bottom w:val="single" w:color="auto" w:sz="4" w:space="0"/>
              <w:right w:val="single" w:color="auto" w:sz="4" w:space="0"/>
            </w:tcBorders>
            <w:vAlign w:val="bottom"/>
          </w:tcPr>
          <w:p>
            <w:pPr>
              <w:widowControl/>
              <w:jc w:val="left"/>
              <w:rPr>
                <w:szCs w:val="21"/>
              </w:rPr>
            </w:pPr>
          </w:p>
        </w:tc>
        <w:tc>
          <w:tcPr>
            <w:tcW w:w="944"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szCs w:val="21"/>
              </w:rPr>
            </w:pPr>
          </w:p>
        </w:tc>
        <w:tc>
          <w:tcPr>
            <w:tcW w:w="850" w:type="dxa"/>
            <w:tcBorders>
              <w:top w:val="single" w:color="auto" w:sz="4" w:space="0"/>
              <w:left w:val="single" w:color="auto" w:sz="4" w:space="0"/>
              <w:bottom w:val="single" w:color="auto" w:sz="4" w:space="0"/>
              <w:right w:val="single" w:color="auto" w:sz="4" w:space="0"/>
            </w:tcBorders>
            <w:vAlign w:val="bottom"/>
          </w:tcPr>
          <w:p>
            <w:pPr>
              <w:widowControl/>
              <w:ind w:firstLine="480"/>
              <w:jc w:val="left"/>
              <w:rPr>
                <w:szCs w:val="21"/>
              </w:rPr>
            </w:pPr>
          </w:p>
        </w:tc>
        <w:tc>
          <w:tcPr>
            <w:tcW w:w="892" w:type="dxa"/>
            <w:tcBorders>
              <w:top w:val="single" w:color="auto" w:sz="4" w:space="0"/>
              <w:left w:val="single" w:color="auto" w:sz="4" w:space="0"/>
              <w:bottom w:val="single" w:color="auto" w:sz="4" w:space="0"/>
              <w:right w:val="single" w:color="auto" w:sz="4" w:space="0"/>
            </w:tcBorders>
            <w:vAlign w:val="bottom"/>
          </w:tcPr>
          <w:p>
            <w:pPr>
              <w:widowControl/>
              <w:ind w:firstLine="480"/>
              <w:jc w:val="left"/>
              <w:rPr>
                <w:szCs w:val="21"/>
              </w:rPr>
            </w:pPr>
          </w:p>
        </w:tc>
      </w:tr>
      <w:tr>
        <w:trPr>
          <w:trHeight w:val="318" w:hRule="atLeast"/>
          <w:jc w:val="center"/>
        </w:trPr>
        <w:tc>
          <w:tcPr>
            <w:tcW w:w="8691" w:type="dxa"/>
            <w:gridSpan w:val="9"/>
            <w:tcBorders>
              <w:top w:val="single" w:color="auto" w:sz="4" w:space="0"/>
              <w:left w:val="single" w:color="auto" w:sz="4" w:space="0"/>
              <w:bottom w:val="single" w:color="auto" w:sz="4" w:space="0"/>
              <w:right w:val="single" w:color="auto" w:sz="4" w:space="0"/>
            </w:tcBorders>
            <w:vAlign w:val="bottom"/>
          </w:tcPr>
          <w:p>
            <w:pPr>
              <w:widowControl/>
              <w:ind w:hanging="8"/>
              <w:rPr>
                <w:szCs w:val="21"/>
              </w:rPr>
            </w:pPr>
            <w:r>
              <w:rPr>
                <w:b/>
              </w:rPr>
              <w:t>备注：（存在特殊情况须在本栏目中进行详细说明）</w:t>
            </w:r>
          </w:p>
        </w:tc>
      </w:tr>
      <w:tr>
        <w:trPr>
          <w:trHeight w:val="850" w:hRule="atLeast"/>
          <w:jc w:val="center"/>
        </w:trPr>
        <w:tc>
          <w:tcPr>
            <w:tcW w:w="8691" w:type="dxa"/>
            <w:gridSpan w:val="9"/>
            <w:tcBorders>
              <w:top w:val="single" w:color="auto" w:sz="4" w:space="0"/>
              <w:left w:val="single" w:color="auto" w:sz="4" w:space="0"/>
              <w:bottom w:val="single" w:color="auto" w:sz="4" w:space="0"/>
              <w:right w:val="single" w:color="auto" w:sz="4" w:space="0"/>
            </w:tcBorders>
            <w:vAlign w:val="bottom"/>
          </w:tcPr>
          <w:p>
            <w:pPr>
              <w:widowControl/>
              <w:ind w:firstLine="480"/>
              <w:jc w:val="left"/>
              <w:rPr>
                <w:szCs w:val="21"/>
              </w:rPr>
            </w:pPr>
          </w:p>
          <w:p>
            <w:pPr>
              <w:widowControl/>
              <w:ind w:firstLine="480"/>
              <w:jc w:val="left"/>
              <w:rPr>
                <w:szCs w:val="21"/>
              </w:rPr>
            </w:pPr>
          </w:p>
        </w:tc>
      </w:tr>
    </w:tbl>
    <w:p>
      <w:pPr>
        <w:ind w:firstLine="482"/>
        <w:jc w:val="left"/>
        <w:rPr>
          <w:b/>
          <w:sz w:val="18"/>
          <w:szCs w:val="18"/>
        </w:rPr>
      </w:pPr>
    </w:p>
    <w:p>
      <w:pPr>
        <w:ind w:firstLine="482"/>
        <w:jc w:val="left"/>
        <w:rPr>
          <w:b/>
          <w:sz w:val="18"/>
          <w:szCs w:val="18"/>
        </w:rPr>
      </w:pPr>
    </w:p>
    <w:p>
      <w:pPr>
        <w:ind w:firstLine="482"/>
        <w:jc w:val="left"/>
        <w:rPr>
          <w:b/>
          <w:sz w:val="18"/>
          <w:szCs w:val="18"/>
        </w:rPr>
      </w:pPr>
    </w:p>
    <w:p>
      <w:pPr>
        <w:ind w:firstLine="482"/>
        <w:jc w:val="left"/>
        <w:rPr>
          <w:b/>
          <w:sz w:val="18"/>
          <w:szCs w:val="18"/>
        </w:rPr>
      </w:pPr>
      <w:r>
        <w:rPr>
          <w:b/>
          <w:sz w:val="18"/>
          <w:szCs w:val="18"/>
        </w:rPr>
        <w:t>填表说明：</w:t>
      </w:r>
    </w:p>
    <w:p>
      <w:pPr>
        <w:snapToGrid w:val="0"/>
        <w:spacing w:line="288" w:lineRule="auto"/>
        <w:ind w:firstLine="360" w:firstLineChars="200"/>
        <w:rPr>
          <w:sz w:val="18"/>
          <w:szCs w:val="18"/>
        </w:rPr>
      </w:pPr>
      <w:r>
        <w:rPr>
          <w:sz w:val="18"/>
          <w:szCs w:val="18"/>
        </w:rPr>
        <w:t>1</w:t>
      </w:r>
      <w:r>
        <w:rPr>
          <w:rFonts w:hint="eastAsia"/>
          <w:sz w:val="18"/>
          <w:szCs w:val="18"/>
        </w:rPr>
        <w:t>、</w:t>
      </w:r>
      <w:r>
        <w:rPr>
          <w:sz w:val="18"/>
          <w:szCs w:val="18"/>
        </w:rPr>
        <w:t>“流动资产”、“</w:t>
      </w:r>
      <w:r>
        <w:rPr>
          <w:rFonts w:hint="eastAsia"/>
          <w:sz w:val="18"/>
          <w:szCs w:val="18"/>
        </w:rPr>
        <w:t>非流动资产</w:t>
      </w:r>
      <w:r>
        <w:rPr>
          <w:sz w:val="18"/>
          <w:szCs w:val="18"/>
        </w:rPr>
        <w:t>”、“短期负债”、“长期负债”及“资产合计”、“负债合计”按照</w:t>
      </w:r>
      <w:r>
        <w:rPr>
          <w:rFonts w:hint="eastAsia"/>
          <w:sz w:val="18"/>
          <w:szCs w:val="18"/>
        </w:rPr>
        <w:t>境内外商投资企业合并</w:t>
      </w:r>
      <w:r>
        <w:rPr>
          <w:sz w:val="18"/>
          <w:szCs w:val="18"/>
        </w:rPr>
        <w:t>财务报表相关会计科目填写。</w:t>
      </w:r>
    </w:p>
    <w:p>
      <w:pPr>
        <w:snapToGrid w:val="0"/>
        <w:spacing w:line="288" w:lineRule="auto"/>
        <w:ind w:firstLine="360" w:firstLineChars="200"/>
        <w:rPr>
          <w:sz w:val="18"/>
          <w:szCs w:val="18"/>
        </w:rPr>
      </w:pPr>
      <w:r>
        <w:rPr>
          <w:sz w:val="18"/>
          <w:szCs w:val="18"/>
        </w:rPr>
        <w:t>2</w:t>
      </w:r>
      <w:r>
        <w:rPr>
          <w:rFonts w:hint="eastAsia"/>
          <w:sz w:val="18"/>
          <w:szCs w:val="18"/>
        </w:rPr>
        <w:t>、“归属于外商投资企业全体股东的</w:t>
      </w:r>
      <w:r>
        <w:rPr>
          <w:sz w:val="18"/>
          <w:szCs w:val="18"/>
        </w:rPr>
        <w:t>权益”按照</w:t>
      </w:r>
      <w:r>
        <w:rPr>
          <w:rFonts w:hint="eastAsia"/>
          <w:sz w:val="18"/>
          <w:szCs w:val="18"/>
        </w:rPr>
        <w:t>境内外商投资企业合并</w:t>
      </w:r>
      <w:r>
        <w:rPr>
          <w:sz w:val="18"/>
          <w:szCs w:val="18"/>
        </w:rPr>
        <w:t>财务报表相关会计科目填写。</w:t>
      </w:r>
    </w:p>
    <w:p>
      <w:pPr>
        <w:snapToGrid w:val="0"/>
        <w:spacing w:line="288" w:lineRule="auto"/>
        <w:ind w:firstLine="360" w:firstLineChars="200"/>
        <w:rPr>
          <w:sz w:val="18"/>
          <w:szCs w:val="18"/>
        </w:rPr>
      </w:pPr>
      <w:r>
        <w:rPr>
          <w:rFonts w:hint="eastAsia"/>
          <w:sz w:val="18"/>
          <w:szCs w:val="18"/>
        </w:rPr>
        <w:t>3、“归属于外方股东的权益”：为外方</w:t>
      </w:r>
      <w:r>
        <w:rPr>
          <w:sz w:val="18"/>
          <w:szCs w:val="18"/>
        </w:rPr>
        <w:t>股权比例或约定比例（符合相关法律法规的规定）</w:t>
      </w:r>
      <w:r>
        <w:rPr>
          <w:rFonts w:hint="eastAsia"/>
          <w:sz w:val="18"/>
          <w:szCs w:val="18"/>
        </w:rPr>
        <w:t>乘以境内外商投资企业合并</w:t>
      </w:r>
      <w:r>
        <w:rPr>
          <w:sz w:val="18"/>
          <w:szCs w:val="18"/>
        </w:rPr>
        <w:t>财务报表</w:t>
      </w:r>
      <w:r>
        <w:rPr>
          <w:rFonts w:hint="eastAsia"/>
          <w:sz w:val="18"/>
          <w:szCs w:val="18"/>
        </w:rPr>
        <w:t>“归属于本机构全体股东的</w:t>
      </w:r>
      <w:r>
        <w:rPr>
          <w:sz w:val="18"/>
          <w:szCs w:val="18"/>
        </w:rPr>
        <w:t>权益</w:t>
      </w:r>
      <w:r>
        <w:rPr>
          <w:rFonts w:hint="eastAsia"/>
          <w:sz w:val="18"/>
          <w:szCs w:val="18"/>
        </w:rPr>
        <w:t>”。该项目应等于“4.1实收资本（归属于外方）”、“4.2</w:t>
      </w:r>
      <w:r>
        <w:rPr>
          <w:sz w:val="18"/>
          <w:szCs w:val="18"/>
        </w:rPr>
        <w:t>外方享有的公积金及留存收益额</w:t>
      </w:r>
      <w:r>
        <w:rPr>
          <w:rFonts w:hint="eastAsia"/>
          <w:sz w:val="18"/>
          <w:szCs w:val="18"/>
        </w:rPr>
        <w:t>”和“4.3其它”三项之和。</w:t>
      </w:r>
      <w:r>
        <w:rPr>
          <w:sz w:val="18"/>
          <w:szCs w:val="18"/>
        </w:rPr>
        <w:t>外商投资企业中由境内投资性外商投资企业出资的部分视为中方投资者投资，不纳入本表的外方权益统计</w:t>
      </w:r>
      <w:r>
        <w:rPr>
          <w:rFonts w:hint="eastAsia"/>
          <w:sz w:val="18"/>
          <w:szCs w:val="18"/>
        </w:rPr>
        <w:t>。</w:t>
      </w:r>
    </w:p>
    <w:p>
      <w:pPr>
        <w:snapToGrid w:val="0"/>
        <w:spacing w:line="288" w:lineRule="auto"/>
        <w:ind w:firstLine="360" w:firstLineChars="200"/>
        <w:rPr>
          <w:sz w:val="18"/>
          <w:szCs w:val="18"/>
        </w:rPr>
      </w:pPr>
      <w:r>
        <w:rPr>
          <w:rFonts w:hint="eastAsia"/>
          <w:sz w:val="18"/>
          <w:szCs w:val="18"/>
        </w:rPr>
        <w:t>4、“归属外方股东的实收资本”：为外方</w:t>
      </w:r>
      <w:r>
        <w:rPr>
          <w:sz w:val="18"/>
          <w:szCs w:val="18"/>
        </w:rPr>
        <w:t>股权比例或约定比例（符合相关法律法规的规定）</w:t>
      </w:r>
      <w:r>
        <w:rPr>
          <w:rFonts w:hint="eastAsia"/>
          <w:sz w:val="18"/>
          <w:szCs w:val="18"/>
        </w:rPr>
        <w:t>乘以境内外商投资企业合并</w:t>
      </w:r>
      <w:r>
        <w:rPr>
          <w:sz w:val="18"/>
          <w:szCs w:val="18"/>
        </w:rPr>
        <w:t>财务报表</w:t>
      </w:r>
      <w:r>
        <w:rPr>
          <w:rFonts w:hint="eastAsia"/>
          <w:sz w:val="18"/>
          <w:szCs w:val="18"/>
        </w:rPr>
        <w:t>“归属于本机构全体股东的</w:t>
      </w:r>
      <w:r>
        <w:rPr>
          <w:sz w:val="18"/>
          <w:szCs w:val="18"/>
        </w:rPr>
        <w:t>权益</w:t>
      </w:r>
      <w:r>
        <w:rPr>
          <w:rFonts w:hint="eastAsia"/>
          <w:sz w:val="18"/>
          <w:szCs w:val="18"/>
        </w:rPr>
        <w:t>”下“实收资本”。</w:t>
      </w:r>
    </w:p>
    <w:p>
      <w:pPr>
        <w:snapToGrid w:val="0"/>
        <w:spacing w:line="288" w:lineRule="auto"/>
        <w:ind w:firstLine="360" w:firstLineChars="200"/>
        <w:rPr>
          <w:sz w:val="18"/>
          <w:szCs w:val="18"/>
        </w:rPr>
      </w:pPr>
      <w:r>
        <w:rPr>
          <w:rFonts w:hint="eastAsia"/>
          <w:sz w:val="18"/>
          <w:szCs w:val="18"/>
        </w:rPr>
        <w:t>5、</w:t>
      </w:r>
      <w:r>
        <w:rPr>
          <w:sz w:val="18"/>
          <w:szCs w:val="18"/>
        </w:rPr>
        <w:t>“外方</w:t>
      </w:r>
      <w:r>
        <w:rPr>
          <w:rFonts w:hint="eastAsia"/>
          <w:sz w:val="18"/>
          <w:szCs w:val="18"/>
        </w:rPr>
        <w:t>股东</w:t>
      </w:r>
      <w:r>
        <w:rPr>
          <w:sz w:val="18"/>
          <w:szCs w:val="18"/>
        </w:rPr>
        <w:t>享有的公积金及留存收益额”：按</w:t>
      </w:r>
      <w:r>
        <w:rPr>
          <w:rFonts w:hint="eastAsia"/>
          <w:sz w:val="18"/>
          <w:szCs w:val="18"/>
        </w:rPr>
        <w:t>外方</w:t>
      </w:r>
      <w:r>
        <w:rPr>
          <w:sz w:val="18"/>
          <w:szCs w:val="18"/>
        </w:rPr>
        <w:t>股权比例或约定比例（符合相关法律法规的规定）计算确定的外方股东应享有的资本公积、盈余公积和未分配利润等。其中，未执行财政部2006年2月15日颁布的《企业会计准则》的企业，其权益项目中的储备基金、发展基金等其他类留存收益余额可一并计入盈余公积。</w:t>
      </w:r>
      <w:r>
        <w:rPr>
          <w:rFonts w:hint="eastAsia"/>
          <w:sz w:val="18"/>
          <w:szCs w:val="18"/>
        </w:rPr>
        <w:t>其中项“资本公积”、“盈余公积”和“</w:t>
      </w:r>
      <w:r>
        <w:rPr>
          <w:sz w:val="18"/>
          <w:szCs w:val="18"/>
        </w:rPr>
        <w:t>未分配利润</w:t>
      </w:r>
      <w:r>
        <w:rPr>
          <w:rFonts w:hint="eastAsia"/>
          <w:sz w:val="18"/>
          <w:szCs w:val="18"/>
        </w:rPr>
        <w:t>”均为按股权比例或约定比例计算的金额。</w:t>
      </w:r>
    </w:p>
    <w:p>
      <w:pPr>
        <w:snapToGrid w:val="0"/>
        <w:spacing w:line="288" w:lineRule="auto"/>
        <w:ind w:firstLine="360" w:firstLineChars="200"/>
        <w:rPr>
          <w:sz w:val="18"/>
          <w:szCs w:val="18"/>
        </w:rPr>
      </w:pPr>
      <w:r>
        <w:rPr>
          <w:rFonts w:hint="eastAsia"/>
          <w:sz w:val="18"/>
          <w:szCs w:val="18"/>
        </w:rPr>
        <w:t>6、“其它”：为外方</w:t>
      </w:r>
      <w:r>
        <w:rPr>
          <w:sz w:val="18"/>
          <w:szCs w:val="18"/>
        </w:rPr>
        <w:t>股权比例或约定比例（符合相关法律法规的规定）</w:t>
      </w:r>
      <w:r>
        <w:rPr>
          <w:rFonts w:hint="eastAsia"/>
          <w:sz w:val="18"/>
          <w:szCs w:val="18"/>
        </w:rPr>
        <w:t>乘以境内外商投资企业合并</w:t>
      </w:r>
      <w:r>
        <w:rPr>
          <w:sz w:val="18"/>
          <w:szCs w:val="18"/>
        </w:rPr>
        <w:t>财务报表</w:t>
      </w:r>
      <w:r>
        <w:rPr>
          <w:rFonts w:hint="eastAsia"/>
          <w:sz w:val="18"/>
          <w:szCs w:val="18"/>
        </w:rPr>
        <w:t>“归属于本机构全体股东的</w:t>
      </w:r>
      <w:r>
        <w:rPr>
          <w:sz w:val="18"/>
          <w:szCs w:val="18"/>
        </w:rPr>
        <w:t>权益</w:t>
      </w:r>
      <w:r>
        <w:rPr>
          <w:rFonts w:hint="eastAsia"/>
          <w:sz w:val="18"/>
          <w:szCs w:val="18"/>
        </w:rPr>
        <w:t>”下“其它”。</w:t>
      </w:r>
    </w:p>
    <w:p>
      <w:pPr>
        <w:snapToGrid w:val="0"/>
        <w:spacing w:line="288" w:lineRule="auto"/>
        <w:ind w:firstLine="360" w:firstLineChars="200"/>
        <w:rPr>
          <w:sz w:val="18"/>
          <w:szCs w:val="18"/>
        </w:rPr>
      </w:pPr>
      <w:r>
        <w:rPr>
          <w:rFonts w:hint="eastAsia"/>
          <w:sz w:val="18"/>
          <w:szCs w:val="18"/>
        </w:rPr>
        <w:t>7、“少数股东权益”</w:t>
      </w:r>
      <w:r>
        <w:rPr>
          <w:sz w:val="18"/>
          <w:szCs w:val="18"/>
        </w:rPr>
        <w:t>按照</w:t>
      </w:r>
      <w:r>
        <w:rPr>
          <w:rFonts w:hint="eastAsia"/>
          <w:sz w:val="18"/>
          <w:szCs w:val="18"/>
        </w:rPr>
        <w:t>境内外商投资企业合并</w:t>
      </w:r>
      <w:r>
        <w:rPr>
          <w:sz w:val="18"/>
          <w:szCs w:val="18"/>
        </w:rPr>
        <w:t>财务报表相关会计科目填写。</w:t>
      </w:r>
    </w:p>
    <w:p>
      <w:pPr>
        <w:snapToGrid w:val="0"/>
        <w:spacing w:line="288" w:lineRule="auto"/>
        <w:ind w:firstLine="360" w:firstLineChars="200"/>
        <w:rPr>
          <w:sz w:val="18"/>
          <w:szCs w:val="18"/>
        </w:rPr>
      </w:pPr>
      <w:r>
        <w:rPr>
          <w:rFonts w:hint="eastAsia"/>
          <w:sz w:val="18"/>
          <w:szCs w:val="18"/>
        </w:rPr>
        <w:t>8、</w:t>
      </w:r>
      <w:r>
        <w:rPr>
          <w:sz w:val="18"/>
          <w:szCs w:val="18"/>
        </w:rPr>
        <w:t>“外方投资者实际出资金额”：截至****年12月31日境外投资者以外汇、人民币、无形资产、实物资产等各类形式的实际出资及购买中方股权支付的交易对价，外商投资企业以应付外方股东利润、资本公积、盈余公积、未分配利润和已登记外债（可含利息）转增资本的实际出资。外方投资者溢、折价（符合相关法律法规的规定）投入的实际出资均应记入本项目。</w:t>
      </w:r>
    </w:p>
    <w:p>
      <w:pPr>
        <w:snapToGrid w:val="0"/>
        <w:spacing w:line="288" w:lineRule="auto"/>
        <w:ind w:firstLine="360" w:firstLineChars="200"/>
        <w:rPr>
          <w:sz w:val="18"/>
          <w:szCs w:val="18"/>
        </w:rPr>
      </w:pPr>
      <w:r>
        <w:rPr>
          <w:sz w:val="18"/>
          <w:szCs w:val="18"/>
        </w:rPr>
        <w:t>外商投资企业中由境内投资性外商投资企业出资的部分视为中方投资者投资</w:t>
      </w:r>
      <w:r>
        <w:rPr>
          <w:rFonts w:hint="eastAsia"/>
          <w:sz w:val="18"/>
          <w:szCs w:val="18"/>
        </w:rPr>
        <w:t>，不属于外方投资者实际出资金额</w:t>
      </w:r>
      <w:r>
        <w:rPr>
          <w:sz w:val="18"/>
          <w:szCs w:val="18"/>
        </w:rPr>
        <w:t>。</w:t>
      </w:r>
    </w:p>
    <w:p>
      <w:pPr>
        <w:snapToGrid w:val="0"/>
        <w:spacing w:line="288" w:lineRule="auto"/>
        <w:ind w:firstLine="360" w:firstLineChars="200"/>
        <w:rPr>
          <w:sz w:val="18"/>
          <w:szCs w:val="18"/>
        </w:rPr>
      </w:pPr>
      <w:r>
        <w:rPr>
          <w:rFonts w:hint="eastAsia"/>
          <w:sz w:val="18"/>
          <w:szCs w:val="18"/>
        </w:rPr>
        <w:t>9、第八项</w:t>
      </w:r>
      <w:r>
        <w:rPr>
          <w:sz w:val="18"/>
          <w:szCs w:val="18"/>
        </w:rPr>
        <w:t>“</w:t>
      </w:r>
      <w:r>
        <w:rPr>
          <w:rFonts w:hint="eastAsia"/>
          <w:sz w:val="18"/>
          <w:szCs w:val="18"/>
        </w:rPr>
        <w:t>外商投资企业盈利情况</w:t>
      </w:r>
      <w:r>
        <w:rPr>
          <w:sz w:val="18"/>
          <w:szCs w:val="18"/>
        </w:rPr>
        <w:t>”</w:t>
      </w:r>
      <w:r>
        <w:rPr>
          <w:rFonts w:hint="eastAsia"/>
          <w:sz w:val="18"/>
          <w:szCs w:val="18"/>
        </w:rPr>
        <w:t xml:space="preserve"> 中的</w:t>
      </w:r>
      <w:r>
        <w:rPr>
          <w:sz w:val="18"/>
          <w:szCs w:val="18"/>
        </w:rPr>
        <w:t>“</w:t>
      </w:r>
      <w:r>
        <w:rPr>
          <w:rFonts w:hint="eastAsia"/>
          <w:sz w:val="18"/>
          <w:szCs w:val="18"/>
        </w:rPr>
        <w:t>当期（上年）数</w:t>
      </w:r>
      <w:r>
        <w:rPr>
          <w:sz w:val="18"/>
          <w:szCs w:val="18"/>
        </w:rPr>
        <w:t>”</w:t>
      </w:r>
      <w:r>
        <w:rPr>
          <w:rFonts w:hint="eastAsia"/>
          <w:sz w:val="18"/>
          <w:szCs w:val="18"/>
        </w:rPr>
        <w:t>应按报告期的利润表填写；</w:t>
      </w:r>
      <w:r>
        <w:rPr>
          <w:sz w:val="18"/>
          <w:szCs w:val="18"/>
        </w:rPr>
        <w:t>“</w:t>
      </w:r>
      <w:r>
        <w:rPr>
          <w:rFonts w:hint="eastAsia"/>
          <w:sz w:val="18"/>
          <w:szCs w:val="18"/>
        </w:rPr>
        <w:t>历年累计数</w:t>
      </w:r>
      <w:r>
        <w:rPr>
          <w:sz w:val="18"/>
          <w:szCs w:val="18"/>
        </w:rPr>
        <w:t>”</w:t>
      </w:r>
      <w:r>
        <w:rPr>
          <w:rFonts w:hint="eastAsia"/>
          <w:sz w:val="18"/>
          <w:szCs w:val="18"/>
        </w:rPr>
        <w:t>应按企业成立之初至报告期历年累计加总得出。</w:t>
      </w:r>
    </w:p>
    <w:p>
      <w:pPr>
        <w:snapToGrid w:val="0"/>
        <w:spacing w:line="288" w:lineRule="auto"/>
        <w:ind w:firstLine="360" w:firstLineChars="200"/>
        <w:rPr>
          <w:sz w:val="18"/>
          <w:szCs w:val="18"/>
        </w:rPr>
      </w:pPr>
      <w:r>
        <w:rPr>
          <w:rFonts w:hint="eastAsia"/>
          <w:sz w:val="18"/>
          <w:szCs w:val="18"/>
        </w:rPr>
        <w:t>10、</w:t>
      </w:r>
      <w:r>
        <w:rPr>
          <w:sz w:val="18"/>
          <w:szCs w:val="18"/>
        </w:rPr>
        <w:t>“应付外方股利”：</w:t>
      </w:r>
      <w:r>
        <w:rPr>
          <w:rFonts w:hint="eastAsia"/>
          <w:sz w:val="18"/>
          <w:szCs w:val="18"/>
        </w:rPr>
        <w:t>外商投资企业</w:t>
      </w:r>
      <w:r>
        <w:rPr>
          <w:sz w:val="18"/>
          <w:szCs w:val="18"/>
        </w:rPr>
        <w:t>已宣告分配但尚未支付给外方的股利（未扣除应代扣代缴的税款）。</w:t>
      </w:r>
    </w:p>
    <w:p>
      <w:pPr>
        <w:snapToGrid w:val="0"/>
        <w:spacing w:line="288" w:lineRule="auto"/>
        <w:ind w:firstLine="360" w:firstLineChars="200"/>
        <w:rPr>
          <w:sz w:val="18"/>
          <w:szCs w:val="18"/>
        </w:rPr>
      </w:pPr>
      <w:r>
        <w:rPr>
          <w:rFonts w:hint="eastAsia"/>
          <w:sz w:val="18"/>
          <w:szCs w:val="18"/>
        </w:rPr>
        <w:t>11、</w:t>
      </w:r>
      <w:r>
        <w:rPr>
          <w:sz w:val="18"/>
          <w:szCs w:val="18"/>
        </w:rPr>
        <w:t>“</w:t>
      </w:r>
      <w:r>
        <w:rPr>
          <w:rFonts w:hint="eastAsia"/>
          <w:sz w:val="18"/>
          <w:szCs w:val="18"/>
        </w:rPr>
        <w:t>归属于外商投资企业全体股东的净利润</w:t>
      </w:r>
      <w:r>
        <w:rPr>
          <w:sz w:val="18"/>
          <w:szCs w:val="18"/>
        </w:rPr>
        <w:t>”按照</w:t>
      </w:r>
      <w:r>
        <w:rPr>
          <w:rFonts w:hint="eastAsia"/>
          <w:sz w:val="18"/>
          <w:szCs w:val="18"/>
        </w:rPr>
        <w:t>外商投资企业</w:t>
      </w:r>
      <w:r>
        <w:rPr>
          <w:sz w:val="18"/>
          <w:szCs w:val="18"/>
        </w:rPr>
        <w:t>财务报表</w:t>
      </w:r>
      <w:r>
        <w:rPr>
          <w:rFonts w:hint="eastAsia"/>
          <w:sz w:val="18"/>
          <w:szCs w:val="18"/>
        </w:rPr>
        <w:t>（合并报表）</w:t>
      </w:r>
      <w:r>
        <w:rPr>
          <w:sz w:val="18"/>
          <w:szCs w:val="18"/>
        </w:rPr>
        <w:t>相关会计科目填写，“其中：</w:t>
      </w:r>
      <w:r>
        <w:rPr>
          <w:rFonts w:hint="eastAsia"/>
          <w:sz w:val="18"/>
          <w:szCs w:val="18"/>
        </w:rPr>
        <w:t>外方股东享有</w:t>
      </w:r>
      <w:r>
        <w:rPr>
          <w:sz w:val="18"/>
          <w:szCs w:val="18"/>
        </w:rPr>
        <w:t>的</w:t>
      </w:r>
      <w:r>
        <w:rPr>
          <w:rFonts w:hint="eastAsia"/>
          <w:sz w:val="18"/>
          <w:szCs w:val="18"/>
        </w:rPr>
        <w:t>净</w:t>
      </w:r>
      <w:r>
        <w:rPr>
          <w:sz w:val="18"/>
          <w:szCs w:val="18"/>
        </w:rPr>
        <w:t>利润”按</w:t>
      </w:r>
      <w:r>
        <w:rPr>
          <w:rFonts w:hint="eastAsia"/>
          <w:sz w:val="18"/>
          <w:szCs w:val="18"/>
        </w:rPr>
        <w:t>外方</w:t>
      </w:r>
      <w:r>
        <w:rPr>
          <w:sz w:val="18"/>
          <w:szCs w:val="18"/>
        </w:rPr>
        <w:t>股权比例或约定比例（符合相关法律法规的规定）计算后填写。</w:t>
      </w:r>
    </w:p>
    <w:p>
      <w:pPr>
        <w:snapToGrid w:val="0"/>
        <w:spacing w:line="288" w:lineRule="auto"/>
        <w:ind w:firstLine="360" w:firstLineChars="200"/>
        <w:rPr>
          <w:b/>
          <w:sz w:val="18"/>
          <w:szCs w:val="18"/>
        </w:rPr>
      </w:pPr>
      <w:r>
        <w:rPr>
          <w:rFonts w:hint="eastAsia"/>
          <w:sz w:val="18"/>
          <w:szCs w:val="18"/>
        </w:rPr>
        <w:t>12、</w:t>
      </w:r>
      <w:r>
        <w:rPr>
          <w:sz w:val="18"/>
          <w:szCs w:val="18"/>
        </w:rPr>
        <w:t>“分配</w:t>
      </w:r>
      <w:r>
        <w:rPr>
          <w:rFonts w:hint="eastAsia"/>
          <w:sz w:val="18"/>
          <w:szCs w:val="18"/>
        </w:rPr>
        <w:t>外</w:t>
      </w:r>
      <w:r>
        <w:rPr>
          <w:sz w:val="18"/>
          <w:szCs w:val="18"/>
        </w:rPr>
        <w:t>方</w:t>
      </w:r>
      <w:r>
        <w:rPr>
          <w:rFonts w:hint="eastAsia"/>
          <w:sz w:val="18"/>
          <w:szCs w:val="18"/>
        </w:rPr>
        <w:t>股东</w:t>
      </w:r>
      <w:r>
        <w:rPr>
          <w:sz w:val="18"/>
          <w:szCs w:val="18"/>
        </w:rPr>
        <w:t>的利润金额合计”、“</w:t>
      </w:r>
      <w:r>
        <w:rPr>
          <w:rFonts w:hint="eastAsia"/>
          <w:sz w:val="18"/>
          <w:szCs w:val="18"/>
        </w:rPr>
        <w:t>汇往外方股东</w:t>
      </w:r>
      <w:r>
        <w:rPr>
          <w:sz w:val="18"/>
          <w:szCs w:val="18"/>
        </w:rPr>
        <w:t>的利润金额合计”</w:t>
      </w:r>
      <w:r>
        <w:rPr>
          <w:rFonts w:hint="eastAsia"/>
          <w:sz w:val="18"/>
          <w:szCs w:val="18"/>
        </w:rPr>
        <w:t>当期数按上年度</w:t>
      </w:r>
      <w:r>
        <w:rPr>
          <w:sz w:val="18"/>
          <w:szCs w:val="18"/>
        </w:rPr>
        <w:t>实际发生额填写，分配的利润和</w:t>
      </w:r>
      <w:r>
        <w:rPr>
          <w:rFonts w:hint="eastAsia"/>
          <w:sz w:val="18"/>
          <w:szCs w:val="18"/>
        </w:rPr>
        <w:t>汇出的</w:t>
      </w:r>
      <w:r>
        <w:rPr>
          <w:sz w:val="18"/>
          <w:szCs w:val="18"/>
        </w:rPr>
        <w:t>利润中可能包含以往年度产生的利润。</w:t>
      </w:r>
    </w:p>
    <w:p>
      <w:pPr>
        <w:snapToGrid w:val="0"/>
        <w:spacing w:line="288" w:lineRule="auto"/>
        <w:ind w:firstLine="360" w:firstLineChars="200"/>
        <w:rPr>
          <w:sz w:val="18"/>
          <w:szCs w:val="18"/>
        </w:rPr>
      </w:pPr>
      <w:r>
        <w:rPr>
          <w:rFonts w:hint="eastAsia"/>
          <w:sz w:val="18"/>
          <w:szCs w:val="18"/>
        </w:rPr>
        <w:t>13、</w:t>
      </w:r>
      <w:r>
        <w:rPr>
          <w:sz w:val="18"/>
          <w:szCs w:val="18"/>
        </w:rPr>
        <w:t>“附注”：“应付股利”、“实收资本”、“资本公积”、“未分配利润”、“盈余公积”和“其他”仅投资性外商投资企业汇总境内子公司数据填写。境内子公司数据须区分按“权益法”核算或“成本法”核算的子公司进行分项填写，存在多家子公司的须填写合计权益金额。计算公式为：外方投资者实际享有权益=境内子公司权益×投资性外商投资企业中外国投资者股权比例或约定比例（符合相关法律法规的规定）×境内子公司中投资性外商投资企业股权比例或约定比例（符合相关法律法规的规定）。</w:t>
      </w:r>
    </w:p>
    <w:p>
      <w:pPr>
        <w:snapToGrid w:val="0"/>
        <w:spacing w:line="288" w:lineRule="auto"/>
        <w:ind w:firstLine="360" w:firstLineChars="200"/>
        <w:rPr>
          <w:sz w:val="18"/>
          <w:szCs w:val="18"/>
        </w:rPr>
      </w:pPr>
      <w:r>
        <w:rPr>
          <w:rFonts w:hint="eastAsia"/>
          <w:sz w:val="18"/>
          <w:szCs w:val="18"/>
        </w:rPr>
        <w:t>14、</w:t>
      </w:r>
      <w:r>
        <w:rPr>
          <w:sz w:val="18"/>
          <w:szCs w:val="18"/>
        </w:rPr>
        <w:t>针对外商投资企业之间发生吸收合并的情况，被吸收公司应及时到注册地银行办理注销手续，不再重复进行外汇年报数据申报。存续公司的期初数应按照该公司期初的实际规模填写，期末数应按照吸收合并后新公司的实际金额填写。</w:t>
      </w:r>
    </w:p>
    <w:p>
      <w:pPr>
        <w:snapToGrid w:val="0"/>
        <w:spacing w:line="288" w:lineRule="auto"/>
        <w:ind w:firstLine="360" w:firstLineChars="200"/>
        <w:rPr>
          <w:sz w:val="18"/>
          <w:szCs w:val="18"/>
        </w:rPr>
      </w:pPr>
      <w:r>
        <w:rPr>
          <w:rFonts w:hint="eastAsia"/>
          <w:sz w:val="18"/>
          <w:szCs w:val="18"/>
        </w:rPr>
        <w:t>15、</w:t>
      </w:r>
      <w:r>
        <w:rPr>
          <w:sz w:val="18"/>
          <w:szCs w:val="18"/>
        </w:rPr>
        <w:t>本表的期初数应与上年度申报的期末数相同。若确实存在对上年度数据调整，导致两者不同的，应在“备注栏”中详细注明原因和调整内容。</w:t>
      </w:r>
    </w:p>
    <w:p>
      <w:pPr>
        <w:snapToGrid w:val="0"/>
        <w:spacing w:line="288" w:lineRule="auto"/>
        <w:ind w:firstLine="360" w:firstLineChars="200"/>
        <w:rPr>
          <w:sz w:val="18"/>
          <w:szCs w:val="18"/>
        </w:rPr>
      </w:pPr>
      <w:r>
        <w:rPr>
          <w:rFonts w:hint="eastAsia"/>
          <w:sz w:val="18"/>
          <w:szCs w:val="18"/>
        </w:rPr>
        <w:t>16、</w:t>
      </w:r>
      <w:r>
        <w:rPr>
          <w:sz w:val="18"/>
          <w:szCs w:val="18"/>
        </w:rPr>
        <w:t>本表的填报币种为人民币元，折算汇率应按照资金实际记账时的汇率进行折算。</w:t>
      </w:r>
    </w:p>
    <w:p>
      <w:pPr>
        <w:snapToGrid w:val="0"/>
        <w:spacing w:line="288" w:lineRule="auto"/>
        <w:ind w:firstLine="360" w:firstLineChars="200"/>
        <w:rPr>
          <w:sz w:val="18"/>
          <w:szCs w:val="18"/>
        </w:rPr>
      </w:pPr>
      <w:r>
        <w:rPr>
          <w:rFonts w:hint="eastAsia"/>
          <w:sz w:val="18"/>
          <w:szCs w:val="18"/>
        </w:rPr>
        <w:t>17、</w:t>
      </w:r>
      <w:r>
        <w:rPr>
          <w:sz w:val="18"/>
          <w:szCs w:val="18"/>
        </w:rPr>
        <w:t>表中所有项目应保留小数点后两位。</w:t>
      </w:r>
    </w:p>
    <w:p>
      <w:pPr>
        <w:snapToGrid w:val="0"/>
        <w:spacing w:line="288" w:lineRule="auto"/>
        <w:ind w:firstLine="360" w:firstLineChars="200"/>
        <w:rPr>
          <w:sz w:val="18"/>
          <w:szCs w:val="18"/>
        </w:rPr>
      </w:pPr>
      <w:r>
        <w:rPr>
          <w:rFonts w:hint="eastAsia"/>
          <w:sz w:val="18"/>
          <w:szCs w:val="18"/>
        </w:rPr>
        <w:t>18、</w:t>
      </w:r>
      <w:r>
        <w:rPr>
          <w:sz w:val="18"/>
          <w:szCs w:val="18"/>
        </w:rPr>
        <w:t>表中所有项目均为必填，为零的须填写“0”</w:t>
      </w:r>
      <w:r>
        <w:rPr>
          <w:rFonts w:hint="eastAsia"/>
          <w:sz w:val="18"/>
          <w:szCs w:val="18"/>
        </w:rPr>
        <w:t>，</w:t>
      </w:r>
      <w:r>
        <w:rPr>
          <w:sz w:val="18"/>
          <w:szCs w:val="18"/>
        </w:rPr>
        <w:t>不能为空白。</w:t>
      </w:r>
    </w:p>
    <w:p>
      <w:pPr>
        <w:pStyle w:val="2"/>
        <w:tabs>
          <w:tab w:val="left" w:pos="5640"/>
        </w:tabs>
        <w:jc w:val="center"/>
        <w:rPr>
          <w:rFonts w:eastAsia="黑体"/>
          <w:b w:val="0"/>
          <w:bCs w:val="0"/>
          <w:sz w:val="30"/>
          <w:lang w:eastAsia="zh-CN"/>
        </w:rPr>
      </w:pPr>
      <w:r>
        <w:rPr>
          <w:sz w:val="18"/>
          <w:szCs w:val="18"/>
        </w:rPr>
        <w:br w:type="page"/>
      </w:r>
      <w:bookmarkStart w:id="1" w:name="_Toc412647119"/>
      <w:bookmarkStart w:id="2" w:name="_Toc402885267"/>
      <w:bookmarkStart w:id="3" w:name="_Toc412647117"/>
      <w:r>
        <w:rPr>
          <w:rFonts w:hint="eastAsia" w:eastAsia="黑体"/>
          <w:b w:val="0"/>
          <w:bCs w:val="0"/>
          <w:sz w:val="30"/>
          <w:lang w:eastAsia="zh-CN"/>
        </w:rPr>
        <w:t>附表2：</w:t>
      </w:r>
      <w:r>
        <w:rPr>
          <w:rFonts w:eastAsia="黑体"/>
          <w:b w:val="0"/>
          <w:bCs w:val="0"/>
          <w:sz w:val="30"/>
          <w:lang w:eastAsia="zh-CN"/>
        </w:rPr>
        <w:t>境外直接投资中方权益统计表</w:t>
      </w:r>
      <w:bookmarkEnd w:id="1"/>
    </w:p>
    <w:p>
      <w:pPr>
        <w:spacing w:line="240" w:lineRule="atLeast"/>
        <w:ind w:firstLine="482"/>
        <w:jc w:val="right"/>
        <w:rPr>
          <w:rFonts w:eastAsia="仿宋_GB2312"/>
          <w:sz w:val="24"/>
        </w:rPr>
      </w:pPr>
      <w:r>
        <w:rPr>
          <w:rFonts w:eastAsia="仿宋_GB2312"/>
          <w:sz w:val="24"/>
        </w:rPr>
        <w:t>金额单位：美元</w:t>
      </w:r>
    </w:p>
    <w:tbl>
      <w:tblPr>
        <w:tblW w:w="8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27"/>
        <w:gridCol w:w="1276"/>
        <w:gridCol w:w="1276"/>
      </w:tblGrid>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b/>
                <w:kern w:val="0"/>
                <w:sz w:val="24"/>
              </w:rPr>
            </w:pPr>
            <w:r>
              <w:rPr>
                <w:b/>
                <w:kern w:val="0"/>
                <w:sz w:val="24"/>
              </w:rPr>
              <w:t>指标</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center"/>
              <w:rPr>
                <w:b/>
                <w:kern w:val="0"/>
                <w:sz w:val="24"/>
              </w:rPr>
            </w:pPr>
            <w:r>
              <w:rPr>
                <w:b/>
                <w:kern w:val="0"/>
                <w:sz w:val="24"/>
              </w:rPr>
              <w:t>期初数</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center"/>
              <w:rPr>
                <w:b/>
                <w:kern w:val="0"/>
                <w:sz w:val="24"/>
              </w:rPr>
            </w:pPr>
            <w:r>
              <w:rPr>
                <w:b/>
                <w:kern w:val="0"/>
                <w:sz w:val="24"/>
              </w:rPr>
              <w:t>期末数</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一、</w:t>
            </w:r>
            <w:r>
              <w:rPr>
                <w:kern w:val="0"/>
                <w:sz w:val="24"/>
              </w:rPr>
              <w:t>境外投资企业资产合计</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xml:space="preserve">    其中：流动资产</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xml:space="preserve">          </w:t>
            </w:r>
            <w:r>
              <w:rPr>
                <w:rFonts w:hint="eastAsia"/>
                <w:kern w:val="0"/>
                <w:sz w:val="24"/>
              </w:rPr>
              <w:t>非流动资产</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二、</w:t>
            </w:r>
            <w:r>
              <w:rPr>
                <w:kern w:val="0"/>
                <w:sz w:val="24"/>
              </w:rPr>
              <w:t>境外投资企业负债合计</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xml:space="preserve">    其中：短期负债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xml:space="preserve">          长期负债</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三、归属于</w:t>
            </w:r>
            <w:r>
              <w:rPr>
                <w:kern w:val="0"/>
                <w:sz w:val="24"/>
              </w:rPr>
              <w:t>境外投资企业</w:t>
            </w:r>
            <w:r>
              <w:rPr>
                <w:rFonts w:hint="eastAsia"/>
                <w:kern w:val="0"/>
                <w:sz w:val="24"/>
              </w:rPr>
              <w:t>全体股东的权益</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xml:space="preserve">    其中：归属中方</w:t>
            </w:r>
            <w:r>
              <w:rPr>
                <w:rFonts w:hint="eastAsia"/>
                <w:kern w:val="0"/>
                <w:sz w:val="24"/>
              </w:rPr>
              <w:t>股东</w:t>
            </w:r>
            <w:r>
              <w:rPr>
                <w:kern w:val="0"/>
                <w:sz w:val="24"/>
              </w:rPr>
              <w:t>的权益</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kern w:val="0"/>
                <w:sz w:val="24"/>
              </w:rPr>
              <w:t>　        其中：归属中方</w:t>
            </w:r>
            <w:r>
              <w:rPr>
                <w:rFonts w:hint="eastAsia"/>
                <w:kern w:val="0"/>
                <w:sz w:val="24"/>
              </w:rPr>
              <w:t>股东</w:t>
            </w:r>
            <w:r>
              <w:rPr>
                <w:kern w:val="0"/>
                <w:sz w:val="24"/>
              </w:rPr>
              <w:t>的未分配利润余额</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四、境外投资企业少数股东权益</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五、</w:t>
            </w:r>
            <w:r>
              <w:rPr>
                <w:kern w:val="0"/>
                <w:sz w:val="24"/>
              </w:rPr>
              <w:t>境外投资企业应付中方股利</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kern w:val="0"/>
                <w:sz w:val="24"/>
              </w:rPr>
            </w:pPr>
            <w:r>
              <w:rPr>
                <w:rFonts w:hint="eastAsia"/>
                <w:kern w:val="0"/>
                <w:sz w:val="24"/>
              </w:rPr>
              <w:t>六、</w:t>
            </w:r>
            <w:r>
              <w:rPr>
                <w:kern w:val="0"/>
                <w:sz w:val="24"/>
              </w:rPr>
              <w:t>境外投资企业盈利情况</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center"/>
              <w:rPr>
                <w:b/>
                <w:kern w:val="0"/>
                <w:sz w:val="24"/>
              </w:rPr>
            </w:pPr>
            <w:r>
              <w:rPr>
                <w:b/>
                <w:kern w:val="0"/>
                <w:sz w:val="24"/>
              </w:rPr>
              <w:t>当期（上年）数</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center"/>
              <w:rPr>
                <w:b/>
                <w:kern w:val="0"/>
                <w:sz w:val="24"/>
              </w:rPr>
            </w:pPr>
            <w:r>
              <w:rPr>
                <w:b/>
                <w:kern w:val="0"/>
                <w:sz w:val="24"/>
              </w:rPr>
              <w:t>历年累计</w:t>
            </w:r>
          </w:p>
        </w:tc>
      </w:tr>
      <w:tr>
        <w:trPr>
          <w:trHeight w:val="270" w:hRule="atLeast"/>
        </w:trPr>
        <w:tc>
          <w:tcPr>
            <w:tcW w:w="58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480"/>
              <w:jc w:val="left"/>
              <w:rPr>
                <w:kern w:val="0"/>
                <w:sz w:val="24"/>
              </w:rPr>
            </w:pPr>
            <w:r>
              <w:rPr>
                <w:rFonts w:hint="eastAsia"/>
                <w:kern w:val="0"/>
                <w:sz w:val="24"/>
              </w:rPr>
              <w:t>归属于</w:t>
            </w:r>
            <w:r>
              <w:rPr>
                <w:kern w:val="0"/>
                <w:sz w:val="24"/>
              </w:rPr>
              <w:t>境外投资企业</w:t>
            </w:r>
            <w:r>
              <w:rPr>
                <w:rFonts w:hint="eastAsia"/>
                <w:kern w:val="0"/>
                <w:sz w:val="24"/>
              </w:rPr>
              <w:t>全体股东</w:t>
            </w:r>
            <w:r>
              <w:rPr>
                <w:kern w:val="0"/>
                <w:sz w:val="24"/>
              </w:rPr>
              <w:t>的</w:t>
            </w:r>
            <w:r>
              <w:rPr>
                <w:rFonts w:hint="eastAsia"/>
                <w:kern w:val="0"/>
                <w:sz w:val="24"/>
              </w:rPr>
              <w:t>净</w:t>
            </w:r>
            <w:r>
              <w:rPr>
                <w:kern w:val="0"/>
                <w:sz w:val="24"/>
              </w:rPr>
              <w:t>利润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r>
              <w:rPr>
                <w:kern w:val="0"/>
                <w:sz w:val="24"/>
              </w:rPr>
              <w:t>　</w:t>
            </w:r>
          </w:p>
        </w:tc>
        <w:tc>
          <w:tcPr>
            <w:tcW w:w="1276" w:type="dxa"/>
            <w:tcBorders>
              <w:top w:val="single" w:color="auto" w:sz="4" w:space="0"/>
              <w:left w:val="nil"/>
              <w:bottom w:val="single" w:color="auto" w:sz="4" w:space="0"/>
              <w:right w:val="single" w:color="auto" w:sz="4" w:space="0"/>
            </w:tcBorders>
            <w:vAlign w:val="center"/>
          </w:tcPr>
          <w:p>
            <w:pPr>
              <w:widowControl/>
              <w:spacing w:line="240" w:lineRule="atLeast"/>
              <w:jc w:val="left"/>
              <w:rPr>
                <w:kern w:val="0"/>
                <w:sz w:val="24"/>
              </w:rPr>
            </w:pPr>
          </w:p>
        </w:tc>
      </w:tr>
      <w:tr>
        <w:trPr>
          <w:trHeight w:val="445" w:hRule="atLeast"/>
        </w:trPr>
        <w:tc>
          <w:tcPr>
            <w:tcW w:w="5827" w:type="dxa"/>
            <w:tcBorders>
              <w:top w:val="single" w:color="auto" w:sz="4" w:space="0"/>
              <w:left w:val="single" w:color="auto" w:sz="4" w:space="0"/>
              <w:bottom w:val="single" w:color="auto" w:sz="4" w:space="0"/>
              <w:right w:val="single" w:color="auto" w:sz="4" w:space="0"/>
            </w:tcBorders>
            <w:vAlign w:val="top"/>
          </w:tcPr>
          <w:p>
            <w:pPr>
              <w:widowControl/>
              <w:spacing w:line="240" w:lineRule="atLeast"/>
              <w:ind w:firstLine="1680" w:firstLineChars="700"/>
              <w:jc w:val="left"/>
              <w:rPr>
                <w:kern w:val="0"/>
                <w:sz w:val="24"/>
              </w:rPr>
            </w:pPr>
            <w:r>
              <w:rPr>
                <w:kern w:val="0"/>
                <w:sz w:val="24"/>
              </w:rPr>
              <w:t>其中：中方</w:t>
            </w:r>
            <w:r>
              <w:rPr>
                <w:rFonts w:hint="eastAsia"/>
                <w:kern w:val="0"/>
                <w:sz w:val="24"/>
              </w:rPr>
              <w:t>股东</w:t>
            </w:r>
            <w:r>
              <w:rPr>
                <w:kern w:val="0"/>
                <w:sz w:val="24"/>
              </w:rPr>
              <w:t>享有的</w:t>
            </w:r>
            <w:r>
              <w:rPr>
                <w:rFonts w:hint="eastAsia"/>
                <w:kern w:val="0"/>
                <w:sz w:val="24"/>
              </w:rPr>
              <w:t>净</w:t>
            </w:r>
            <w:r>
              <w:rPr>
                <w:kern w:val="0"/>
                <w:sz w:val="24"/>
              </w:rPr>
              <w:t>利润</w:t>
            </w: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r>
      <w:tr>
        <w:trPr>
          <w:trHeight w:val="445" w:hRule="atLeast"/>
        </w:trPr>
        <w:tc>
          <w:tcPr>
            <w:tcW w:w="5827" w:type="dxa"/>
            <w:tcBorders>
              <w:top w:val="single" w:color="auto" w:sz="4" w:space="0"/>
              <w:left w:val="single" w:color="auto" w:sz="4" w:space="0"/>
              <w:bottom w:val="single" w:color="auto" w:sz="4" w:space="0"/>
              <w:right w:val="single" w:color="auto" w:sz="4" w:space="0"/>
            </w:tcBorders>
            <w:vAlign w:val="top"/>
          </w:tcPr>
          <w:p>
            <w:pPr>
              <w:widowControl/>
              <w:spacing w:line="240" w:lineRule="atLeast"/>
              <w:ind w:firstLine="480" w:firstLineChars="200"/>
              <w:jc w:val="left"/>
              <w:rPr>
                <w:kern w:val="0"/>
                <w:sz w:val="24"/>
              </w:rPr>
            </w:pPr>
            <w:r>
              <w:rPr>
                <w:kern w:val="0"/>
                <w:sz w:val="24"/>
              </w:rPr>
              <w:t>分配中方</w:t>
            </w:r>
            <w:r>
              <w:rPr>
                <w:rFonts w:hint="eastAsia"/>
                <w:kern w:val="0"/>
                <w:sz w:val="24"/>
              </w:rPr>
              <w:t>股东</w:t>
            </w:r>
            <w:r>
              <w:rPr>
                <w:kern w:val="0"/>
                <w:sz w:val="24"/>
              </w:rPr>
              <w:t>的利润金额合计</w:t>
            </w: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r>
      <w:tr>
        <w:trPr>
          <w:trHeight w:val="445" w:hRule="atLeast"/>
        </w:trPr>
        <w:tc>
          <w:tcPr>
            <w:tcW w:w="5827" w:type="dxa"/>
            <w:tcBorders>
              <w:top w:val="single" w:color="auto" w:sz="4" w:space="0"/>
              <w:left w:val="single" w:color="auto" w:sz="4" w:space="0"/>
              <w:bottom w:val="single" w:color="auto" w:sz="4" w:space="0"/>
              <w:right w:val="single" w:color="auto" w:sz="4" w:space="0"/>
            </w:tcBorders>
            <w:vAlign w:val="top"/>
          </w:tcPr>
          <w:p>
            <w:pPr>
              <w:widowControl/>
              <w:spacing w:line="240" w:lineRule="atLeast"/>
              <w:ind w:firstLine="480" w:firstLineChars="200"/>
              <w:jc w:val="left"/>
              <w:rPr>
                <w:kern w:val="0"/>
                <w:sz w:val="24"/>
              </w:rPr>
            </w:pPr>
            <w:r>
              <w:rPr>
                <w:kern w:val="0"/>
                <w:sz w:val="24"/>
              </w:rPr>
              <w:t>汇回中方</w:t>
            </w:r>
            <w:r>
              <w:rPr>
                <w:rFonts w:hint="eastAsia"/>
                <w:kern w:val="0"/>
                <w:sz w:val="24"/>
              </w:rPr>
              <w:t>股东</w:t>
            </w:r>
            <w:r>
              <w:rPr>
                <w:kern w:val="0"/>
                <w:sz w:val="24"/>
              </w:rPr>
              <w:t>的利润金额合计</w:t>
            </w: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c>
          <w:tcPr>
            <w:tcW w:w="1276" w:type="dxa"/>
            <w:tcBorders>
              <w:top w:val="single" w:color="auto" w:sz="4" w:space="0"/>
              <w:left w:val="single" w:color="auto" w:sz="4" w:space="0"/>
              <w:bottom w:val="single" w:color="auto" w:sz="4" w:space="0"/>
              <w:right w:val="single" w:color="auto" w:sz="4" w:space="0"/>
            </w:tcBorders>
            <w:vAlign w:val="top"/>
          </w:tcPr>
          <w:p>
            <w:pPr>
              <w:keepNext/>
              <w:keepLines/>
              <w:widowControl/>
              <w:spacing w:line="240" w:lineRule="atLeast"/>
              <w:jc w:val="left"/>
              <w:rPr>
                <w:kern w:val="0"/>
                <w:sz w:val="24"/>
              </w:rPr>
            </w:pPr>
          </w:p>
        </w:tc>
      </w:tr>
    </w:tbl>
    <w:p>
      <w:pPr>
        <w:ind w:firstLine="482"/>
        <w:jc w:val="left"/>
        <w:rPr>
          <w:b/>
          <w:sz w:val="18"/>
          <w:szCs w:val="18"/>
        </w:rPr>
      </w:pPr>
    </w:p>
    <w:p>
      <w:pPr>
        <w:ind w:firstLine="482"/>
        <w:jc w:val="left"/>
        <w:rPr>
          <w:b/>
          <w:sz w:val="18"/>
          <w:szCs w:val="18"/>
        </w:rPr>
      </w:pPr>
    </w:p>
    <w:p>
      <w:pPr>
        <w:ind w:firstLine="482"/>
        <w:jc w:val="left"/>
      </w:pPr>
      <w:r>
        <w:rPr>
          <w:b/>
          <w:sz w:val="18"/>
          <w:szCs w:val="18"/>
        </w:rPr>
        <w:t>填表说明：</w:t>
      </w:r>
    </w:p>
    <w:p>
      <w:pPr>
        <w:snapToGrid w:val="0"/>
        <w:spacing w:line="288" w:lineRule="auto"/>
        <w:ind w:firstLine="360" w:firstLineChars="200"/>
        <w:rPr>
          <w:sz w:val="18"/>
          <w:szCs w:val="18"/>
        </w:rPr>
      </w:pPr>
      <w:r>
        <w:rPr>
          <w:sz w:val="18"/>
          <w:szCs w:val="18"/>
        </w:rPr>
        <w:t>1</w:t>
      </w:r>
      <w:r>
        <w:rPr>
          <w:rFonts w:hint="eastAsia"/>
          <w:sz w:val="18"/>
          <w:szCs w:val="18"/>
        </w:rPr>
        <w:t>、</w:t>
      </w:r>
      <w:r>
        <w:rPr>
          <w:sz w:val="18"/>
          <w:szCs w:val="18"/>
        </w:rPr>
        <w:t>“流动资产”、“</w:t>
      </w:r>
      <w:r>
        <w:rPr>
          <w:rFonts w:hint="eastAsia"/>
          <w:sz w:val="18"/>
          <w:szCs w:val="18"/>
        </w:rPr>
        <w:t>非流动资产</w:t>
      </w:r>
      <w:r>
        <w:rPr>
          <w:sz w:val="18"/>
          <w:szCs w:val="18"/>
        </w:rPr>
        <w:t>”、“短期负债”、“长期负债”及“资产合计”、“负债合计”按照</w:t>
      </w:r>
      <w:r>
        <w:rPr>
          <w:rFonts w:hint="eastAsia"/>
          <w:sz w:val="18"/>
          <w:szCs w:val="18"/>
        </w:rPr>
        <w:t>第一层级</w:t>
      </w:r>
      <w:r>
        <w:rPr>
          <w:sz w:val="18"/>
          <w:szCs w:val="18"/>
        </w:rPr>
        <w:t>境外投资企业</w:t>
      </w:r>
      <w:r>
        <w:rPr>
          <w:rFonts w:hint="eastAsia"/>
          <w:sz w:val="18"/>
          <w:szCs w:val="18"/>
        </w:rPr>
        <w:t>（含境外特殊目的公司，以下简称境外SPV）合并</w:t>
      </w:r>
      <w:r>
        <w:rPr>
          <w:sz w:val="18"/>
          <w:szCs w:val="18"/>
        </w:rPr>
        <w:t>财务报表相关会计科目填写。</w:t>
      </w:r>
    </w:p>
    <w:p>
      <w:pPr>
        <w:snapToGrid w:val="0"/>
        <w:spacing w:line="288" w:lineRule="auto"/>
        <w:ind w:firstLine="360" w:firstLineChars="200"/>
        <w:rPr>
          <w:sz w:val="18"/>
          <w:szCs w:val="18"/>
        </w:rPr>
      </w:pPr>
      <w:r>
        <w:rPr>
          <w:sz w:val="18"/>
          <w:szCs w:val="18"/>
        </w:rPr>
        <w:t>2</w:t>
      </w:r>
      <w:r>
        <w:rPr>
          <w:rFonts w:hint="eastAsia"/>
          <w:sz w:val="18"/>
          <w:szCs w:val="18"/>
        </w:rPr>
        <w:t>、</w:t>
      </w:r>
      <w:r>
        <w:rPr>
          <w:sz w:val="18"/>
          <w:szCs w:val="18"/>
        </w:rPr>
        <w:t>“</w:t>
      </w:r>
      <w:r>
        <w:rPr>
          <w:rFonts w:hint="eastAsia"/>
          <w:sz w:val="18"/>
          <w:szCs w:val="18"/>
        </w:rPr>
        <w:t>归属于</w:t>
      </w:r>
      <w:r>
        <w:rPr>
          <w:sz w:val="18"/>
          <w:szCs w:val="18"/>
        </w:rPr>
        <w:t>境外投资企业</w:t>
      </w:r>
      <w:r>
        <w:rPr>
          <w:rFonts w:hint="eastAsia"/>
          <w:sz w:val="18"/>
          <w:szCs w:val="18"/>
        </w:rPr>
        <w:t>全体股东的权益</w:t>
      </w:r>
      <w:r>
        <w:rPr>
          <w:sz w:val="18"/>
          <w:szCs w:val="18"/>
        </w:rPr>
        <w:t>”按照</w:t>
      </w:r>
      <w:r>
        <w:rPr>
          <w:rFonts w:hint="eastAsia"/>
          <w:sz w:val="18"/>
          <w:szCs w:val="18"/>
        </w:rPr>
        <w:t>第一层级</w:t>
      </w:r>
      <w:r>
        <w:rPr>
          <w:sz w:val="18"/>
          <w:szCs w:val="18"/>
        </w:rPr>
        <w:t>境外投资企业</w:t>
      </w:r>
      <w:r>
        <w:rPr>
          <w:rFonts w:hint="eastAsia"/>
          <w:sz w:val="18"/>
          <w:szCs w:val="18"/>
        </w:rPr>
        <w:t>（含境外SPV）合并</w:t>
      </w:r>
      <w:r>
        <w:rPr>
          <w:sz w:val="18"/>
          <w:szCs w:val="18"/>
        </w:rPr>
        <w:t>财务报表相关会计科目填写，“其中：归属中方</w:t>
      </w:r>
      <w:r>
        <w:rPr>
          <w:rFonts w:hint="eastAsia"/>
          <w:sz w:val="18"/>
          <w:szCs w:val="18"/>
        </w:rPr>
        <w:t>股东</w:t>
      </w:r>
      <w:r>
        <w:rPr>
          <w:sz w:val="18"/>
          <w:szCs w:val="18"/>
        </w:rPr>
        <w:t>的权益”、“其中：归属中方</w:t>
      </w:r>
      <w:r>
        <w:rPr>
          <w:rFonts w:hint="eastAsia"/>
          <w:sz w:val="18"/>
          <w:szCs w:val="18"/>
        </w:rPr>
        <w:t>股东</w:t>
      </w:r>
      <w:r>
        <w:rPr>
          <w:sz w:val="18"/>
          <w:szCs w:val="18"/>
        </w:rPr>
        <w:t>的未分配利润余额”按中方股权比例或约定比例（符合相关法律法规的规定）计算后填写。</w:t>
      </w:r>
    </w:p>
    <w:p>
      <w:pPr>
        <w:snapToGrid w:val="0"/>
        <w:spacing w:line="288" w:lineRule="auto"/>
        <w:ind w:firstLine="360" w:firstLineChars="200"/>
        <w:rPr>
          <w:sz w:val="18"/>
          <w:szCs w:val="18"/>
        </w:rPr>
      </w:pPr>
      <w:r>
        <w:rPr>
          <w:rFonts w:hint="eastAsia"/>
          <w:sz w:val="18"/>
          <w:szCs w:val="18"/>
        </w:rPr>
        <w:t>3、</w:t>
      </w:r>
      <w:r>
        <w:rPr>
          <w:sz w:val="18"/>
          <w:szCs w:val="18"/>
        </w:rPr>
        <w:t>“</w:t>
      </w:r>
      <w:r>
        <w:rPr>
          <w:rFonts w:hint="eastAsia"/>
          <w:sz w:val="18"/>
          <w:szCs w:val="18"/>
        </w:rPr>
        <w:t>境外投资企业少数股东权益</w:t>
      </w:r>
      <w:r>
        <w:rPr>
          <w:sz w:val="18"/>
          <w:szCs w:val="18"/>
        </w:rPr>
        <w:t>”按照</w:t>
      </w:r>
      <w:r>
        <w:rPr>
          <w:rFonts w:hint="eastAsia"/>
          <w:sz w:val="18"/>
          <w:szCs w:val="18"/>
        </w:rPr>
        <w:t>第一层级</w:t>
      </w:r>
      <w:r>
        <w:rPr>
          <w:sz w:val="18"/>
          <w:szCs w:val="18"/>
        </w:rPr>
        <w:t>境外投资企业</w:t>
      </w:r>
      <w:r>
        <w:rPr>
          <w:rFonts w:hint="eastAsia"/>
          <w:sz w:val="18"/>
          <w:szCs w:val="18"/>
        </w:rPr>
        <w:t>（含境外SPV）合并</w:t>
      </w:r>
      <w:r>
        <w:rPr>
          <w:sz w:val="18"/>
          <w:szCs w:val="18"/>
        </w:rPr>
        <w:t>财务报表相关会计科目填写</w:t>
      </w:r>
      <w:r>
        <w:rPr>
          <w:rFonts w:hint="eastAsia"/>
          <w:sz w:val="18"/>
          <w:szCs w:val="18"/>
        </w:rPr>
        <w:t>。</w:t>
      </w:r>
    </w:p>
    <w:p>
      <w:pPr>
        <w:snapToGrid w:val="0"/>
        <w:spacing w:line="288" w:lineRule="auto"/>
        <w:ind w:firstLine="360" w:firstLineChars="200"/>
        <w:rPr>
          <w:sz w:val="18"/>
          <w:szCs w:val="18"/>
        </w:rPr>
      </w:pPr>
      <w:r>
        <w:rPr>
          <w:rFonts w:hint="eastAsia"/>
          <w:sz w:val="18"/>
          <w:szCs w:val="18"/>
        </w:rPr>
        <w:t>4、</w:t>
      </w:r>
      <w:r>
        <w:rPr>
          <w:sz w:val="18"/>
          <w:szCs w:val="18"/>
        </w:rPr>
        <w:t>“应付中方股利”：企业已宣告分配但尚未支付给中方的股利（未扣除应代扣代缴的税款）。</w:t>
      </w:r>
    </w:p>
    <w:p>
      <w:pPr>
        <w:snapToGrid w:val="0"/>
        <w:spacing w:line="288" w:lineRule="auto"/>
        <w:ind w:firstLine="360" w:firstLineChars="200"/>
        <w:rPr>
          <w:sz w:val="18"/>
          <w:szCs w:val="18"/>
        </w:rPr>
      </w:pPr>
      <w:r>
        <w:rPr>
          <w:rFonts w:hint="eastAsia"/>
          <w:sz w:val="18"/>
          <w:szCs w:val="18"/>
        </w:rPr>
        <w:t>5、</w:t>
      </w:r>
      <w:r>
        <w:rPr>
          <w:sz w:val="18"/>
          <w:szCs w:val="18"/>
        </w:rPr>
        <w:t>“</w:t>
      </w:r>
      <w:r>
        <w:rPr>
          <w:rFonts w:hint="eastAsia"/>
          <w:sz w:val="18"/>
          <w:szCs w:val="18"/>
        </w:rPr>
        <w:t>归属于</w:t>
      </w:r>
      <w:r>
        <w:rPr>
          <w:sz w:val="18"/>
          <w:szCs w:val="18"/>
        </w:rPr>
        <w:t>境外投资企业</w:t>
      </w:r>
      <w:r>
        <w:rPr>
          <w:rFonts w:hint="eastAsia"/>
          <w:sz w:val="18"/>
          <w:szCs w:val="18"/>
        </w:rPr>
        <w:t>全体股东</w:t>
      </w:r>
      <w:r>
        <w:rPr>
          <w:sz w:val="18"/>
          <w:szCs w:val="18"/>
        </w:rPr>
        <w:t>的</w:t>
      </w:r>
      <w:r>
        <w:rPr>
          <w:rFonts w:hint="eastAsia"/>
          <w:sz w:val="18"/>
          <w:szCs w:val="18"/>
        </w:rPr>
        <w:t>净</w:t>
      </w:r>
      <w:r>
        <w:rPr>
          <w:sz w:val="18"/>
          <w:szCs w:val="18"/>
        </w:rPr>
        <w:t>利润”按照</w:t>
      </w:r>
      <w:r>
        <w:rPr>
          <w:rFonts w:hint="eastAsia"/>
          <w:sz w:val="18"/>
          <w:szCs w:val="18"/>
        </w:rPr>
        <w:t>第一层级</w:t>
      </w:r>
      <w:r>
        <w:rPr>
          <w:sz w:val="18"/>
          <w:szCs w:val="18"/>
        </w:rPr>
        <w:t>境外投资企业</w:t>
      </w:r>
      <w:r>
        <w:rPr>
          <w:rFonts w:hint="eastAsia"/>
          <w:sz w:val="18"/>
          <w:szCs w:val="18"/>
        </w:rPr>
        <w:t>（含境外SPV）合并</w:t>
      </w:r>
      <w:r>
        <w:rPr>
          <w:sz w:val="18"/>
          <w:szCs w:val="18"/>
        </w:rPr>
        <w:t>财务报表相关会计科目填写，“其中：中方</w:t>
      </w:r>
      <w:r>
        <w:rPr>
          <w:rFonts w:hint="eastAsia"/>
          <w:sz w:val="18"/>
          <w:szCs w:val="18"/>
        </w:rPr>
        <w:t>股东</w:t>
      </w:r>
      <w:r>
        <w:rPr>
          <w:sz w:val="18"/>
          <w:szCs w:val="18"/>
        </w:rPr>
        <w:t>享有的</w:t>
      </w:r>
      <w:r>
        <w:rPr>
          <w:rFonts w:hint="eastAsia"/>
          <w:sz w:val="18"/>
          <w:szCs w:val="18"/>
        </w:rPr>
        <w:t>净利润</w:t>
      </w:r>
      <w:r>
        <w:rPr>
          <w:sz w:val="18"/>
          <w:szCs w:val="18"/>
        </w:rPr>
        <w:t>”按中方股权比例或约定比例（符合相关法律法规的规定）计算后填写。</w:t>
      </w:r>
    </w:p>
    <w:p>
      <w:pPr>
        <w:snapToGrid w:val="0"/>
        <w:spacing w:line="288" w:lineRule="auto"/>
        <w:ind w:firstLine="360" w:firstLineChars="200"/>
        <w:rPr>
          <w:rFonts w:eastAsia="仿宋_GB2312"/>
          <w:sz w:val="24"/>
        </w:rPr>
      </w:pPr>
      <w:r>
        <w:rPr>
          <w:rFonts w:hint="eastAsia"/>
          <w:sz w:val="18"/>
          <w:szCs w:val="18"/>
        </w:rPr>
        <w:t>6、</w:t>
      </w:r>
      <w:r>
        <w:rPr>
          <w:sz w:val="18"/>
          <w:szCs w:val="18"/>
        </w:rPr>
        <w:t>“分配中方</w:t>
      </w:r>
      <w:r>
        <w:rPr>
          <w:rFonts w:hint="eastAsia"/>
          <w:sz w:val="18"/>
          <w:szCs w:val="18"/>
        </w:rPr>
        <w:t>股东</w:t>
      </w:r>
      <w:r>
        <w:rPr>
          <w:sz w:val="18"/>
          <w:szCs w:val="18"/>
        </w:rPr>
        <w:t>的利润金额合计”、“汇回中方</w:t>
      </w:r>
      <w:r>
        <w:rPr>
          <w:rFonts w:hint="eastAsia"/>
          <w:sz w:val="18"/>
          <w:szCs w:val="18"/>
        </w:rPr>
        <w:t>股东</w:t>
      </w:r>
      <w:r>
        <w:rPr>
          <w:sz w:val="18"/>
          <w:szCs w:val="18"/>
        </w:rPr>
        <w:t>的利润金额合计”</w:t>
      </w:r>
      <w:r>
        <w:rPr>
          <w:rFonts w:hint="eastAsia"/>
          <w:sz w:val="18"/>
          <w:szCs w:val="18"/>
        </w:rPr>
        <w:t>的当期数</w:t>
      </w:r>
      <w:r>
        <w:rPr>
          <w:sz w:val="18"/>
          <w:szCs w:val="18"/>
        </w:rPr>
        <w:t>按</w:t>
      </w:r>
      <w:r>
        <w:rPr>
          <w:rFonts w:hint="eastAsia"/>
          <w:sz w:val="18"/>
          <w:szCs w:val="18"/>
        </w:rPr>
        <w:t>上年度</w:t>
      </w:r>
      <w:r>
        <w:rPr>
          <w:sz w:val="18"/>
          <w:szCs w:val="18"/>
        </w:rPr>
        <w:t>实际发生额填写，分配的利润和汇回</w:t>
      </w:r>
      <w:r>
        <w:rPr>
          <w:rFonts w:hint="eastAsia"/>
          <w:sz w:val="18"/>
          <w:szCs w:val="18"/>
        </w:rPr>
        <w:t>的</w:t>
      </w:r>
      <w:r>
        <w:rPr>
          <w:sz w:val="18"/>
          <w:szCs w:val="18"/>
        </w:rPr>
        <w:t>利润中可能包含以往年度产生的利润。</w:t>
      </w:r>
    </w:p>
    <w:p>
      <w:pPr>
        <w:snapToGrid w:val="0"/>
        <w:spacing w:line="288" w:lineRule="auto"/>
        <w:ind w:firstLine="602" w:firstLineChars="200"/>
        <w:rPr>
          <w:sz w:val="18"/>
          <w:szCs w:val="18"/>
        </w:rPr>
      </w:pPr>
      <w:r>
        <w:rPr>
          <w:rFonts w:eastAsia="黑体"/>
          <w:b/>
          <w:bCs/>
          <w:sz w:val="30"/>
        </w:rPr>
        <w:t xml:space="preserve"> </w:t>
      </w:r>
      <w:bookmarkEnd w:id="2"/>
      <w:bookmarkEnd w:id="3"/>
    </w:p>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b/>
      <w:bCs/>
      <w:sz w:val="32"/>
      <w:szCs w:val="32"/>
      <w:lang/>
    </w:rPr>
  </w:style>
  <w:style w:type="character" w:default="1" w:styleId="6">
    <w:name w:val="Default Paragraph Font"/>
    <w:semiHidden/>
    <w:unhideWhenUsed/>
    <w:uiPriority w:val="1"/>
  </w:style>
  <w:style w:type="paragraph" w:styleId="3">
    <w:name w:val="Balloon Text"/>
    <w:basedOn w:val="1"/>
    <w:link w:val="10"/>
    <w:semiHidden/>
    <w:unhideWhenUsed/>
    <w:uiPriority w:val="99"/>
    <w:rPr>
      <w:sz w:val="18"/>
      <w:szCs w:val="18"/>
    </w:rPr>
  </w:style>
  <w:style w:type="paragraph" w:styleId="4">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customStyle="1" w:styleId="7">
    <w:name w:val="页眉 Char Char"/>
    <w:basedOn w:val="6"/>
    <w:link w:val="5"/>
    <w:uiPriority w:val="99"/>
    <w:rPr>
      <w:sz w:val="18"/>
      <w:szCs w:val="18"/>
    </w:rPr>
  </w:style>
  <w:style w:type="character" w:customStyle="1" w:styleId="8">
    <w:name w:val="页脚 Char Char"/>
    <w:basedOn w:val="6"/>
    <w:link w:val="4"/>
    <w:uiPriority w:val="99"/>
    <w:rPr>
      <w:sz w:val="18"/>
      <w:szCs w:val="18"/>
    </w:rPr>
  </w:style>
  <w:style w:type="character" w:customStyle="1" w:styleId="9">
    <w:name w:val="标题 3 Char Char"/>
    <w:basedOn w:val="6"/>
    <w:link w:val="2"/>
    <w:uiPriority w:val="9"/>
    <w:rPr>
      <w:rFonts w:ascii="Times New Roman" w:hAnsi="Times New Roman" w:eastAsia="宋体" w:cs="Times New Roman"/>
      <w:b/>
      <w:bCs/>
      <w:sz w:val="32"/>
      <w:szCs w:val="32"/>
      <w:lang/>
    </w:rPr>
  </w:style>
  <w:style w:type="character" w:customStyle="1" w:styleId="10">
    <w:name w:val="批注框文本 Char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692</Words>
  <Characters>3945</Characters>
  <Lines>32</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2016-03-21T09:30:00Z</dcterms:created>
  <dc:creator>adminPBCsh</dc:creator>
  <cp:lastModifiedBy>pbc</cp:lastModifiedBy>
  <cp:lastPrinted>2016-03-22T00:53:00Z</cp:lastPrinted>
  <dcterms:modified xsi:type="dcterms:W3CDTF">2016-03-25T03:31:59Z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