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45" w:rsidRPr="00323304" w:rsidRDefault="00A77B45" w:rsidP="00A77B45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323304">
        <w:rPr>
          <w:rFonts w:ascii="Times New Roman" w:eastAsia="方正小标宋_GBK" w:hAnsi="方正小标宋_GBK" w:cs="方正小标宋_GBK" w:hint="eastAsia"/>
          <w:sz w:val="40"/>
          <w:szCs w:val="40"/>
        </w:rPr>
        <w:t>政策性银行、全国性商业银行总行即期结售汇业务市场准入审批</w:t>
      </w:r>
    </w:p>
    <w:p w:rsidR="00A77B45" w:rsidRPr="00323304" w:rsidRDefault="00A77B45" w:rsidP="00A77B45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323304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323304">
        <w:rPr>
          <w:rFonts w:ascii="Times New Roman" w:eastAsia="方正小标宋_GBK" w:hAnsi="Times New Roman" w:cs="方正小标宋_GBK" w:hint="eastAsia"/>
          <w:sz w:val="40"/>
          <w:szCs w:val="40"/>
        </w:rPr>
        <w:t>000171112021</w:t>
      </w:r>
      <w:r w:rsidRPr="00323304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A77B45" w:rsidRPr="00323304" w:rsidRDefault="00A77B45" w:rsidP="00A77B45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政策性银行、全国性商业银行总行即期结售汇业务市场准入审批【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000171112021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A77B45" w:rsidRPr="00323304" w:rsidRDefault="00A77B45" w:rsidP="00323304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1.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政策性银行、全国性商业银行总行即期结售汇业务市场准入审批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(00017111202101)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）《中华人民共和国外汇管理条例》第二十四条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号文印发）第六条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号文印发）第九条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）《中华人民共和国外汇管理条例》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国家外汇局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国家级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局（署、会）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银行（含农村信用社）即期结售汇业务市场准入</w:t>
      </w:r>
    </w:p>
    <w:p w:rsidR="00A77B45" w:rsidRPr="00323304" w:rsidRDefault="00A77B45" w:rsidP="00A77B45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具有金融业务资格。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具备完善的业务管理制度。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具备办理业务所必需的软硬件设备。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拥有具备相应业务工作经验的高级管理人员和业务人员。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相应的外汇业务经营资格。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号文印发）第六条银行申请办理即期结售汇业务，应当具备下列条件：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（一）具有金融业务资格。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（二）具备完善的业务管理制度。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（三）具备办理业务所必需的软硬件设备。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（四）拥有具备相应业务工作经验的高级管理人员和业务人员。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银行需银行业监督管理部门批准外汇业务经营资格的，还应具备相应的外汇业务经营资格。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四、</w:t>
      </w:r>
      <w:r w:rsidRPr="00323304">
        <w:rPr>
          <w:rFonts w:ascii="Times New Roman" w:eastAsia="黑体" w:hAnsi="Times New Roman"/>
          <w:sz w:val="28"/>
          <w:szCs w:val="28"/>
        </w:rPr>
        <w:t>行政许可服务对象类型</w:t>
      </w:r>
      <w:r w:rsidRPr="00323304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A77B45" w:rsidRPr="00323304" w:rsidRDefault="00A77B45" w:rsidP="00A77B45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A77B45" w:rsidRPr="00323304" w:rsidRDefault="00A77B45" w:rsidP="00A77B45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Times New Roman" w:cs="方正仿宋_GBK"/>
          <w:sz w:val="28"/>
          <w:szCs w:val="28"/>
        </w:rPr>
        <w:t>1.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“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”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2.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3.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开展数据统计与监测，掌握外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汇业务情况。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办理结售汇业务的申请报告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《金融许可证》复印件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办理结售汇业务的内部管理规章制度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具备办理业务所必需的软硬件设备的说明材料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拥有具备相应业务工作经验的高级管理人员和业务人员的说明材料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需要经银行业监督管理部门批准外汇业务经营资格的，还应提交外汇业务许可文件复印件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份（需加盖银行公章）。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）《银行办理结售汇业务管理办法实施细则》（汇发〔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2014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53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号文印发）第九条银行总行申请即期结售汇业务，应提交下列文件和资料：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（一）办理结售汇业务的申请报告。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（二）《金融许可证》复印件。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三）办理结售汇业务的内部管理规章制度，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（四）具备办理业务所必需的软硬件设备的说明材料。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（五）拥有具备相应业务工作经验的高级管理人员和业务人员的说明材料。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（六）需要经银行业监督管理部门批准外汇业务经营资格的，还应提交外汇业务许可文件的复印件。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不予许可决定书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（二）申请事项不属于本局职责范围，应即时作出不予受理的决定，出具不予受理行政许可通知书，并告知申请人向有关行政机关申请；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日内未能提交全部且符合法定形式的补正材料的，应不予受理，出具不予受理行政许可通知书；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请行政复议的权利。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部分情况下开展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lastRenderedPageBreak/>
        <w:t>一次。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323304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批准文件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323304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9.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323304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</w:p>
    <w:p w:rsidR="00A77B45" w:rsidRPr="00323304" w:rsidRDefault="00A77B45" w:rsidP="00A77B45">
      <w:pPr>
        <w:spacing w:line="600" w:lineRule="exact"/>
        <w:ind w:firstLineChars="200" w:firstLine="560"/>
        <w:jc w:val="left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</w:p>
    <w:p w:rsidR="00A77B45" w:rsidRPr="00323304" w:rsidRDefault="00A77B45" w:rsidP="00A77B45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323304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323304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323304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A77B45" w:rsidRPr="00323304" w:rsidRDefault="00A77B45" w:rsidP="00A77B45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323304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A77B45" w:rsidRPr="00323304" w:rsidRDefault="00A77B45" w:rsidP="00A77B45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</w:p>
    <w:p w:rsidR="008C3D22" w:rsidRPr="00323304" w:rsidRDefault="008C3D22">
      <w:pPr>
        <w:rPr>
          <w:rFonts w:ascii="Times New Roman" w:hAnsi="Times New Roman"/>
        </w:rPr>
      </w:pPr>
    </w:p>
    <w:sectPr w:rsidR="008C3D22" w:rsidRPr="00323304" w:rsidSect="00DB3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9D" w:rsidRDefault="0057629D" w:rsidP="00A77B45">
      <w:r>
        <w:separator/>
      </w:r>
    </w:p>
  </w:endnote>
  <w:endnote w:type="continuationSeparator" w:id="1">
    <w:p w:rsidR="0057629D" w:rsidRDefault="0057629D" w:rsidP="00A7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9D" w:rsidRDefault="0057629D" w:rsidP="00A77B45">
      <w:r>
        <w:separator/>
      </w:r>
    </w:p>
  </w:footnote>
  <w:footnote w:type="continuationSeparator" w:id="1">
    <w:p w:rsidR="0057629D" w:rsidRDefault="0057629D" w:rsidP="00A7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B45"/>
    <w:rsid w:val="00323304"/>
    <w:rsid w:val="0057629D"/>
    <w:rsid w:val="008C3D22"/>
    <w:rsid w:val="00A77B45"/>
    <w:rsid w:val="00DB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3</cp:revision>
  <dcterms:created xsi:type="dcterms:W3CDTF">2023-09-28T05:28:00Z</dcterms:created>
  <dcterms:modified xsi:type="dcterms:W3CDTF">2023-09-28T05:33:00Z</dcterms:modified>
</cp:coreProperties>
</file>