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1E" w:rsidRDefault="0010781E" w:rsidP="0010781E">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总局办理的非银行金融机构（不含保险机构）经营或终止结售汇业务审批</w:t>
      </w:r>
    </w:p>
    <w:p w:rsidR="0010781E" w:rsidRDefault="0010781E" w:rsidP="0010781E">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【000171112013】</w:t>
      </w:r>
    </w:p>
    <w:p w:rsidR="0010781E" w:rsidRDefault="0010781E" w:rsidP="0010781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10781E" w:rsidRDefault="0010781E" w:rsidP="0010781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经营或者终止结售汇业务审批【00017111200Y】</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10781E" w:rsidRDefault="0010781E" w:rsidP="0010781E">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总局办理的非银行金融机构（不含保险机构）经营或终止结售汇业务审批【000171112013】</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10781E" w:rsidRDefault="0010781E" w:rsidP="00DA1667">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1.总局办理的非银行金融机构（不含保险机构）经营或终止结售汇业务审批(00017111201301)</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10781E" w:rsidRDefault="0010781E" w:rsidP="0010781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（1）《中华人民共和国外汇管理条例》第二十四条</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10781E" w:rsidRDefault="0010781E" w:rsidP="0010781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w:t>
      </w:r>
    </w:p>
    <w:p w:rsidR="0010781E" w:rsidRDefault="0010781E" w:rsidP="0010781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（2）《银行办理结售汇业务管理办法》（中国人民银行令〔2009〕第2号）第四条、第三十一条</w:t>
      </w:r>
    </w:p>
    <w:p w:rsidR="0010781E" w:rsidRDefault="0010781E" w:rsidP="0010781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（3）《银行办理结售汇业务管理办法实施细则》（汇发〔2014〕53号文印发）第十四条、第五十四条</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10781E" w:rsidRDefault="0010781E" w:rsidP="0010781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国家级/局（署、会）</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0781E" w:rsidRDefault="0010781E" w:rsidP="0010781E">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0781E" w:rsidRDefault="0010781E" w:rsidP="0010781E">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非银行金融机构（不含保险公司）结售汇业务资格审批（含初审）</w:t>
      </w:r>
    </w:p>
    <w:p w:rsidR="0010781E" w:rsidRDefault="0010781E" w:rsidP="0010781E">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10781E" w:rsidRDefault="0010781E" w:rsidP="0010781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10781E" w:rsidRDefault="0010781E" w:rsidP="0010781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（1）在境内合法注册成立的非银行金融机构。</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（2）具有开展金融业务资格。</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（3）具备完善的业务管理制度。</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（4）具备办理业务所必需的场所和其他软硬件设施。</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（5）拥有具备相应业务工作经验的高级管理人员和业务人员。</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（1）《银行办理结售汇业务管理办法实施细则》（汇发〔2014〕53号文印发）第六条、第七条、第五十四条银行申请办理即期结售汇业务，应当具备下列条件：（一）具有金融业务资格。（二）具备完</w:t>
      </w:r>
      <w:r>
        <w:rPr>
          <w:rFonts w:ascii="方正仿宋_GBK" w:eastAsia="方正仿宋_GBK" w:hAnsi="方正仿宋_GBK" w:cs="方正仿宋_GBK"/>
          <w:sz w:val="28"/>
          <w:szCs w:val="28"/>
        </w:rPr>
        <w:lastRenderedPageBreak/>
        <w:t>善的业务管理制度。（三）具备办理业务所必需的软硬件设备。（四）拥有具备相应业务工作经验的高级管理人员和业务人员。</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银行申请办理衍生产品业务，应当具备下列条件：（一）取得即期结售汇业务资格。（二）有健全的衍生产品交易风险管理制度和内部控制制度及适当的风险识别、计量、管理和交易系统，配备开展衍生产品业务所需要的专业人员。（三）符合银行业监督管理部门有关金融衍生产品交易业务资格的规定。</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非银行金融机构办理结售汇业务，参照本细则执行。</w:t>
      </w:r>
    </w:p>
    <w:p w:rsidR="0010781E" w:rsidRDefault="0010781E" w:rsidP="0010781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是</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银行、农村信用社、兑换机构及非金融机构等结汇、售汇业务市场准入、退出审批</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批准外汇业务经营资格许可文件</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优化审批服务</w:t>
      </w:r>
    </w:p>
    <w:p w:rsidR="0010781E" w:rsidRDefault="0010781E" w:rsidP="0010781E">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实现预审、审批进度和结果网上查询。申请人无需提交银行业监督管理部门批准外汇业务经营资格许可文件复印件。</w:t>
      </w:r>
    </w:p>
    <w:p w:rsidR="0010781E" w:rsidRDefault="0010781E" w:rsidP="0010781E">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10781E" w:rsidRDefault="0010781E" w:rsidP="0010781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申请材料名称</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监管机构颁发的金融业务许可文件复印件1份。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结售汇业务内部管理规章制度原件及加盖公章的复印件各1份。</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具备办理结售汇业务所必需的软硬件设施的证明材料原件及复印件各1份。</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拥有具备相应业务工作经验的高级管理人员和业务人员的说明原件1份。</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主管人员和主要交易人员名单、履历说明原件1份。</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监管部门或其授权的行业管理部门许可其开展衍生产品业务的相关资格许可文件或证明文件、无异议材料等原件及加盖公章的复印件各1份。</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银行办理结售汇业务管理办法实施细则》（汇发〔2014〕53号文印发）第九条、第十条、第十四条、第五十四条银行总行申请即期结售汇业务，应提交下列文件和资料：（一）办理结售汇业务的申请报告。（二）《金融许可证》复印件。......。</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总行申请衍生产品业务，应提交下列文件和资料：（一）申请报告、可行性报告及业务计划书。......。（三）主管人员和主要交易人员名单、履历。（四）符合银行业监督管理部门有关金融衍生产品交易业务资格规定的证明文件......。</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外汇局受理银行即期结售汇业务和衍生产品业务申请时，应按照行政许可的相关程序办理。其中，外汇局在受理银行总行申请及银行分行即期结售汇业务申请时，可以采取必要的措施核实其软硬件设备、人员情况。</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非银行金融机构办理结售汇业务，参照本细则执行。</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10781E" w:rsidRDefault="0010781E" w:rsidP="0010781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10781E" w:rsidRDefault="0010781E" w:rsidP="0010781E">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0781E" w:rsidRDefault="0010781E" w:rsidP="0010781E">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10781E" w:rsidRDefault="0010781E" w:rsidP="0010781E">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0781E" w:rsidRDefault="0010781E" w:rsidP="0010781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w:t>
      </w:r>
      <w:r>
        <w:rPr>
          <w:rFonts w:ascii="方正仿宋_GBK" w:eastAsia="方正仿宋_GBK" w:hAnsi="方正仿宋_GBK" w:cs="方正仿宋_GBK"/>
          <w:sz w:val="28"/>
          <w:szCs w:val="28"/>
        </w:rPr>
        <w:lastRenderedPageBreak/>
        <w:t>告2021年第1号）第十条外汇局收到行政许可申请后，应区分下列情况分别作出处理：</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（1）申请事项属于本局职责范围，但依法不需要取得行政许可的，应即时告知申请人不受理，出具不予受理行政许可通知书；</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（2）申请事项不属于本局职责范围，应即时作出不予受理的决定，出具不予受理行政许可通知书，并告知申请人向有关行政机关申请；</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（4）申请事项属于本局职责范围，申请材料齐全、符合法定形式，或者申请人按照要求提交全部补正申请材料的，应受理行政许可申请，出具行政许可受理通知书。</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w:t>
      </w:r>
      <w:r>
        <w:rPr>
          <w:rFonts w:ascii="方正仿宋_GBK" w:eastAsia="方正仿宋_GBK" w:hAnsi="方正仿宋_GBK" w:cs="方正仿宋_GBK"/>
          <w:sz w:val="28"/>
          <w:szCs w:val="28"/>
        </w:rPr>
        <w:lastRenderedPageBreak/>
        <w:t>许可的书面决定。准予行政许可的书面决定应载明名称、出具单位、被许可人姓名或名称、行政许可事项、颁发日期、有效期（如有）等；</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0781E" w:rsidRDefault="0010781E" w:rsidP="0010781E">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10781E" w:rsidRDefault="0010781E" w:rsidP="0010781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10781E" w:rsidRDefault="0010781E" w:rsidP="0010781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10781E" w:rsidRDefault="0010781E" w:rsidP="0010781E">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10781E" w:rsidRDefault="0010781E" w:rsidP="0010781E">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10781E" w:rsidRDefault="0010781E" w:rsidP="0010781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10781E" w:rsidRDefault="0010781E" w:rsidP="0010781E">
      <w:pPr>
        <w:spacing w:line="600" w:lineRule="exact"/>
        <w:ind w:firstLineChars="200" w:firstLine="560"/>
        <w:rPr>
          <w:rFonts w:ascii="方正仿宋_GBK" w:eastAsia="方正仿宋_GBK" w:hAnsi="方正仿宋_GBK" w:cs="方正仿宋_GBK"/>
          <w:b/>
          <w:bCs/>
          <w:color w:val="FF0000"/>
          <w:sz w:val="28"/>
          <w:szCs w:val="28"/>
        </w:rPr>
      </w:pPr>
      <w:r>
        <w:rPr>
          <w:rFonts w:ascii="方正仿宋_GBK" w:eastAsia="方正仿宋_GBK" w:hAnsi="方正仿宋_GBK" w:cs="方正仿宋_GBK" w:hint="eastAsia"/>
          <w:sz w:val="28"/>
          <w:szCs w:val="28"/>
        </w:rPr>
        <w:t>无</w:t>
      </w:r>
    </w:p>
    <w:p w:rsidR="0010781E" w:rsidRDefault="0010781E" w:rsidP="0010781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10781E" w:rsidRDefault="0010781E" w:rsidP="0010781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局发文形式的行政许可决定书</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10781E" w:rsidRDefault="0010781E" w:rsidP="0010781E">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（1）无无</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办理审批结果变更手续的要求</w:t>
      </w:r>
    </w:p>
    <w:p w:rsidR="0010781E" w:rsidRDefault="0010781E" w:rsidP="0010781E">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10781E" w:rsidRDefault="0010781E" w:rsidP="0010781E">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10781E" w:rsidRDefault="0010781E" w:rsidP="0010781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全国</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10781E" w:rsidRDefault="0010781E" w:rsidP="0010781E">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（1）无无</w:t>
      </w:r>
    </w:p>
    <w:p w:rsidR="0010781E" w:rsidRDefault="0010781E" w:rsidP="0010781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10781E" w:rsidRDefault="0010781E" w:rsidP="0010781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10781E" w:rsidRDefault="0010781E" w:rsidP="0010781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10781E" w:rsidRDefault="0010781E" w:rsidP="0010781E">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10781E" w:rsidRDefault="0010781E" w:rsidP="0010781E">
      <w:pPr>
        <w:spacing w:line="600" w:lineRule="exact"/>
        <w:ind w:firstLineChars="200" w:firstLine="560"/>
        <w:jc w:val="left"/>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10781E" w:rsidRDefault="0010781E" w:rsidP="0010781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10781E" w:rsidRDefault="0010781E" w:rsidP="0010781E">
      <w:pPr>
        <w:spacing w:line="540" w:lineRule="exact"/>
        <w:ind w:firstLineChars="200" w:firstLine="560"/>
        <w:outlineLvl w:val="2"/>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10781E" w:rsidRDefault="0010781E" w:rsidP="0010781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10781E" w:rsidRDefault="0010781E" w:rsidP="0010781E">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10781E" w:rsidRDefault="0010781E" w:rsidP="0010781E">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10781E" w:rsidRDefault="0010781E" w:rsidP="0010781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10781E" w:rsidRDefault="0010781E" w:rsidP="0010781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0781E" w:rsidRDefault="0010781E" w:rsidP="001078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10781E" w:rsidRDefault="0010781E" w:rsidP="0010781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无</w:t>
      </w:r>
    </w:p>
    <w:p w:rsidR="0010781E" w:rsidRDefault="0010781E" w:rsidP="0010781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0781E" w:rsidRDefault="0010781E" w:rsidP="0010781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10781E" w:rsidRDefault="0010781E" w:rsidP="0010781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10781E" w:rsidRDefault="0010781E" w:rsidP="0010781E">
      <w:pPr>
        <w:spacing w:line="600" w:lineRule="exact"/>
        <w:ind w:firstLineChars="200" w:firstLine="560"/>
        <w:rPr>
          <w:rFonts w:ascii="方正仿宋_GBK" w:eastAsia="方正仿宋_GBK" w:hAnsi="方正仿宋_GBK" w:cs="方正仿宋_GBK"/>
          <w:sz w:val="28"/>
          <w:szCs w:val="28"/>
        </w:rPr>
      </w:pPr>
    </w:p>
    <w:p w:rsidR="00E70C89" w:rsidRPr="0010781E" w:rsidRDefault="00E70C89"/>
    <w:sectPr w:rsidR="00E70C89" w:rsidRPr="0010781E" w:rsidSect="00E70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B8A" w:rsidRDefault="00352B8A" w:rsidP="00DA1667">
      <w:r>
        <w:separator/>
      </w:r>
    </w:p>
  </w:endnote>
  <w:endnote w:type="continuationSeparator" w:id="1">
    <w:p w:rsidR="00352B8A" w:rsidRDefault="00352B8A" w:rsidP="00DA16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B8A" w:rsidRDefault="00352B8A" w:rsidP="00DA1667">
      <w:r>
        <w:separator/>
      </w:r>
    </w:p>
  </w:footnote>
  <w:footnote w:type="continuationSeparator" w:id="1">
    <w:p w:rsidR="00352B8A" w:rsidRDefault="00352B8A" w:rsidP="00DA16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781E"/>
    <w:rsid w:val="00001712"/>
    <w:rsid w:val="00001EF3"/>
    <w:rsid w:val="00002CDC"/>
    <w:rsid w:val="00003658"/>
    <w:rsid w:val="00010AE4"/>
    <w:rsid w:val="00011883"/>
    <w:rsid w:val="00013569"/>
    <w:rsid w:val="0001694E"/>
    <w:rsid w:val="000169E9"/>
    <w:rsid w:val="00016BFB"/>
    <w:rsid w:val="000209DA"/>
    <w:rsid w:val="0002108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0781E"/>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14CB"/>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2B8A"/>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2A0B"/>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1667"/>
    <w:rsid w:val="00DA42B7"/>
    <w:rsid w:val="00DA50BB"/>
    <w:rsid w:val="00DB0DE4"/>
    <w:rsid w:val="00DB39B0"/>
    <w:rsid w:val="00DB3A44"/>
    <w:rsid w:val="00DB5E9F"/>
    <w:rsid w:val="00DB6C99"/>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4C13"/>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1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16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1667"/>
    <w:rPr>
      <w:rFonts w:ascii="Calibri" w:eastAsia="宋体" w:hAnsi="Calibri" w:cs="Times New Roman"/>
      <w:sz w:val="18"/>
      <w:szCs w:val="18"/>
    </w:rPr>
  </w:style>
  <w:style w:type="paragraph" w:styleId="a4">
    <w:name w:val="footer"/>
    <w:basedOn w:val="a"/>
    <w:link w:val="Char0"/>
    <w:uiPriority w:val="99"/>
    <w:semiHidden/>
    <w:unhideWhenUsed/>
    <w:rsid w:val="00DA16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166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3</cp:revision>
  <dcterms:created xsi:type="dcterms:W3CDTF">2023-09-28T09:15:00Z</dcterms:created>
  <dcterms:modified xsi:type="dcterms:W3CDTF">2023-09-28T09:17:00Z</dcterms:modified>
</cp:coreProperties>
</file>