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7E" w:rsidRDefault="00DA427E">
      <w:pPr>
        <w:jc w:val="center"/>
        <w:rPr>
          <w:rFonts w:ascii="Times New Roman" w:eastAsia="华文中宋" w:hAnsi="华文中宋" w:cstheme="minorBidi"/>
          <w:sz w:val="36"/>
          <w:szCs w:val="36"/>
        </w:rPr>
      </w:pPr>
      <w:r>
        <w:rPr>
          <w:rFonts w:ascii="Times New Roman" w:eastAsia="华文中宋" w:hAnsi="华文中宋" w:cs="华文中宋" w:hint="eastAsia"/>
          <w:sz w:val="36"/>
          <w:szCs w:val="36"/>
        </w:rPr>
        <w:t>中国人民银行</w:t>
      </w:r>
      <w:r>
        <w:rPr>
          <w:rFonts w:ascii="Times New Roman" w:eastAsia="华文中宋" w:hAnsi="Times New Roman" w:cs="Times New Roman"/>
          <w:sz w:val="36"/>
          <w:szCs w:val="36"/>
        </w:rPr>
        <w:t xml:space="preserve"> </w:t>
      </w:r>
      <w:r>
        <w:rPr>
          <w:rFonts w:ascii="Times New Roman" w:eastAsia="华文中宋" w:hAnsi="华文中宋" w:cs="华文中宋" w:hint="eastAsia"/>
          <w:sz w:val="36"/>
          <w:szCs w:val="36"/>
        </w:rPr>
        <w:t>国家外汇管理局关于进一步便利</w:t>
      </w:r>
    </w:p>
    <w:p w:rsidR="00DA427E" w:rsidRDefault="00DA427E">
      <w:pPr>
        <w:jc w:val="center"/>
        <w:rPr>
          <w:rFonts w:ascii="Times New Roman" w:eastAsia="华文中宋" w:hAnsi="Times New Roman" w:cstheme="minorBidi"/>
          <w:sz w:val="36"/>
          <w:szCs w:val="36"/>
        </w:rPr>
      </w:pPr>
      <w:r>
        <w:rPr>
          <w:rFonts w:ascii="Times New Roman" w:eastAsia="华文中宋" w:hAnsi="华文中宋" w:cs="华文中宋" w:hint="eastAsia"/>
          <w:sz w:val="36"/>
          <w:szCs w:val="36"/>
        </w:rPr>
        <w:t>境外机构投资者投资银行间债券市场有关问题的通知（征求意见稿）</w:t>
      </w:r>
    </w:p>
    <w:p w:rsidR="00DA427E" w:rsidRDefault="00DA427E">
      <w:pPr>
        <w:jc w:val="center"/>
        <w:rPr>
          <w:rFonts w:ascii="Times New Roman" w:eastAsia="仿宋_GB2312" w:hAnsi="Times New Roman" w:cstheme="minorBidi"/>
        </w:rPr>
      </w:pPr>
    </w:p>
    <w:p w:rsidR="00DA427E" w:rsidRDefault="00DA427E">
      <w:pPr>
        <w:ind w:firstLineChars="200" w:firstLine="31680"/>
        <w:rPr>
          <w:rFonts w:ascii="Times New Roman" w:eastAsia="仿宋_GB2312" w:hAnsi="Times New Roman" w:cstheme="minorBidi"/>
          <w:sz w:val="30"/>
          <w:szCs w:val="30"/>
        </w:rPr>
      </w:pPr>
      <w:r>
        <w:rPr>
          <w:rFonts w:ascii="Times New Roman" w:eastAsia="仿宋_GB2312" w:hAnsi="Times New Roman" w:cs="仿宋_GB2312" w:hint="eastAsia"/>
          <w:sz w:val="30"/>
          <w:szCs w:val="30"/>
        </w:rPr>
        <w:t>为进一步便利境外机构投资者投资境内银行间债券市场，根据《中华人民共和国外汇管理条例》、《中国人民银行公告〔</w:t>
      </w:r>
      <w:r>
        <w:rPr>
          <w:rFonts w:ascii="Times New Roman" w:eastAsia="仿宋_GB2312" w:hAnsi="Times New Roman" w:cs="Times New Roman"/>
          <w:sz w:val="30"/>
          <w:szCs w:val="30"/>
        </w:rPr>
        <w:t>2013</w:t>
      </w:r>
      <w:r>
        <w:rPr>
          <w:rFonts w:ascii="Times New Roman" w:eastAsia="仿宋_GB2312" w:hAnsi="Times New Roman" w:cs="仿宋_GB2312" w:hint="eastAsia"/>
          <w:sz w:val="30"/>
          <w:szCs w:val="30"/>
        </w:rPr>
        <w:t>〕第</w:t>
      </w:r>
      <w:r>
        <w:rPr>
          <w:rFonts w:ascii="Times New Roman" w:eastAsia="仿宋_GB2312" w:hAnsi="Times New Roman" w:cs="Times New Roman"/>
          <w:sz w:val="30"/>
          <w:szCs w:val="30"/>
        </w:rPr>
        <w:t>8</w:t>
      </w:r>
      <w:r>
        <w:rPr>
          <w:rFonts w:ascii="Times New Roman" w:eastAsia="仿宋_GB2312" w:hAnsi="Times New Roman" w:cs="仿宋_GB2312" w:hint="eastAsia"/>
          <w:sz w:val="30"/>
          <w:szCs w:val="30"/>
        </w:rPr>
        <w:t>号》等相关规定，现就进一步完善银行间债券市场投资有关事宜通知如下：</w:t>
      </w:r>
    </w:p>
    <w:p w:rsidR="00DA427E" w:rsidRDefault="00DA427E">
      <w:pPr>
        <w:ind w:firstLineChars="200" w:firstLine="31680"/>
        <w:rPr>
          <w:rFonts w:ascii="Times New Roman" w:eastAsia="仿宋_GB2312" w:hAnsi="Times New Roman" w:cstheme="minorBidi"/>
          <w:sz w:val="30"/>
          <w:szCs w:val="30"/>
        </w:rPr>
      </w:pPr>
      <w:r>
        <w:rPr>
          <w:rFonts w:ascii="Times New Roman" w:eastAsia="仿宋_GB2312" w:hAnsi="Times New Roman" w:cs="仿宋_GB2312" w:hint="eastAsia"/>
          <w:sz w:val="30"/>
          <w:szCs w:val="30"/>
        </w:rPr>
        <w:t>一、同一境外机构投资者可根据自身投资管理需要，将其合格境外机构投资者（</w:t>
      </w:r>
      <w:r>
        <w:rPr>
          <w:rFonts w:ascii="Times New Roman" w:eastAsia="仿宋_GB2312" w:hAnsi="Times New Roman" w:cs="Times New Roman"/>
          <w:sz w:val="30"/>
          <w:szCs w:val="30"/>
        </w:rPr>
        <w:t>QFII/RQFII</w:t>
      </w:r>
      <w:r>
        <w:rPr>
          <w:rFonts w:ascii="Times New Roman" w:eastAsia="仿宋_GB2312" w:hAnsi="Times New Roman" w:cs="仿宋_GB2312" w:hint="eastAsia"/>
          <w:sz w:val="30"/>
          <w:szCs w:val="30"/>
        </w:rPr>
        <w:t>）项下债券账户和银行间债券市场直接投资项下（以下简称“直接投资”）的债券账户中所持有的银行间市场债券进行双向非交易过户。</w:t>
      </w:r>
    </w:p>
    <w:p w:rsidR="00DA427E" w:rsidRDefault="00DA427E">
      <w:pPr>
        <w:ind w:firstLineChars="200" w:firstLine="31680"/>
        <w:rPr>
          <w:rFonts w:ascii="Times New Roman" w:eastAsia="仿宋_GB2312" w:hAnsi="Times New Roman" w:cstheme="minorBidi"/>
          <w:sz w:val="30"/>
          <w:szCs w:val="30"/>
        </w:rPr>
      </w:pPr>
      <w:r>
        <w:rPr>
          <w:rFonts w:ascii="Times New Roman" w:eastAsia="仿宋_GB2312" w:hAnsi="Times New Roman" w:cs="仿宋_GB2312" w:hint="eastAsia"/>
          <w:sz w:val="30"/>
          <w:szCs w:val="30"/>
        </w:rPr>
        <w:t>境外机构投资者应通过</w:t>
      </w:r>
      <w:r>
        <w:rPr>
          <w:rFonts w:ascii="Times New Roman" w:eastAsia="仿宋_GB2312" w:hAnsi="Times New Roman" w:cs="Times New Roman"/>
          <w:sz w:val="30"/>
          <w:szCs w:val="30"/>
        </w:rPr>
        <w:t>QFII/RQFII</w:t>
      </w:r>
      <w:r>
        <w:rPr>
          <w:rFonts w:ascii="Times New Roman" w:eastAsia="仿宋_GB2312" w:hAnsi="Times New Roman" w:cs="仿宋_GB2312" w:hint="eastAsia"/>
          <w:sz w:val="30"/>
          <w:szCs w:val="30"/>
        </w:rPr>
        <w:t>境内托管行或直接投资结算代理人，向中央国债登记托管结算有限责任公司或（和）银行间市场清算所股份有限公司（以下统称债券登记托管结算机构）提交所持有银行间债券市场债券的非交易过户申请。</w:t>
      </w:r>
    </w:p>
    <w:p w:rsidR="00DA427E" w:rsidRDefault="00DA427E">
      <w:pPr>
        <w:ind w:firstLineChars="200" w:firstLine="31680"/>
        <w:rPr>
          <w:rFonts w:ascii="Times New Roman" w:eastAsia="仿宋_GB2312" w:hAnsi="Times New Roman" w:cstheme="minorBidi"/>
          <w:sz w:val="30"/>
          <w:szCs w:val="30"/>
        </w:rPr>
      </w:pPr>
      <w:r>
        <w:rPr>
          <w:rFonts w:ascii="Times New Roman" w:eastAsia="仿宋_GB2312" w:hAnsi="Times New Roman" w:cs="仿宋_GB2312" w:hint="eastAsia"/>
          <w:sz w:val="30"/>
          <w:szCs w:val="30"/>
        </w:rPr>
        <w:t>非交易过户所提交的申请材料和具体操作流程，以债券登记托管结算机构发布的业务指引为准。</w:t>
      </w:r>
    </w:p>
    <w:p w:rsidR="00DA427E" w:rsidRDefault="00DA427E">
      <w:pPr>
        <w:ind w:firstLineChars="200" w:firstLine="31680"/>
        <w:rPr>
          <w:rFonts w:ascii="Times New Roman" w:eastAsia="仿宋_GB2312" w:hAnsi="Times New Roman" w:cstheme="minorBidi"/>
          <w:sz w:val="30"/>
          <w:szCs w:val="30"/>
        </w:rPr>
      </w:pPr>
      <w:r>
        <w:rPr>
          <w:rFonts w:ascii="Times New Roman" w:eastAsia="仿宋_GB2312" w:hAnsi="Times New Roman" w:cs="仿宋_GB2312" w:hint="eastAsia"/>
          <w:sz w:val="30"/>
          <w:szCs w:val="30"/>
        </w:rPr>
        <w:t>债券登记托管结算机构应定期向中国人民银行报告非交易过户情况。</w:t>
      </w:r>
    </w:p>
    <w:p w:rsidR="00DA427E" w:rsidRDefault="00DA427E">
      <w:pPr>
        <w:spacing w:line="360" w:lineRule="auto"/>
        <w:ind w:firstLineChars="200" w:firstLine="31680"/>
        <w:rPr>
          <w:rFonts w:ascii="Times New Roman" w:eastAsia="仿宋_GB2312" w:hAnsi="Times New Roman" w:cstheme="minorBidi"/>
          <w:sz w:val="30"/>
          <w:szCs w:val="30"/>
        </w:rPr>
      </w:pPr>
      <w:r>
        <w:rPr>
          <w:rFonts w:ascii="Times New Roman" w:eastAsia="仿宋_GB2312" w:hAnsi="Times New Roman" w:cs="仿宋_GB2312" w:hint="eastAsia"/>
          <w:sz w:val="30"/>
          <w:szCs w:val="30"/>
        </w:rPr>
        <w:t>二、相关托管行及结算代理人在境外投资者完成债券非交易过户时，应按相关要求进行国际收支虚拟申报（具体指引附后）。</w:t>
      </w:r>
    </w:p>
    <w:p w:rsidR="00DA427E" w:rsidRDefault="00DA427E">
      <w:pPr>
        <w:spacing w:line="360" w:lineRule="auto"/>
        <w:ind w:firstLineChars="200" w:firstLine="31680"/>
        <w:rPr>
          <w:rFonts w:ascii="Times New Roman" w:eastAsia="仿宋_GB2312" w:hAnsi="Times New Roman" w:cstheme="minorBidi"/>
          <w:sz w:val="30"/>
          <w:szCs w:val="30"/>
        </w:rPr>
      </w:pPr>
      <w:r>
        <w:rPr>
          <w:rFonts w:ascii="Times New Roman" w:eastAsia="仿宋_GB2312" w:hAnsi="Times New Roman" w:cs="仿宋_GB2312" w:hint="eastAsia"/>
          <w:sz w:val="30"/>
          <w:szCs w:val="30"/>
        </w:rPr>
        <w:t>三、同一境外投资者</w:t>
      </w:r>
      <w:r>
        <w:rPr>
          <w:rFonts w:ascii="Times New Roman" w:eastAsia="仿宋_GB2312" w:hAnsi="Times New Roman" w:cs="Times New Roman"/>
          <w:sz w:val="30"/>
          <w:szCs w:val="30"/>
        </w:rPr>
        <w:t>QFII/RQFII</w:t>
      </w:r>
      <w:r>
        <w:rPr>
          <w:rFonts w:ascii="Times New Roman" w:eastAsia="仿宋_GB2312" w:hAnsi="Times New Roman" w:cs="仿宋_GB2312" w:hint="eastAsia"/>
          <w:sz w:val="30"/>
          <w:szCs w:val="30"/>
        </w:rPr>
        <w:t>托管账户内资金与直接投资资金账户间，可在境内直接划转（双向）。境外投资者应向</w:t>
      </w:r>
      <w:r>
        <w:rPr>
          <w:rFonts w:ascii="Times New Roman" w:eastAsia="仿宋_GB2312" w:hAnsi="Times New Roman" w:cs="Times New Roman"/>
          <w:sz w:val="30"/>
          <w:szCs w:val="30"/>
        </w:rPr>
        <w:t>QFII/RQFII</w:t>
      </w:r>
      <w:r>
        <w:rPr>
          <w:rFonts w:ascii="Times New Roman" w:eastAsia="仿宋_GB2312" w:hAnsi="Times New Roman" w:cs="仿宋_GB2312" w:hint="eastAsia"/>
          <w:sz w:val="30"/>
          <w:szCs w:val="30"/>
        </w:rPr>
        <w:t>托管行提出将</w:t>
      </w:r>
      <w:r>
        <w:rPr>
          <w:rFonts w:ascii="Times New Roman" w:eastAsia="仿宋_GB2312" w:hAnsi="Times New Roman" w:cs="Times New Roman"/>
          <w:sz w:val="30"/>
          <w:szCs w:val="30"/>
        </w:rPr>
        <w:t>QFII/RQFII</w:t>
      </w:r>
      <w:r>
        <w:rPr>
          <w:rFonts w:ascii="Times New Roman" w:eastAsia="仿宋_GB2312" w:hAnsi="Times New Roman" w:cs="仿宋_GB2312" w:hint="eastAsia"/>
          <w:sz w:val="30"/>
          <w:szCs w:val="30"/>
        </w:rPr>
        <w:t>托管账户内资金划转至其直接投资资金账户的申请；或向直接投资结算代理人提出将直接投资资金账户内资金划转至其</w:t>
      </w:r>
      <w:r>
        <w:rPr>
          <w:rFonts w:ascii="Times New Roman" w:eastAsia="仿宋_GB2312" w:hAnsi="Times New Roman" w:cs="Times New Roman"/>
          <w:sz w:val="30"/>
          <w:szCs w:val="30"/>
        </w:rPr>
        <w:t>QFII/RQFII</w:t>
      </w:r>
      <w:r>
        <w:rPr>
          <w:rFonts w:ascii="Times New Roman" w:eastAsia="仿宋_GB2312" w:hAnsi="Times New Roman" w:cs="仿宋_GB2312" w:hint="eastAsia"/>
          <w:sz w:val="30"/>
          <w:szCs w:val="30"/>
        </w:rPr>
        <w:t>托管账户的申请。</w:t>
      </w:r>
    </w:p>
    <w:p w:rsidR="00DA427E" w:rsidRDefault="00DA427E">
      <w:pPr>
        <w:spacing w:line="360" w:lineRule="auto"/>
        <w:ind w:firstLine="602"/>
        <w:rPr>
          <w:rFonts w:ascii="Times New Roman" w:eastAsia="仿宋_GB2312" w:hAnsi="Times New Roman" w:cstheme="minorBidi"/>
          <w:sz w:val="30"/>
          <w:szCs w:val="30"/>
        </w:rPr>
      </w:pPr>
      <w:r>
        <w:rPr>
          <w:rFonts w:ascii="Times New Roman" w:eastAsia="仿宋_GB2312" w:hAnsi="Times New Roman" w:cs="仿宋_GB2312" w:hint="eastAsia"/>
          <w:sz w:val="30"/>
          <w:szCs w:val="30"/>
        </w:rPr>
        <w:t>托管行</w:t>
      </w:r>
      <w:r>
        <w:rPr>
          <w:rFonts w:ascii="Times New Roman" w:eastAsia="仿宋_GB2312" w:hAnsi="Times New Roman" w:cs="Times New Roman"/>
          <w:sz w:val="30"/>
          <w:szCs w:val="30"/>
        </w:rPr>
        <w:t>/</w:t>
      </w:r>
      <w:r>
        <w:rPr>
          <w:rFonts w:ascii="Times New Roman" w:eastAsia="仿宋_GB2312" w:hAnsi="Times New Roman" w:cs="仿宋_GB2312" w:hint="eastAsia"/>
          <w:sz w:val="30"/>
          <w:szCs w:val="30"/>
        </w:rPr>
        <w:t>结算代理人在完成资金境内划转的同时，应按相关要求进行国际收支虚拟申报（具体指引附后）。</w:t>
      </w:r>
    </w:p>
    <w:p w:rsidR="00DA427E" w:rsidRDefault="00DA427E">
      <w:pPr>
        <w:ind w:firstLineChars="200" w:firstLine="31680"/>
        <w:rPr>
          <w:rFonts w:ascii="Times New Roman" w:eastAsia="仿宋_GB2312" w:hAnsi="Times New Roman" w:cstheme="minorBidi"/>
          <w:sz w:val="30"/>
          <w:szCs w:val="30"/>
        </w:rPr>
      </w:pPr>
      <w:r>
        <w:rPr>
          <w:rFonts w:ascii="Times New Roman" w:eastAsia="仿宋_GB2312" w:hAnsi="Times New Roman" w:cs="仿宋_GB2312" w:hint="eastAsia"/>
          <w:sz w:val="30"/>
          <w:szCs w:val="30"/>
        </w:rPr>
        <w:t>四、相关托管行和结算代理人应根据自身职责，按本通知规定做好境外机构投资者债券过户和资金划转的服务、数据报送和监测工作。</w:t>
      </w:r>
    </w:p>
    <w:p w:rsidR="00DA427E" w:rsidRDefault="00DA427E">
      <w:pPr>
        <w:ind w:firstLineChars="200" w:firstLine="31680"/>
        <w:rPr>
          <w:rFonts w:ascii="Times New Roman" w:eastAsia="仿宋_GB2312" w:hAnsi="Times New Roman" w:cstheme="minorBidi"/>
          <w:sz w:val="30"/>
          <w:szCs w:val="30"/>
        </w:rPr>
      </w:pPr>
      <w:r>
        <w:rPr>
          <w:rFonts w:ascii="Times New Roman" w:eastAsia="仿宋_GB2312" w:hAnsi="Times New Roman" w:cs="仿宋_GB2312" w:hint="eastAsia"/>
          <w:sz w:val="30"/>
          <w:szCs w:val="30"/>
        </w:rPr>
        <w:t>托管行和结算代理人应当按照《人民币跨境收付信息管理系统管理办法》（银发〔</w:t>
      </w:r>
      <w:r>
        <w:rPr>
          <w:rFonts w:ascii="Times New Roman" w:eastAsia="仿宋_GB2312" w:hAnsi="Times New Roman" w:cs="Times New Roman"/>
          <w:sz w:val="30"/>
          <w:szCs w:val="30"/>
        </w:rPr>
        <w:t>2017</w:t>
      </w:r>
      <w:r>
        <w:rPr>
          <w:rFonts w:ascii="Times New Roman" w:eastAsia="仿宋_GB2312" w:hAnsi="Times New Roman" w:cs="仿宋_GB2312" w:hint="eastAsia"/>
          <w:sz w:val="30"/>
          <w:szCs w:val="30"/>
        </w:rPr>
        <w:t>〕</w:t>
      </w:r>
      <w:r>
        <w:rPr>
          <w:rFonts w:ascii="Times New Roman" w:eastAsia="仿宋_GB2312" w:hAnsi="Times New Roman" w:cs="Times New Roman"/>
          <w:sz w:val="30"/>
          <w:szCs w:val="30"/>
        </w:rPr>
        <w:t>126</w:t>
      </w:r>
      <w:r>
        <w:rPr>
          <w:rFonts w:ascii="Times New Roman" w:eastAsia="仿宋_GB2312" w:hAnsi="Times New Roman" w:cs="仿宋_GB2312" w:hint="eastAsia"/>
          <w:sz w:val="30"/>
          <w:szCs w:val="30"/>
        </w:rPr>
        <w:t>号文印发）、《中国人民银行办公厅关于完善人民币跨境收付信息管理系统银行间业务数据报送流程的通知》（银办发〔</w:t>
      </w:r>
      <w:r>
        <w:rPr>
          <w:rFonts w:ascii="Times New Roman" w:eastAsia="仿宋_GB2312" w:hAnsi="Times New Roman" w:cs="Times New Roman"/>
          <w:sz w:val="30"/>
          <w:szCs w:val="30"/>
        </w:rPr>
        <w:t>2017</w:t>
      </w:r>
      <w:r>
        <w:rPr>
          <w:rFonts w:ascii="Times New Roman" w:eastAsia="仿宋_GB2312" w:hAnsi="Times New Roman" w:cs="仿宋_GB2312" w:hint="eastAsia"/>
          <w:sz w:val="30"/>
          <w:szCs w:val="30"/>
        </w:rPr>
        <w:t>〕</w:t>
      </w:r>
      <w:r>
        <w:rPr>
          <w:rFonts w:ascii="Times New Roman" w:eastAsia="仿宋_GB2312" w:hAnsi="Times New Roman" w:cs="Times New Roman"/>
          <w:sz w:val="30"/>
          <w:szCs w:val="30"/>
        </w:rPr>
        <w:t>118</w:t>
      </w:r>
      <w:r>
        <w:rPr>
          <w:rFonts w:ascii="Times New Roman" w:eastAsia="仿宋_GB2312" w:hAnsi="Times New Roman" w:cs="仿宋_GB2312" w:hint="eastAsia"/>
          <w:sz w:val="30"/>
          <w:szCs w:val="30"/>
        </w:rPr>
        <w:t>号）等相关规定，向人民币跨境收付信息管理系统报送境外机构投资者资金划转信息。</w:t>
      </w:r>
    </w:p>
    <w:p w:rsidR="00DA427E" w:rsidRDefault="00DA427E">
      <w:pPr>
        <w:ind w:firstLineChars="200" w:firstLine="31680"/>
        <w:rPr>
          <w:rFonts w:ascii="Times New Roman" w:eastAsia="仿宋_GB2312" w:hAnsi="Times New Roman" w:cstheme="minorBidi"/>
          <w:sz w:val="30"/>
          <w:szCs w:val="30"/>
        </w:rPr>
      </w:pPr>
      <w:r>
        <w:rPr>
          <w:rFonts w:ascii="Times New Roman" w:eastAsia="仿宋_GB2312" w:hAnsi="Times New Roman" w:cs="仿宋_GB2312" w:hint="eastAsia"/>
          <w:sz w:val="30"/>
          <w:szCs w:val="30"/>
        </w:rPr>
        <w:t>五、同一境外机构投资者分别通过合格境外机构投资者（</w:t>
      </w:r>
      <w:r>
        <w:rPr>
          <w:rFonts w:ascii="Times New Roman" w:eastAsia="仿宋_GB2312" w:hAnsi="Times New Roman" w:cs="Times New Roman"/>
          <w:sz w:val="30"/>
          <w:szCs w:val="30"/>
        </w:rPr>
        <w:t>QFII/RQFII</w:t>
      </w:r>
      <w:r>
        <w:rPr>
          <w:rFonts w:ascii="Times New Roman" w:eastAsia="仿宋_GB2312" w:hAnsi="Times New Roman" w:cs="仿宋_GB2312" w:hint="eastAsia"/>
          <w:sz w:val="30"/>
          <w:szCs w:val="30"/>
        </w:rPr>
        <w:t>）和直接投资渠道投资境内银行间债券市场的，只需通过</w:t>
      </w:r>
      <w:r>
        <w:rPr>
          <w:rFonts w:ascii="Times New Roman" w:eastAsia="仿宋_GB2312" w:hAnsi="Times New Roman" w:cs="Times New Roman"/>
          <w:sz w:val="30"/>
          <w:szCs w:val="30"/>
        </w:rPr>
        <w:t>QFII/RQFII</w:t>
      </w:r>
      <w:r>
        <w:rPr>
          <w:rFonts w:ascii="Times New Roman" w:eastAsia="仿宋_GB2312" w:hAnsi="Times New Roman" w:cs="仿宋_GB2312" w:hint="eastAsia"/>
          <w:sz w:val="30"/>
          <w:szCs w:val="30"/>
        </w:rPr>
        <w:t>境内托管行或者直接投资结算代理人向中国人民银行上海总部备案一次。</w:t>
      </w:r>
    </w:p>
    <w:p w:rsidR="00DA427E" w:rsidRDefault="00DA427E">
      <w:pPr>
        <w:ind w:firstLineChars="200" w:firstLine="31680"/>
        <w:rPr>
          <w:rFonts w:ascii="Times New Roman" w:eastAsia="仿宋_GB2312" w:hAnsi="Times New Roman" w:cstheme="minorBidi"/>
          <w:sz w:val="30"/>
          <w:szCs w:val="30"/>
        </w:rPr>
      </w:pPr>
      <w:r>
        <w:rPr>
          <w:rFonts w:ascii="Times New Roman" w:eastAsia="仿宋_GB2312" w:hAnsi="Times New Roman" w:cs="仿宋_GB2312" w:hint="eastAsia"/>
          <w:sz w:val="30"/>
          <w:szCs w:val="30"/>
        </w:rPr>
        <w:t>六、境外央行、国际金融组织、主权财富基金投资银行间债券市场参照本通知执行。</w:t>
      </w:r>
    </w:p>
    <w:p w:rsidR="00DA427E" w:rsidRDefault="00DA427E">
      <w:pPr>
        <w:ind w:firstLineChars="200" w:firstLine="31680"/>
        <w:rPr>
          <w:rFonts w:ascii="Times New Roman" w:eastAsia="仿宋_GB2312" w:hAnsi="Times New Roman" w:cstheme="minorBidi"/>
          <w:sz w:val="30"/>
          <w:szCs w:val="30"/>
        </w:rPr>
      </w:pPr>
      <w:r>
        <w:rPr>
          <w:rFonts w:ascii="Times New Roman" w:eastAsia="仿宋_GB2312" w:hAnsi="Times New Roman" w:cs="仿宋_GB2312" w:hint="eastAsia"/>
          <w:sz w:val="30"/>
          <w:szCs w:val="30"/>
        </w:rPr>
        <w:t>七、本通知自</w:t>
      </w:r>
      <w:r>
        <w:rPr>
          <w:rFonts w:ascii="Times New Roman" w:eastAsia="仿宋_GB2312" w:hAnsi="Times New Roman" w:cs="Times New Roman"/>
          <w:sz w:val="30"/>
          <w:szCs w:val="30"/>
        </w:rPr>
        <w:t>****</w:t>
      </w:r>
      <w:r>
        <w:rPr>
          <w:rFonts w:ascii="Times New Roman" w:eastAsia="仿宋_GB2312" w:hAnsi="Times New Roman" w:cs="仿宋_GB2312" w:hint="eastAsia"/>
          <w:sz w:val="30"/>
          <w:szCs w:val="30"/>
        </w:rPr>
        <w:t>施行。现行相关规定与本通知不符的，以本通知为准。</w:t>
      </w:r>
    </w:p>
    <w:p w:rsidR="00DA427E" w:rsidRDefault="00DA427E">
      <w:pPr>
        <w:ind w:firstLineChars="200" w:firstLine="31680"/>
        <w:rPr>
          <w:rFonts w:ascii="Times New Roman" w:eastAsia="仿宋_GB2312" w:hAnsi="Times New Roman" w:cstheme="minorBidi"/>
        </w:rPr>
      </w:pPr>
    </w:p>
    <w:p w:rsidR="00DA427E" w:rsidRDefault="00DA427E">
      <w:pPr>
        <w:ind w:firstLineChars="200" w:firstLine="31680"/>
        <w:rPr>
          <w:rFonts w:ascii="Times New Roman" w:eastAsia="仿宋_GB2312" w:hAnsi="Times New Roman" w:cstheme="minorBidi"/>
          <w:sz w:val="30"/>
          <w:szCs w:val="30"/>
        </w:rPr>
      </w:pPr>
      <w:r>
        <w:rPr>
          <w:rFonts w:ascii="Times New Roman" w:eastAsia="仿宋_GB2312" w:hAnsi="Times New Roman" w:cs="仿宋_GB2312" w:hint="eastAsia"/>
          <w:sz w:val="30"/>
          <w:szCs w:val="30"/>
        </w:rPr>
        <w:t>附件：</w:t>
      </w:r>
      <w:r>
        <w:rPr>
          <w:rFonts w:ascii="Times New Roman" w:eastAsia="仿宋_GB2312" w:hAnsi="Times New Roman" w:cs="Times New Roman"/>
          <w:sz w:val="30"/>
          <w:szCs w:val="30"/>
        </w:rPr>
        <w:t xml:space="preserve"> </w:t>
      </w:r>
      <w:r>
        <w:rPr>
          <w:rFonts w:ascii="Times New Roman" w:eastAsia="仿宋_GB2312" w:hAnsi="Times New Roman" w:cs="仿宋_GB2312" w:hint="eastAsia"/>
          <w:sz w:val="30"/>
          <w:szCs w:val="30"/>
        </w:rPr>
        <w:t>债券非交易过户及资金境内划转国际收支申报指引</w:t>
      </w:r>
    </w:p>
    <w:p w:rsidR="00DA427E" w:rsidRDefault="00DA427E">
      <w:pPr>
        <w:ind w:right="300" w:firstLineChars="1900" w:firstLine="31680"/>
        <w:jc w:val="right"/>
        <w:rPr>
          <w:rFonts w:ascii="Times New Roman" w:eastAsia="仿宋_GB2312" w:hAnsi="Times New Roman" w:cstheme="minorBidi"/>
          <w:sz w:val="30"/>
          <w:szCs w:val="30"/>
        </w:rPr>
      </w:pPr>
    </w:p>
    <w:p w:rsidR="00DA427E" w:rsidRDefault="00DA427E">
      <w:pPr>
        <w:ind w:right="300" w:firstLineChars="1900" w:firstLine="31680"/>
        <w:jc w:val="right"/>
        <w:rPr>
          <w:rFonts w:ascii="Times New Roman" w:eastAsia="仿宋_GB2312" w:hAnsi="Times New Roman" w:cstheme="minorBidi"/>
          <w:sz w:val="30"/>
          <w:szCs w:val="30"/>
        </w:rPr>
      </w:pPr>
      <w:r>
        <w:rPr>
          <w:rFonts w:ascii="Times New Roman" w:eastAsia="仿宋_GB2312" w:hAnsi="Times New Roman" w:cs="仿宋_GB2312" w:hint="eastAsia"/>
          <w:sz w:val="30"/>
          <w:szCs w:val="30"/>
        </w:rPr>
        <w:t>中国人民银行</w:t>
      </w:r>
    </w:p>
    <w:p w:rsidR="00DA427E" w:rsidRDefault="00DA427E">
      <w:pPr>
        <w:ind w:right="300" w:firstLineChars="1900" w:firstLine="31680"/>
        <w:jc w:val="right"/>
        <w:rPr>
          <w:rFonts w:ascii="Times New Roman" w:eastAsia="仿宋_GB2312" w:hAnsi="Times New Roman" w:cstheme="minorBidi"/>
          <w:sz w:val="30"/>
          <w:szCs w:val="30"/>
        </w:rPr>
      </w:pPr>
      <w:r>
        <w:rPr>
          <w:rFonts w:ascii="Times New Roman" w:eastAsia="仿宋_GB2312" w:hAnsi="Times New Roman" w:cs="仿宋_GB2312" w:hint="eastAsia"/>
          <w:sz w:val="30"/>
          <w:szCs w:val="30"/>
        </w:rPr>
        <w:t>国家外汇管理局</w:t>
      </w:r>
    </w:p>
    <w:p w:rsidR="00DA427E" w:rsidRDefault="00DA427E">
      <w:pPr>
        <w:ind w:right="300" w:firstLineChars="1900" w:firstLine="31680"/>
        <w:jc w:val="right"/>
        <w:rPr>
          <w:rFonts w:ascii="Times New Roman" w:eastAsia="仿宋_GB2312" w:hAnsi="Times New Roman" w:cstheme="minorBidi"/>
          <w:sz w:val="30"/>
          <w:szCs w:val="30"/>
        </w:rPr>
      </w:pPr>
      <w:r>
        <w:rPr>
          <w:rFonts w:ascii="Times New Roman" w:eastAsia="仿宋_GB2312" w:hAnsi="Times New Roman" w:cs="Times New Roman"/>
          <w:sz w:val="30"/>
          <w:szCs w:val="30"/>
        </w:rPr>
        <w:t>2019</w:t>
      </w:r>
      <w:r>
        <w:rPr>
          <w:rFonts w:ascii="Times New Roman" w:eastAsia="仿宋_GB2312" w:hAnsi="Times New Roman" w:cs="仿宋_GB2312" w:hint="eastAsia"/>
          <w:sz w:val="30"/>
          <w:szCs w:val="30"/>
        </w:rPr>
        <w:t>年</w:t>
      </w:r>
      <w:r>
        <w:rPr>
          <w:rFonts w:ascii="Times New Roman" w:eastAsia="仿宋_GB2312" w:hAnsi="Times New Roman" w:cs="Times New Roman"/>
          <w:sz w:val="30"/>
          <w:szCs w:val="30"/>
        </w:rPr>
        <w:t>**</w:t>
      </w:r>
      <w:r>
        <w:rPr>
          <w:rFonts w:ascii="Times New Roman" w:eastAsia="仿宋_GB2312" w:hAnsi="Times New Roman" w:cs="仿宋_GB2312" w:hint="eastAsia"/>
          <w:sz w:val="30"/>
          <w:szCs w:val="30"/>
        </w:rPr>
        <w:t>月</w:t>
      </w:r>
      <w:r>
        <w:rPr>
          <w:rFonts w:ascii="Times New Roman" w:eastAsia="仿宋_GB2312" w:hAnsi="Times New Roman" w:cs="Times New Roman"/>
          <w:sz w:val="30"/>
          <w:szCs w:val="30"/>
        </w:rPr>
        <w:t>**</w:t>
      </w:r>
      <w:r>
        <w:rPr>
          <w:rFonts w:ascii="Times New Roman" w:eastAsia="仿宋_GB2312" w:hAnsi="Times New Roman" w:cs="仿宋_GB2312" w:hint="eastAsia"/>
          <w:sz w:val="30"/>
          <w:szCs w:val="30"/>
        </w:rPr>
        <w:t>日</w:t>
      </w:r>
    </w:p>
    <w:p w:rsidR="00DA427E" w:rsidRDefault="00DA427E">
      <w:pPr>
        <w:snapToGrid w:val="0"/>
        <w:spacing w:line="384" w:lineRule="auto"/>
        <w:jc w:val="left"/>
        <w:rPr>
          <w:rFonts w:ascii="黑体" w:eastAsia="黑体" w:hAnsi="Times New Roman" w:cstheme="minorBidi"/>
          <w:sz w:val="30"/>
          <w:szCs w:val="30"/>
        </w:rPr>
      </w:pPr>
      <w:r>
        <w:rPr>
          <w:rFonts w:ascii="Times New Roman" w:eastAsia="仿宋_GB2312" w:hAnsi="Times New Roman" w:cstheme="minorBidi"/>
          <w:sz w:val="30"/>
          <w:szCs w:val="30"/>
        </w:rPr>
        <w:br w:type="page"/>
      </w:r>
    </w:p>
    <w:p w:rsidR="00DA427E" w:rsidRDefault="00DA427E">
      <w:pPr>
        <w:snapToGrid w:val="0"/>
        <w:spacing w:line="384" w:lineRule="auto"/>
        <w:jc w:val="center"/>
        <w:rPr>
          <w:rFonts w:ascii="黑体" w:eastAsia="黑体" w:hAnsi="Times New Roman" w:cstheme="minorBidi"/>
          <w:sz w:val="36"/>
          <w:szCs w:val="36"/>
        </w:rPr>
      </w:pPr>
      <w:r>
        <w:rPr>
          <w:rFonts w:ascii="黑体" w:eastAsia="黑体" w:hAnsi="Times New Roman" w:cs="黑体" w:hint="eastAsia"/>
          <w:sz w:val="36"/>
          <w:szCs w:val="36"/>
        </w:rPr>
        <w:t>债券非交易过户及资金境内划转国际收支申报指引</w:t>
      </w:r>
    </w:p>
    <w:p w:rsidR="00DA427E" w:rsidRDefault="00DA427E">
      <w:pPr>
        <w:snapToGrid w:val="0"/>
        <w:spacing w:line="384" w:lineRule="auto"/>
        <w:jc w:val="center"/>
        <w:rPr>
          <w:rFonts w:ascii="黑体" w:eastAsia="黑体" w:hAnsi="Times New Roman" w:cstheme="minorBidi"/>
          <w:sz w:val="30"/>
          <w:szCs w:val="30"/>
        </w:rPr>
      </w:pPr>
    </w:p>
    <w:p w:rsidR="00DA427E" w:rsidRDefault="00DA427E">
      <w:pPr>
        <w:ind w:firstLineChars="200" w:firstLine="31680"/>
        <w:rPr>
          <w:rFonts w:ascii="Times New Roman" w:eastAsia="仿宋_GB2312" w:hAnsi="Times New Roman" w:cstheme="minorBidi"/>
          <w:sz w:val="30"/>
          <w:szCs w:val="30"/>
        </w:rPr>
      </w:pPr>
      <w:r>
        <w:rPr>
          <w:rFonts w:ascii="Times New Roman" w:eastAsia="仿宋_GB2312" w:hAnsi="Times New Roman" w:cs="仿宋_GB2312" w:hint="eastAsia"/>
          <w:sz w:val="30"/>
          <w:szCs w:val="30"/>
        </w:rPr>
        <w:t>一、托管行及结算代理人在境外投资者完成债券非交易过户时，应按以下要求进行国际收支虚拟申报：</w:t>
      </w:r>
    </w:p>
    <w:p w:rsidR="00DA427E" w:rsidRDefault="00DA427E">
      <w:pPr>
        <w:ind w:firstLineChars="200" w:firstLine="31680"/>
        <w:rPr>
          <w:rFonts w:ascii="Times New Roman" w:eastAsia="仿宋_GB2312" w:hAnsi="Times New Roman" w:cstheme="minorBidi"/>
          <w:sz w:val="30"/>
          <w:szCs w:val="30"/>
        </w:rPr>
      </w:pPr>
      <w:r>
        <w:rPr>
          <w:rFonts w:ascii="Times New Roman" w:eastAsia="仿宋_GB2312" w:hAnsi="Times New Roman" w:cs="仿宋_GB2312" w:hint="eastAsia"/>
          <w:sz w:val="30"/>
          <w:szCs w:val="30"/>
        </w:rPr>
        <w:t>（一）境外投资者（</w:t>
      </w:r>
      <w:r>
        <w:rPr>
          <w:rFonts w:ascii="Times New Roman" w:eastAsia="仿宋_GB2312" w:hAnsi="Times New Roman" w:cs="Times New Roman"/>
          <w:sz w:val="30"/>
          <w:szCs w:val="30"/>
        </w:rPr>
        <w:t>QFII/RQFII</w:t>
      </w:r>
      <w:r>
        <w:rPr>
          <w:rFonts w:ascii="Times New Roman" w:eastAsia="仿宋_GB2312" w:hAnsi="Times New Roman" w:cs="仿宋_GB2312" w:hint="eastAsia"/>
          <w:sz w:val="30"/>
          <w:szCs w:val="30"/>
        </w:rPr>
        <w:t>）债券账户内债券过户至直接投资债券账户时，</w:t>
      </w:r>
      <w:r>
        <w:rPr>
          <w:rFonts w:ascii="Times New Roman" w:eastAsia="仿宋_GB2312" w:hAnsi="Times New Roman" w:cs="Times New Roman"/>
          <w:sz w:val="30"/>
          <w:szCs w:val="30"/>
        </w:rPr>
        <w:t>QFII/RQFII</w:t>
      </w:r>
      <w:r>
        <w:rPr>
          <w:rFonts w:ascii="Times New Roman" w:eastAsia="仿宋_GB2312" w:hAnsi="Times New Roman" w:cs="仿宋_GB2312" w:hint="eastAsia"/>
          <w:sz w:val="30"/>
          <w:szCs w:val="30"/>
        </w:rPr>
        <w:t>托管行应虚拟申报一笔</w:t>
      </w:r>
      <w:r>
        <w:rPr>
          <w:rFonts w:ascii="Times New Roman" w:eastAsia="仿宋_GB2312" w:hAnsi="Times New Roman" w:cs="Times New Roman"/>
          <w:sz w:val="30"/>
          <w:szCs w:val="30"/>
        </w:rPr>
        <w:t>QFII/RQFII</w:t>
      </w:r>
      <w:r>
        <w:rPr>
          <w:rFonts w:ascii="Times New Roman" w:eastAsia="仿宋_GB2312" w:hAnsi="Times New Roman" w:cs="仿宋_GB2312" w:hint="eastAsia"/>
          <w:sz w:val="30"/>
          <w:szCs w:val="30"/>
        </w:rPr>
        <w:t>资金汇出，同时直接投资结算代理人应等额虚拟申报一笔直接投资资金汇入，两笔交易均申报在非居民买入</w:t>
      </w:r>
      <w:r>
        <w:rPr>
          <w:rFonts w:ascii="Times New Roman" w:eastAsia="仿宋_GB2312" w:hAnsi="Times New Roman" w:cs="Times New Roman"/>
          <w:sz w:val="30"/>
          <w:szCs w:val="30"/>
        </w:rPr>
        <w:t>/</w:t>
      </w:r>
      <w:r>
        <w:rPr>
          <w:rFonts w:ascii="Times New Roman" w:eastAsia="仿宋_GB2312" w:hAnsi="Times New Roman" w:cs="仿宋_GB2312" w:hint="eastAsia"/>
          <w:sz w:val="30"/>
          <w:szCs w:val="30"/>
        </w:rPr>
        <w:t>卖出境内债券项下，申报金额均以所过户债券的公允价值为准，并在交易附言中注明“</w:t>
      </w:r>
      <w:r>
        <w:rPr>
          <w:rFonts w:ascii="Times New Roman" w:eastAsia="仿宋_GB2312" w:hAnsi="Times New Roman" w:cs="Times New Roman"/>
          <w:sz w:val="30"/>
          <w:szCs w:val="30"/>
        </w:rPr>
        <w:t>QFII/RQFII</w:t>
      </w:r>
      <w:r>
        <w:rPr>
          <w:rFonts w:ascii="Times New Roman" w:eastAsia="仿宋_GB2312" w:hAnsi="Times New Roman" w:cs="仿宋_GB2312" w:hint="eastAsia"/>
          <w:sz w:val="30"/>
          <w:szCs w:val="30"/>
        </w:rPr>
        <w:t>债券过户至</w:t>
      </w:r>
      <w:r>
        <w:rPr>
          <w:rFonts w:ascii="Times New Roman" w:eastAsia="仿宋_GB2312" w:hAnsi="Times New Roman" w:cs="Times New Roman"/>
          <w:sz w:val="30"/>
          <w:szCs w:val="30"/>
        </w:rPr>
        <w:t>CIBM</w:t>
      </w:r>
      <w:r>
        <w:rPr>
          <w:rFonts w:ascii="Times New Roman" w:eastAsia="仿宋_GB2312" w:hAnsi="Times New Roman" w:cs="仿宋_GB2312" w:hint="eastAsia"/>
          <w:sz w:val="30"/>
          <w:szCs w:val="30"/>
        </w:rPr>
        <w:t>（虚拟申报）”字样。</w:t>
      </w:r>
    </w:p>
    <w:p w:rsidR="00DA427E" w:rsidRDefault="00DA427E">
      <w:pPr>
        <w:ind w:firstLineChars="200" w:firstLine="31680"/>
        <w:rPr>
          <w:rFonts w:ascii="Times New Roman" w:eastAsia="仿宋_GB2312" w:hAnsi="Times New Roman" w:cstheme="minorBidi"/>
          <w:sz w:val="30"/>
          <w:szCs w:val="30"/>
        </w:rPr>
      </w:pPr>
      <w:r>
        <w:rPr>
          <w:rFonts w:ascii="Times New Roman" w:eastAsia="仿宋_GB2312" w:hAnsi="Times New Roman" w:cs="仿宋_GB2312" w:hint="eastAsia"/>
          <w:sz w:val="30"/>
          <w:szCs w:val="30"/>
        </w:rPr>
        <w:t>（二）境外投资者直接投资债券账户内债券过户至</w:t>
      </w:r>
      <w:r>
        <w:rPr>
          <w:rFonts w:ascii="Times New Roman" w:eastAsia="仿宋_GB2312" w:hAnsi="Times New Roman" w:cs="Times New Roman"/>
          <w:sz w:val="30"/>
          <w:szCs w:val="30"/>
        </w:rPr>
        <w:t>QFII/RQFII</w:t>
      </w:r>
      <w:r>
        <w:rPr>
          <w:rFonts w:ascii="Times New Roman" w:eastAsia="仿宋_GB2312" w:hAnsi="Times New Roman" w:cs="仿宋_GB2312" w:hint="eastAsia"/>
          <w:sz w:val="30"/>
          <w:szCs w:val="30"/>
        </w:rPr>
        <w:t>债券账户时，直接投资结算代理人应虚拟申报一笔直接投资资金汇出，同时</w:t>
      </w:r>
      <w:r>
        <w:rPr>
          <w:rFonts w:ascii="Times New Roman" w:eastAsia="仿宋_GB2312" w:hAnsi="Times New Roman" w:cs="Times New Roman"/>
          <w:sz w:val="30"/>
          <w:szCs w:val="30"/>
        </w:rPr>
        <w:t>QFII/RQFII</w:t>
      </w:r>
      <w:r>
        <w:rPr>
          <w:rFonts w:ascii="Times New Roman" w:eastAsia="仿宋_GB2312" w:hAnsi="Times New Roman" w:cs="仿宋_GB2312" w:hint="eastAsia"/>
          <w:sz w:val="30"/>
          <w:szCs w:val="30"/>
        </w:rPr>
        <w:t>托管行应等额虚拟申报一笔</w:t>
      </w:r>
      <w:r>
        <w:rPr>
          <w:rFonts w:ascii="Times New Roman" w:eastAsia="仿宋_GB2312" w:hAnsi="Times New Roman" w:cs="Times New Roman"/>
          <w:sz w:val="30"/>
          <w:szCs w:val="30"/>
        </w:rPr>
        <w:t>QFII/RQFII</w:t>
      </w:r>
      <w:r>
        <w:rPr>
          <w:rFonts w:ascii="Times New Roman" w:eastAsia="仿宋_GB2312" w:hAnsi="Times New Roman" w:cs="仿宋_GB2312" w:hint="eastAsia"/>
          <w:sz w:val="30"/>
          <w:szCs w:val="30"/>
        </w:rPr>
        <w:t>资金汇入，两笔交易均申报在非居民买入</w:t>
      </w:r>
      <w:r>
        <w:rPr>
          <w:rFonts w:ascii="Times New Roman" w:eastAsia="仿宋_GB2312" w:hAnsi="Times New Roman" w:cs="Times New Roman"/>
          <w:sz w:val="30"/>
          <w:szCs w:val="30"/>
        </w:rPr>
        <w:t>/</w:t>
      </w:r>
      <w:r>
        <w:rPr>
          <w:rFonts w:ascii="Times New Roman" w:eastAsia="仿宋_GB2312" w:hAnsi="Times New Roman" w:cs="仿宋_GB2312" w:hint="eastAsia"/>
          <w:sz w:val="30"/>
          <w:szCs w:val="30"/>
        </w:rPr>
        <w:t>卖出境内债券项下，申报金额均以所过户债券的公允价值为准，并在交易附言中注明“</w:t>
      </w:r>
      <w:r>
        <w:rPr>
          <w:rFonts w:ascii="Times New Roman" w:eastAsia="仿宋_GB2312" w:hAnsi="Times New Roman" w:cs="Times New Roman"/>
          <w:sz w:val="30"/>
          <w:szCs w:val="30"/>
        </w:rPr>
        <w:t>CIBM</w:t>
      </w:r>
      <w:r>
        <w:rPr>
          <w:rFonts w:ascii="Times New Roman" w:eastAsia="仿宋_GB2312" w:hAnsi="Times New Roman" w:cs="仿宋_GB2312" w:hint="eastAsia"/>
          <w:sz w:val="30"/>
          <w:szCs w:val="30"/>
        </w:rPr>
        <w:t>债券过户至</w:t>
      </w:r>
      <w:r>
        <w:rPr>
          <w:rFonts w:ascii="Times New Roman" w:eastAsia="仿宋_GB2312" w:hAnsi="Times New Roman" w:cs="Times New Roman"/>
          <w:sz w:val="30"/>
          <w:szCs w:val="30"/>
        </w:rPr>
        <w:t>QFII/RQFII</w:t>
      </w:r>
      <w:r>
        <w:rPr>
          <w:rFonts w:ascii="Times New Roman" w:eastAsia="仿宋_GB2312" w:hAnsi="Times New Roman" w:cs="仿宋_GB2312" w:hint="eastAsia"/>
          <w:sz w:val="30"/>
          <w:szCs w:val="30"/>
        </w:rPr>
        <w:t>（虚拟申报）”字样。</w:t>
      </w:r>
    </w:p>
    <w:p w:rsidR="00DA427E" w:rsidRDefault="00DA427E">
      <w:pPr>
        <w:ind w:firstLineChars="200" w:firstLine="31680"/>
        <w:rPr>
          <w:rFonts w:ascii="Times New Roman" w:eastAsia="仿宋_GB2312" w:hAnsi="Times New Roman" w:cstheme="minorBidi"/>
          <w:sz w:val="30"/>
          <w:szCs w:val="30"/>
        </w:rPr>
      </w:pPr>
      <w:r>
        <w:rPr>
          <w:rFonts w:ascii="Times New Roman" w:eastAsia="仿宋_GB2312" w:hAnsi="Times New Roman" w:cs="仿宋_GB2312" w:hint="eastAsia"/>
          <w:sz w:val="30"/>
          <w:szCs w:val="30"/>
        </w:rPr>
        <w:t>二、托管行及结算代理人在完成资金境内划转时，应按以下要求进行国际收支虚拟申报：</w:t>
      </w:r>
    </w:p>
    <w:p w:rsidR="00DA427E" w:rsidRDefault="00DA427E">
      <w:pPr>
        <w:ind w:firstLine="602"/>
        <w:rPr>
          <w:rFonts w:ascii="Times New Roman" w:eastAsia="仿宋_GB2312" w:hAnsi="Times New Roman" w:cstheme="minorBidi"/>
          <w:sz w:val="30"/>
          <w:szCs w:val="30"/>
        </w:rPr>
      </w:pPr>
      <w:r>
        <w:rPr>
          <w:rFonts w:ascii="Times New Roman" w:eastAsia="仿宋_GB2312" w:hAnsi="Times New Roman" w:cs="仿宋_GB2312" w:hint="eastAsia"/>
          <w:sz w:val="30"/>
          <w:szCs w:val="30"/>
        </w:rPr>
        <w:t>（一）</w:t>
      </w:r>
      <w:r>
        <w:rPr>
          <w:rFonts w:ascii="Times New Roman" w:eastAsia="仿宋_GB2312" w:hAnsi="Times New Roman" w:cs="Times New Roman"/>
          <w:sz w:val="30"/>
          <w:szCs w:val="30"/>
        </w:rPr>
        <w:t>QFII/RQFII</w:t>
      </w:r>
      <w:r>
        <w:rPr>
          <w:rFonts w:ascii="Times New Roman" w:eastAsia="仿宋_GB2312" w:hAnsi="Times New Roman" w:cs="仿宋_GB2312" w:hint="eastAsia"/>
          <w:sz w:val="30"/>
          <w:szCs w:val="30"/>
        </w:rPr>
        <w:t>托管账户向直接投资资金账户划转资金时，由</w:t>
      </w:r>
      <w:r>
        <w:rPr>
          <w:rFonts w:ascii="Times New Roman" w:eastAsia="仿宋_GB2312" w:hAnsi="Times New Roman" w:cs="Times New Roman"/>
          <w:sz w:val="30"/>
          <w:szCs w:val="30"/>
        </w:rPr>
        <w:t>QFII/RQFII</w:t>
      </w:r>
      <w:r>
        <w:rPr>
          <w:rFonts w:ascii="Times New Roman" w:eastAsia="仿宋_GB2312" w:hAnsi="Times New Roman" w:cs="仿宋_GB2312" w:hint="eastAsia"/>
          <w:sz w:val="30"/>
          <w:szCs w:val="30"/>
        </w:rPr>
        <w:t>托管行虚拟申报一笔资金汇出，同时直接投资结算代理人虚拟申报一笔资金汇入，两笔交易均申报在非居民买入</w:t>
      </w:r>
      <w:r>
        <w:rPr>
          <w:rFonts w:ascii="Times New Roman" w:eastAsia="仿宋_GB2312" w:hAnsi="Times New Roman" w:cs="Times New Roman"/>
          <w:sz w:val="30"/>
          <w:szCs w:val="30"/>
        </w:rPr>
        <w:t>/</w:t>
      </w:r>
      <w:r>
        <w:rPr>
          <w:rFonts w:ascii="Times New Roman" w:eastAsia="仿宋_GB2312" w:hAnsi="Times New Roman" w:cs="仿宋_GB2312" w:hint="eastAsia"/>
          <w:sz w:val="30"/>
          <w:szCs w:val="30"/>
        </w:rPr>
        <w:t>卖出境内债券项下，申报金额即划转金额，并在交易附言中注明“</w:t>
      </w:r>
      <w:r>
        <w:rPr>
          <w:rFonts w:ascii="Times New Roman" w:eastAsia="仿宋_GB2312" w:hAnsi="Times New Roman" w:cs="Times New Roman"/>
          <w:sz w:val="30"/>
          <w:szCs w:val="30"/>
        </w:rPr>
        <w:t>QFII/RQFII</w:t>
      </w:r>
      <w:r>
        <w:rPr>
          <w:rFonts w:ascii="Times New Roman" w:eastAsia="仿宋_GB2312" w:hAnsi="Times New Roman" w:cs="仿宋_GB2312" w:hint="eastAsia"/>
          <w:sz w:val="30"/>
          <w:szCs w:val="30"/>
        </w:rPr>
        <w:t>向</w:t>
      </w:r>
      <w:r>
        <w:rPr>
          <w:rFonts w:ascii="Times New Roman" w:eastAsia="仿宋_GB2312" w:hAnsi="Times New Roman" w:cs="Times New Roman"/>
          <w:sz w:val="30"/>
          <w:szCs w:val="30"/>
        </w:rPr>
        <w:t>CIBM</w:t>
      </w:r>
      <w:r>
        <w:rPr>
          <w:rFonts w:ascii="Times New Roman" w:eastAsia="仿宋_GB2312" w:hAnsi="Times New Roman" w:cs="仿宋_GB2312" w:hint="eastAsia"/>
          <w:sz w:val="30"/>
          <w:szCs w:val="30"/>
        </w:rPr>
        <w:t>划转资金（虚拟申报）”字样。</w:t>
      </w:r>
    </w:p>
    <w:p w:rsidR="00DA427E" w:rsidRDefault="00DA427E">
      <w:pPr>
        <w:ind w:firstLineChars="200" w:firstLine="31680"/>
        <w:rPr>
          <w:rFonts w:ascii="Times New Roman" w:eastAsia="仿宋_GB2312" w:hAnsi="Times New Roman" w:cstheme="minorBidi"/>
          <w:sz w:val="30"/>
          <w:szCs w:val="30"/>
        </w:rPr>
      </w:pPr>
      <w:r>
        <w:rPr>
          <w:rFonts w:ascii="Times New Roman" w:eastAsia="仿宋_GB2312" w:hAnsi="Times New Roman" w:cs="仿宋_GB2312" w:hint="eastAsia"/>
          <w:sz w:val="30"/>
          <w:szCs w:val="30"/>
        </w:rPr>
        <w:t>（二）直接投资资金账户向</w:t>
      </w:r>
      <w:r>
        <w:rPr>
          <w:rFonts w:ascii="Times New Roman" w:eastAsia="仿宋_GB2312" w:hAnsi="Times New Roman" w:cs="Times New Roman"/>
          <w:sz w:val="30"/>
          <w:szCs w:val="30"/>
        </w:rPr>
        <w:t>QFII/RQFII</w:t>
      </w:r>
      <w:r>
        <w:rPr>
          <w:rFonts w:ascii="Times New Roman" w:eastAsia="仿宋_GB2312" w:hAnsi="Times New Roman" w:cs="仿宋_GB2312" w:hint="eastAsia"/>
          <w:sz w:val="30"/>
          <w:szCs w:val="30"/>
        </w:rPr>
        <w:t>托管账户划转资金时，由直接投资结算代理人虚拟申报一笔资金汇出，同时</w:t>
      </w:r>
      <w:r>
        <w:rPr>
          <w:rFonts w:ascii="Times New Roman" w:eastAsia="仿宋_GB2312" w:hAnsi="Times New Roman" w:cs="Times New Roman"/>
          <w:sz w:val="30"/>
          <w:szCs w:val="30"/>
        </w:rPr>
        <w:t>QFII/RQFII</w:t>
      </w:r>
      <w:r>
        <w:rPr>
          <w:rFonts w:ascii="Times New Roman" w:eastAsia="仿宋_GB2312" w:hAnsi="Times New Roman" w:cs="仿宋_GB2312" w:hint="eastAsia"/>
          <w:sz w:val="30"/>
          <w:szCs w:val="30"/>
        </w:rPr>
        <w:t>托管行虚拟申报一笔资金汇入，两笔交易均申报在非居民买入</w:t>
      </w:r>
      <w:r>
        <w:rPr>
          <w:rFonts w:ascii="Times New Roman" w:eastAsia="仿宋_GB2312" w:hAnsi="Times New Roman" w:cs="Times New Roman"/>
          <w:sz w:val="30"/>
          <w:szCs w:val="30"/>
        </w:rPr>
        <w:t>/</w:t>
      </w:r>
      <w:r>
        <w:rPr>
          <w:rFonts w:ascii="Times New Roman" w:eastAsia="仿宋_GB2312" w:hAnsi="Times New Roman" w:cs="仿宋_GB2312" w:hint="eastAsia"/>
          <w:sz w:val="30"/>
          <w:szCs w:val="30"/>
        </w:rPr>
        <w:t>卖出境内债券项下，申报金额即划转金额，并在交易附言中注明“</w:t>
      </w:r>
      <w:r>
        <w:rPr>
          <w:rFonts w:ascii="Times New Roman" w:eastAsia="仿宋_GB2312" w:hAnsi="Times New Roman" w:cs="Times New Roman"/>
          <w:sz w:val="30"/>
          <w:szCs w:val="30"/>
        </w:rPr>
        <w:t>CIBM</w:t>
      </w:r>
      <w:r>
        <w:rPr>
          <w:rFonts w:ascii="Times New Roman" w:eastAsia="仿宋_GB2312" w:hAnsi="Times New Roman" w:cs="仿宋_GB2312" w:hint="eastAsia"/>
          <w:sz w:val="30"/>
          <w:szCs w:val="30"/>
        </w:rPr>
        <w:t>向</w:t>
      </w:r>
      <w:r>
        <w:rPr>
          <w:rFonts w:ascii="Times New Roman" w:eastAsia="仿宋_GB2312" w:hAnsi="Times New Roman" w:cs="Times New Roman"/>
          <w:sz w:val="30"/>
          <w:szCs w:val="30"/>
        </w:rPr>
        <w:t>QFII/RQFII</w:t>
      </w:r>
      <w:r>
        <w:rPr>
          <w:rFonts w:ascii="Times New Roman" w:eastAsia="仿宋_GB2312" w:hAnsi="Times New Roman" w:cs="仿宋_GB2312" w:hint="eastAsia"/>
          <w:sz w:val="30"/>
          <w:szCs w:val="30"/>
        </w:rPr>
        <w:t>划转资金（虚拟申报）”字样。</w:t>
      </w:r>
    </w:p>
    <w:p w:rsidR="00DA427E" w:rsidRDefault="00DA427E">
      <w:pPr>
        <w:ind w:firstLineChars="200" w:firstLine="31680"/>
        <w:rPr>
          <w:rFonts w:ascii="黑体" w:eastAsia="黑体" w:hAnsi="Times New Roman" w:cstheme="minorBidi"/>
          <w:sz w:val="30"/>
          <w:szCs w:val="30"/>
        </w:rPr>
      </w:pPr>
      <w:r>
        <w:rPr>
          <w:rFonts w:ascii="Times New Roman" w:eastAsia="仿宋_GB2312" w:hAnsi="Times New Roman" w:cs="仿宋_GB2312" w:hint="eastAsia"/>
          <w:sz w:val="30"/>
          <w:szCs w:val="30"/>
        </w:rPr>
        <w:t>三、本指引由国家外汇管理局负责解释。</w:t>
      </w:r>
    </w:p>
    <w:p w:rsidR="00DA427E" w:rsidRDefault="00DA427E">
      <w:pPr>
        <w:ind w:right="301"/>
        <w:jc w:val="left"/>
        <w:rPr>
          <w:rFonts w:ascii="Times New Roman" w:eastAsia="仿宋_GB2312" w:hAnsi="Times New Roman" w:cstheme="minorBidi"/>
          <w:sz w:val="30"/>
          <w:szCs w:val="30"/>
        </w:rPr>
      </w:pPr>
    </w:p>
    <w:sectPr w:rsidR="00DA427E" w:rsidSect="00DA427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27E" w:rsidRDefault="00DA427E">
      <w:pPr>
        <w:rPr>
          <w:rFonts w:ascii="Times New Roman" w:hAnsi="Times New Roman" w:cs="Times New Roman"/>
        </w:rPr>
      </w:pPr>
      <w:r>
        <w:rPr>
          <w:rFonts w:ascii="Times New Roman" w:hAnsi="Times New Roman" w:cs="Times New Roman"/>
        </w:rPr>
        <w:separator/>
      </w:r>
    </w:p>
  </w:endnote>
  <w:endnote w:type="continuationSeparator" w:id="1">
    <w:p w:rsidR="00DA427E" w:rsidRDefault="00DA427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7E" w:rsidRDefault="00DA427E">
    <w:pPr>
      <w:pStyle w:val="Footer"/>
      <w:framePr w:wrap="auto" w:vAnchor="text" w:hAnchor="margin" w:xAlign="center" w:y="1"/>
      <w:rPr>
        <w:rStyle w:val="PageNumber"/>
        <w:rFonts w:cstheme="minorBidi"/>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A427E" w:rsidRDefault="00DA427E">
    <w:pPr>
      <w:pStyle w:val="Footer"/>
      <w:rPr>
        <w:rFonts w:cstheme="min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27E" w:rsidRDefault="00DA427E">
      <w:pPr>
        <w:rPr>
          <w:rFonts w:ascii="Times New Roman" w:hAnsi="Times New Roman" w:cs="Times New Roman"/>
        </w:rPr>
      </w:pPr>
      <w:r>
        <w:rPr>
          <w:rFonts w:ascii="Times New Roman" w:hAnsi="Times New Roman" w:cs="Times New Roman"/>
        </w:rPr>
        <w:separator/>
      </w:r>
    </w:p>
  </w:footnote>
  <w:footnote w:type="continuationSeparator" w:id="1">
    <w:p w:rsidR="00DA427E" w:rsidRDefault="00DA427E">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B7CB8"/>
    <w:multiLevelType w:val="hybridMultilevel"/>
    <w:tmpl w:val="FEF007BC"/>
    <w:lvl w:ilvl="0" w:tplc="F87E9794">
      <w:start w:val="1"/>
      <w:numFmt w:val="japaneseCounting"/>
      <w:lvlText w:val="%1、"/>
      <w:lvlJc w:val="left"/>
      <w:pPr>
        <w:ind w:left="1860" w:hanging="1260"/>
      </w:pPr>
      <w:rPr>
        <w:rFonts w:ascii="Times New Roman" w:eastAsia="仿宋_GB2312" w:hAnsi="Times New Roman"/>
      </w:rPr>
    </w:lvl>
    <w:lvl w:ilvl="1" w:tplc="04090019">
      <w:start w:val="1"/>
      <w:numFmt w:val="lowerLetter"/>
      <w:lvlText w:val="%2)"/>
      <w:lvlJc w:val="left"/>
      <w:pPr>
        <w:ind w:left="1440" w:hanging="420"/>
      </w:pPr>
      <w:rPr>
        <w:rFonts w:ascii="Times New Roman" w:hAnsi="Times New Roman" w:cs="Times New Roman"/>
      </w:rPr>
    </w:lvl>
    <w:lvl w:ilvl="2" w:tplc="0409001B">
      <w:start w:val="1"/>
      <w:numFmt w:val="lowerRoman"/>
      <w:lvlText w:val="%3."/>
      <w:lvlJc w:val="right"/>
      <w:pPr>
        <w:ind w:left="1860" w:hanging="420"/>
      </w:pPr>
      <w:rPr>
        <w:rFonts w:ascii="Times New Roman" w:hAnsi="Times New Roman" w:cs="Times New Roman"/>
      </w:rPr>
    </w:lvl>
    <w:lvl w:ilvl="3" w:tplc="0409000F">
      <w:start w:val="1"/>
      <w:numFmt w:val="decimal"/>
      <w:lvlText w:val="%4."/>
      <w:lvlJc w:val="left"/>
      <w:pPr>
        <w:ind w:left="2280" w:hanging="420"/>
      </w:pPr>
      <w:rPr>
        <w:rFonts w:ascii="Times New Roman" w:hAnsi="Times New Roman" w:cs="Times New Roman"/>
      </w:rPr>
    </w:lvl>
    <w:lvl w:ilvl="4" w:tplc="04090019">
      <w:start w:val="1"/>
      <w:numFmt w:val="lowerLetter"/>
      <w:lvlText w:val="%5)"/>
      <w:lvlJc w:val="left"/>
      <w:pPr>
        <w:ind w:left="2700" w:hanging="420"/>
      </w:pPr>
      <w:rPr>
        <w:rFonts w:ascii="Times New Roman" w:hAnsi="Times New Roman" w:cs="Times New Roman"/>
      </w:rPr>
    </w:lvl>
    <w:lvl w:ilvl="5" w:tplc="0409001B">
      <w:start w:val="1"/>
      <w:numFmt w:val="lowerRoman"/>
      <w:lvlText w:val="%6."/>
      <w:lvlJc w:val="right"/>
      <w:pPr>
        <w:ind w:left="3120" w:hanging="420"/>
      </w:pPr>
      <w:rPr>
        <w:rFonts w:ascii="Times New Roman" w:hAnsi="Times New Roman" w:cs="Times New Roman"/>
      </w:rPr>
    </w:lvl>
    <w:lvl w:ilvl="6" w:tplc="0409000F">
      <w:start w:val="1"/>
      <w:numFmt w:val="decimal"/>
      <w:lvlText w:val="%7."/>
      <w:lvlJc w:val="left"/>
      <w:pPr>
        <w:ind w:left="3540" w:hanging="420"/>
      </w:pPr>
      <w:rPr>
        <w:rFonts w:ascii="Times New Roman" w:hAnsi="Times New Roman" w:cs="Times New Roman"/>
      </w:rPr>
    </w:lvl>
    <w:lvl w:ilvl="7" w:tplc="04090019">
      <w:start w:val="1"/>
      <w:numFmt w:val="lowerLetter"/>
      <w:lvlText w:val="%8)"/>
      <w:lvlJc w:val="left"/>
      <w:pPr>
        <w:ind w:left="3960" w:hanging="420"/>
      </w:pPr>
      <w:rPr>
        <w:rFonts w:ascii="Times New Roman" w:hAnsi="Times New Roman" w:cs="Times New Roman"/>
      </w:rPr>
    </w:lvl>
    <w:lvl w:ilvl="8" w:tplc="0409001B">
      <w:start w:val="1"/>
      <w:numFmt w:val="lowerRoman"/>
      <w:lvlText w:val="%9."/>
      <w:lvlJc w:val="right"/>
      <w:pPr>
        <w:ind w:left="4380" w:hanging="42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7:;&gt;?]b}¢¨°·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27E"/>
    <w:rsid w:val="00DA42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alibri" w:eastAsia="宋体" w:hAnsi="Calibri" w:cs="Calibri"/>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Pr>
      <w:rFonts w:ascii="Times New Roman" w:hAnsi="Times New Roman" w:cs="Times New Roman"/>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Pr>
      <w:rFonts w:ascii="Times New Roman" w:hAnsi="Times New Roman" w:cs="Times New Roman"/>
      <w:sz w:val="18"/>
      <w:szCs w:val="18"/>
    </w:rPr>
  </w:style>
  <w:style w:type="paragraph" w:styleId="ListParagraph">
    <w:name w:val="List Paragraph"/>
    <w:basedOn w:val="Normal"/>
    <w:uiPriority w:val="99"/>
    <w:qFormat/>
    <w:pPr>
      <w:ind w:firstLineChars="200" w:firstLine="420"/>
    </w:pPr>
  </w:style>
  <w:style w:type="paragraph" w:styleId="BalloonText">
    <w:name w:val="Balloon Text"/>
    <w:basedOn w:val="Normal"/>
    <w:link w:val="BalloonTextChar"/>
    <w:uiPriority w:val="99"/>
    <w:rPr>
      <w:sz w:val="18"/>
      <w:szCs w:val="18"/>
    </w:rPr>
  </w:style>
  <w:style w:type="character" w:customStyle="1" w:styleId="BalloonTextChar">
    <w:name w:val="Balloon Text Char"/>
    <w:basedOn w:val="DefaultParagraphFont"/>
    <w:link w:val="BalloonText"/>
    <w:uiPriority w:val="99"/>
    <w:rPr>
      <w:rFonts w:ascii="Times New Roman" w:hAnsi="Times New Roman" w:cs="Times New Roman"/>
      <w:sz w:val="18"/>
      <w:szCs w:val="18"/>
    </w:rPr>
  </w:style>
  <w:style w:type="character" w:styleId="PageNumber">
    <w:name w:val="page number"/>
    <w:basedOn w:val="DefaultParagraphFont"/>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280</Words>
  <Characters>1598</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2019-04-08T06:45:00Z</cp:lastPrinted>
  <dcterms:created xsi:type="dcterms:W3CDTF">2019-04-10T08:23:00Z</dcterms:created>
  <dcterms:modified xsi:type="dcterms:W3CDTF">2019-05-10T03:21:00Z</dcterms:modified>
</cp:coreProperties>
</file>