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Default ContentType="image/png" Extension="png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 xml:space="preserve">编号：57002-2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6pt;width:86.9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 xml:space="preserve">“出口收汇事前审核” 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更新日期：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202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/>
        </w:rPr>
        <w:t>7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202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/>
        </w:rPr>
        <w:t>8</w:t>
      </w:r>
      <w:bookmarkStart w:id="0" w:name="_GoBack"/>
      <w:bookmarkEnd w:id="0"/>
      <w:r>
        <w:rPr>
          <w:rFonts w:ascii="Times New Roman" w:hAnsi="Times New Roman" w:eastAsia="仿宋_GB2312" w:cs="Times New Roman"/>
          <w:kern w:val="0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青海省分局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    一、项目信息</w:t>
      </w:r>
    </w:p>
    <w:p>
      <w:pPr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项目名称：出口单位出口收汇核查；</w:t>
      </w:r>
    </w:p>
    <w:p>
      <w:pPr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项目编号：57002；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子项名称：出口收汇事前审核；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本指南适用于“出口收汇事前审核”的申请和办理。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十二条：“经常项目外汇收支应当具有真实、合法的交易基础。经营结汇、售汇业务的金融机构应当按照国务院外汇管理部门的规定，对交易单证的真实性及其与外汇收支的一致性进行合理审查。外汇管理机关有权对前款规定事项进行监督检查。”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（二）《国务院对确需保留的行政审批项目设定行政许可的决定》（国务院令第412号）附件第489项“出口单位出口收汇差额核销、核销备查核准”。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四、办理依据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（二）《国家外汇管理局关于印发货物贸易外汇管理法规有关问题的通知》（汇发〔2012〕38号）；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  <w:lang w:bidi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三</w:t>
      </w:r>
      <w:r>
        <w:rPr>
          <w:rFonts w:ascii="Times New Roman" w:hAnsi="Times New Roman" w:eastAsia="仿宋_GB2312" w:cs="Times New Roman"/>
          <w:sz w:val="30"/>
          <w:szCs w:val="30"/>
        </w:rPr>
        <w:t>）《国家外汇管理局关于进一步促进跨境贸易投资便利化的通知》（汇发〔2019〕28号）</w:t>
      </w:r>
      <w:r>
        <w:rPr>
          <w:rFonts w:ascii="Times New Roman" w:hAnsi="Times New Roman" w:eastAsia="仿宋_GB2312" w:cs="Times New Roman"/>
          <w:sz w:val="30"/>
          <w:szCs w:val="30"/>
          <w:lang w:bidi="zh-CN"/>
        </w:rPr>
        <w:t>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  <w:lang w:bidi="zh-CN"/>
        </w:rPr>
      </w:pPr>
      <w:r>
        <w:rPr>
          <w:rFonts w:ascii="Times New Roman" w:hAnsi="Times New Roman" w:eastAsia="仿宋_GB2312" w:cs="Times New Roman"/>
          <w:sz w:val="30"/>
          <w:szCs w:val="30"/>
          <w:lang w:bidi="zh-CN"/>
        </w:rPr>
        <w:t>（四）《国家外汇管理局关于优化外汇管理 支持涉外业务发展的通知》（汇发〔2020〕8号）；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（五）《国家外汇管理局关于印发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〈</w:t>
      </w:r>
      <w:r>
        <w:rPr>
          <w:rFonts w:ascii="Times New Roman" w:hAnsi="Times New Roman" w:eastAsia="仿宋_GB2312" w:cs="Times New Roman"/>
          <w:sz w:val="30"/>
          <w:szCs w:val="30"/>
        </w:rPr>
        <w:t>经常项目外汇业务指引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2020年版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）〉</w:t>
      </w:r>
      <w:r>
        <w:rPr>
          <w:rFonts w:ascii="Times New Roman" w:hAnsi="Times New Roman" w:eastAsia="仿宋_GB2312" w:cs="Times New Roman"/>
          <w:sz w:val="30"/>
          <w:szCs w:val="30"/>
        </w:rPr>
        <w:t>的通知》（汇发〔2020〕14号）</w:t>
      </w:r>
      <w:r>
        <w:rPr>
          <w:rFonts w:ascii="Times New Roman" w:hAnsi="Times New Roman" w:eastAsia="仿宋_GB2312" w:cs="Times New Roman"/>
          <w:sz w:val="30"/>
          <w:szCs w:val="30"/>
          <w:lang w:bidi="zh-CN"/>
        </w:rPr>
        <w:t>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五、受理机构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六、决定机构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七、审批数量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八、办事条件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（一）申请人条件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1.C类企业；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2.超过收汇额度的B类企业；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3.发生90天以上（不含）延期收款的B类企业；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</w:t>
      </w:r>
      <w:r>
        <w:rPr>
          <w:rFonts w:hint="eastAsia" w:ascii="仿宋_GB2312" w:hAnsi="Times New Roman" w:eastAsia="仿宋_GB2312" w:cs="Times New Roman"/>
          <w:sz w:val="30"/>
          <w:szCs w:val="30"/>
        </w:rPr>
        <w:t xml:space="preserve"> 办理</w:t>
      </w:r>
      <w:r>
        <w:rPr>
          <w:rFonts w:ascii="Times New Roman" w:hAnsi="Times New Roman" w:eastAsia="仿宋_GB2312" w:cs="Times New Roman"/>
          <w:sz w:val="30"/>
          <w:szCs w:val="30"/>
        </w:rPr>
        <w:t>退汇日期与原收、付款日期间隔在180天以上（不含）或由于特殊情况无法原路退回的退汇业务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时，</w:t>
      </w:r>
      <w:r>
        <w:rPr>
          <w:rFonts w:ascii="Times New Roman" w:hAnsi="Times New Roman" w:eastAsia="仿宋_GB2312" w:cs="Times New Roman"/>
          <w:sz w:val="30"/>
          <w:szCs w:val="30"/>
        </w:rPr>
        <w:t>A类企业单笔等值5万美元以上（不含）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或</w:t>
      </w:r>
      <w:r>
        <w:rPr>
          <w:rFonts w:ascii="Times New Roman" w:hAnsi="Times New Roman" w:eastAsia="仿宋_GB2312" w:cs="Times New Roman"/>
          <w:sz w:val="30"/>
          <w:szCs w:val="30"/>
        </w:rPr>
        <w:t>B、C类企业</w:t>
      </w:r>
      <w:r>
        <w:rPr>
          <w:rFonts w:hint="eastAsia" w:ascii="仿宋_GB2312" w:hAnsi="Times New Roman" w:eastAsia="仿宋_GB2312" w:cs="Times New Roman"/>
          <w:sz w:val="30"/>
          <w:szCs w:val="30"/>
        </w:rPr>
        <w:t>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5.需要将待核查账户内误入的资本项目资金结汇或划出的企业；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6.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办理新出现的贸易新业态外汇收入业务的企业。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（二）具备或符合如下条件的，准予批准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1.对于C类企业：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交易合规：C类企业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原则上</w:t>
      </w:r>
      <w:r>
        <w:rPr>
          <w:rFonts w:ascii="Times New Roman" w:hAnsi="Times New Roman" w:eastAsia="仿宋_GB2312" w:cs="Times New Roman"/>
          <w:sz w:val="30"/>
          <w:szCs w:val="30"/>
        </w:rPr>
        <w:t>不得签订包含90天以上（不含）收汇条款的出口合同；不得办理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离岸转手买卖</w:t>
      </w:r>
      <w:r>
        <w:rPr>
          <w:rFonts w:ascii="Times New Roman" w:hAnsi="Times New Roman" w:eastAsia="仿宋_GB2312" w:cs="Times New Roman"/>
          <w:sz w:val="30"/>
          <w:szCs w:val="30"/>
        </w:rPr>
        <w:t>外汇收入；</w:t>
      </w:r>
      <w:r>
        <w:rPr>
          <w:rFonts w:ascii="Times New Roman" w:hAnsi="Times New Roman" w:eastAsia="仿宋_GB2312" w:cs="Times New Roman"/>
          <w:sz w:val="30"/>
          <w:szCs w:val="30"/>
        </w:rPr>
        <w:br/>
      </w:r>
      <w:r>
        <w:rPr>
          <w:rFonts w:ascii="Times New Roman" w:hAnsi="Times New Roman" w:eastAsia="仿宋_GB2312" w:cs="Times New Roman"/>
          <w:sz w:val="30"/>
          <w:szCs w:val="30"/>
        </w:rPr>
        <w:t xml:space="preserve">    2.对于超过收汇额度的B类企业：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交易合规：B类企业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原则上</w:t>
      </w:r>
      <w:r>
        <w:rPr>
          <w:rFonts w:ascii="Times New Roman" w:hAnsi="Times New Roman" w:eastAsia="仿宋_GB2312" w:cs="Times New Roman"/>
          <w:sz w:val="30"/>
          <w:szCs w:val="30"/>
        </w:rPr>
        <w:t>不得签订包含90天以上（不含）收汇条款的出口合同；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不得办理离岸转手买卖</w:t>
      </w:r>
      <w:r>
        <w:rPr>
          <w:rFonts w:ascii="Times New Roman" w:hAnsi="Times New Roman" w:eastAsia="仿宋_GB2312" w:cs="Times New Roman"/>
          <w:sz w:val="30"/>
          <w:szCs w:val="30"/>
        </w:rPr>
        <w:t>外汇收入；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3.对于90天（不含）以上延期收款的B类企业：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交易合规：</w:t>
      </w:r>
      <w:r>
        <w:rPr>
          <w:rFonts w:ascii="Times New Roman" w:hAnsi="Times New Roman" w:eastAsia="仿宋_GB2312" w:cs="Times New Roman"/>
          <w:sz w:val="30"/>
          <w:szCs w:val="30"/>
        </w:rPr>
        <w:t>在分类监管有效期内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，此前导致降级的情况已改善或纠正，</w:t>
      </w:r>
      <w:r>
        <w:rPr>
          <w:rFonts w:ascii="Times New Roman" w:hAnsi="Times New Roman" w:eastAsia="仿宋_GB2312" w:cs="Times New Roman"/>
          <w:sz w:val="30"/>
          <w:szCs w:val="30"/>
        </w:rPr>
        <w:t>且没有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发生法规规定情形</w:t>
      </w:r>
      <w:r>
        <w:rPr>
          <w:rFonts w:ascii="Times New Roman" w:hAnsi="Times New Roman" w:eastAsia="仿宋_GB2312" w:cs="Times New Roman"/>
          <w:sz w:val="30"/>
          <w:szCs w:val="30"/>
        </w:rPr>
        <w:t>的，自列入B类之日起6个月后，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可</w:t>
      </w:r>
      <w:r>
        <w:rPr>
          <w:rFonts w:ascii="Times New Roman" w:hAnsi="Times New Roman" w:eastAsia="仿宋_GB2312" w:cs="Times New Roman"/>
          <w:sz w:val="30"/>
          <w:szCs w:val="30"/>
        </w:rPr>
        <w:t>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外汇局</w:t>
      </w:r>
      <w:r>
        <w:rPr>
          <w:rFonts w:ascii="Times New Roman" w:hAnsi="Times New Roman" w:eastAsia="仿宋_GB2312" w:cs="Times New Roman"/>
          <w:sz w:val="30"/>
          <w:szCs w:val="30"/>
        </w:rPr>
        <w:t>登记办理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该</w:t>
      </w:r>
      <w:r>
        <w:rPr>
          <w:rFonts w:ascii="Times New Roman" w:hAnsi="Times New Roman" w:eastAsia="仿宋_GB2312" w:cs="Times New Roman"/>
          <w:sz w:val="30"/>
          <w:szCs w:val="30"/>
        </w:rPr>
        <w:t>业务。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4.对于超期限或无法原路退汇的企业：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交易合规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5.对于需要将待核查账户内误入的资本项目资金结汇或划出的企业：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交易合规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6.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办理新出现的贸易新业态外汇收入的企业：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交易合规。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禁止性要求：1.申请材料不齐全，不符合法规规定。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2.申请业务不具有真实、合法的交易背景。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九、申请材料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（一）C类企业出口收汇登记申请材料清单</w:t>
      </w:r>
    </w:p>
    <w:tbl>
      <w:tblPr>
        <w:tblStyle w:val="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494"/>
        <w:gridCol w:w="1276"/>
        <w:gridCol w:w="457"/>
        <w:gridCol w:w="819"/>
        <w:gridCol w:w="2934"/>
        <w:gridCol w:w="11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说明需登记的事项和具体内容。对于贸易付汇的退汇收入，应在书面申请中具体说明退汇原因以及退汇同时是否发生货物退运。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对于代理出口业务，代理方为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C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类企业的，应当按规定办理贸易外汇收入登记。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收汇凭证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收入未进待核查账户的，可免于提交。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keepNext/>
              <w:keepLines/>
              <w:spacing w:before="260" w:after="260" w:line="416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1.一般情况（含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，应提交出口合同；2.对于贸易付汇的退汇收入，因错误汇出以外的其他原因产生的，提交原进口合同。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预收货款方式结算时提供；出口贸易融资放款时提供。 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报关单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除信用证、托收、预收货款外其他方式结算的，货物已出口报关的，需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报关单，货物不报关的，可提供运输单据等其他材料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；2.因汇路不畅需要使用外币现钞结算的，办理外币现钞结汇业务登记时应提交；3.发生货物退运而产生贸易付汇的退汇收入时应提供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出口报关单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。 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与金融机构签订的融资协议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办理出口贸易融资放款时应提供。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分立、合并证明文件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因企业分立、合并原因导致出口与收入主体不一致的，应提交相关部门出具的分立、合并证明文件。 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外币现钞入境申报单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因汇路不畅需要使用外币现钞结算的，结汇现钞金额达到规定入境申报金额时，应提供经海关签章的外币现钞入境申报单。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贸易付汇退汇时提供原支付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退汇协议、错汇情况说明等能够证明收汇真实性的材料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（二）超过收汇额度的B类企业出口收汇登记申请材料清单</w:t>
      </w:r>
    </w:p>
    <w:tbl>
      <w:tblPr>
        <w:tblStyle w:val="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717"/>
        <w:gridCol w:w="962"/>
        <w:gridCol w:w="457"/>
        <w:gridCol w:w="931"/>
        <w:gridCol w:w="2447"/>
        <w:gridCol w:w="14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说明为B类企业及具有超过可收汇额度收汇需要。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对于代理业务，代理方为B类企业且可收汇额度不足的，应当按规定办理贸易外汇收入登记。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可收汇额度不足的证明材料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汇凭证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收入未进待核查账户的，可免于提交。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合同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1.一般情况（含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，应提交出口合同；2.对于贸易付汇的退汇收入，因错误汇出以外的其他原因产生的，提交原进口合同。 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发票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预收货款方式结算时提供；出口贸易融资放款时提供。 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与金融机构签订的融资协议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办理出口贸易融资放款时应提供。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报关单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除信用证、托收、预收货款外其他方式结算的，货物已出口报关的，需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报关单，货物不报关的，可提供运输单据等其他材料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；2.因汇路不畅需要使用外币现钞结算的，办理外币现钞结汇业务登记时应提交；3.发生货物退运而产生贸易付汇的退汇收入时应提供。 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分立、合并证明文件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因企业分立、合并原因导致出口与收入主体不一致的，应提交相关部门出具的分立、合并证明文件。 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外币现钞入境申报单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因汇路不畅需要使用外币现钞结算的，结汇现钞金额达到规定入境申报金额时，应提供经海关签章的外币现钞入境申报单。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贸易付汇退汇时提供原支付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退汇协议、错汇情况说明等能够证明收汇真实性的材料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（三）90天以上延期收款的B类企业出口收汇登记申请材料清单</w:t>
      </w:r>
    </w:p>
    <w:tbl>
      <w:tblPr>
        <w:tblStyle w:val="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919"/>
        <w:gridCol w:w="1985"/>
        <w:gridCol w:w="567"/>
        <w:gridCol w:w="850"/>
        <w:gridCol w:w="1843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说明需登记的事项和具体内容。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出口合同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出口货物报关单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货物不报关的，可提供运输单据等其他材料</w:t>
            </w:r>
          </w:p>
        </w:tc>
        <w:tc>
          <w:tcPr>
            <w:tcW w:w="992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需90天以上延期收款的证明材料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b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（四）超期限或无法原路退汇的企业收汇登记申请材料清单</w:t>
      </w:r>
    </w:p>
    <w:tbl>
      <w:tblPr>
        <w:tblStyle w:val="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919"/>
        <w:gridCol w:w="993"/>
        <w:gridCol w:w="850"/>
        <w:gridCol w:w="992"/>
        <w:gridCol w:w="1560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说明需要登记的具体内容，超期限或无法原路退汇的原因，退汇同时是否发生货物退运。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超期限或无法原路退汇的证明材料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原支出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收入未进待核查账户的，可免于提交。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keepNext/>
              <w:keepLines/>
              <w:spacing w:before="260" w:after="260" w:line="416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报关单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发生货物退运时提供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出口报关单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原进口合同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因错误汇出以外其他原因产生的贸易付汇退汇，提供原进口合同。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（五）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错汇入</w:t>
      </w:r>
      <w:r>
        <w:rPr>
          <w:rFonts w:ascii="Times New Roman" w:hAnsi="Times New Roman" w:eastAsia="仿宋_GB2312" w:cs="Times New Roman"/>
          <w:sz w:val="30"/>
          <w:szCs w:val="30"/>
        </w:rPr>
        <w:t>待核查账户的资本项目资金结汇或划出登记申请材料清单</w:t>
      </w:r>
    </w:p>
    <w:tbl>
      <w:tblPr>
        <w:tblStyle w:val="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211"/>
        <w:gridCol w:w="1417"/>
        <w:gridCol w:w="567"/>
        <w:gridCol w:w="851"/>
        <w:gridCol w:w="2409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说明需登记的事项和具体内容以及资本项目外汇账户账号。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收汇凭证和资金来源证明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材料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409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（六）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新出现的贸易新业态出口收汇登记</w:t>
      </w:r>
      <w:r>
        <w:rPr>
          <w:rFonts w:ascii="Times New Roman" w:hAnsi="Times New Roman" w:eastAsia="仿宋_GB2312" w:cs="Times New Roman"/>
          <w:sz w:val="30"/>
          <w:szCs w:val="30"/>
        </w:rPr>
        <w:t>申请材料清单</w:t>
      </w:r>
    </w:p>
    <w:tbl>
      <w:tblPr>
        <w:tblStyle w:val="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211"/>
        <w:gridCol w:w="1417"/>
        <w:gridCol w:w="709"/>
        <w:gridCol w:w="1134"/>
        <w:gridCol w:w="1701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明登记业务真实性和合理性的材料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701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十、申请接受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申请人可通过国家外汇管理局分支局提交材料。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十一、基本办理流程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（一）申请人提交申请；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（二）决定是否予以受理；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（三）不属于本机构受理范围的，出具不予受理行政许可通知书； 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（四）属于本机构受理范围的，审核申请材料是否齐全或符合法定形式；材料不全或不符合法定形式的，一次性告知补正材料，并出具行政许可补正通知书；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（五）材料齐全的，依法予以受理，并出具行政许可受理通知书；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（六）不予许可的，做出不予许可的行政许可书面决定并说明理由；予以许可的，出具贸易外汇业务登记表。</w:t>
      </w:r>
    </w:p>
    <w:p>
      <w:pPr>
        <w:tabs>
          <w:tab w:val="left" w:pos="615"/>
        </w:tabs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十二、办理方式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一般程序：申请、受理、审查、决定。</w:t>
      </w:r>
    </w:p>
    <w:p>
      <w:pPr>
        <w:tabs>
          <w:tab w:val="left" w:pos="615"/>
        </w:tabs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十三、审批时限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十四、审批收费依据及标准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十五、审批结果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外汇局向申请企业出具贸易外汇业务登记表。</w:t>
      </w:r>
    </w:p>
    <w:p>
      <w:pPr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十六、结果送达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通过电话等方式通知申请企业，并通过现场领取或邮寄等方式将结果送达。</w:t>
      </w:r>
    </w:p>
    <w:p>
      <w:pPr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十七、申请人权利和义务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十八、咨询途径、监督和投诉、公开查询等由所在地分支局办理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青海省分局：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咨询电话：0971—6126143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监督和投诉电话：0971—6126148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海东市中心支局：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咨询电话：0972—8685145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监督和投诉电话：0972—8687008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海西州中心支局：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咨询电话：0977—8205400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监督和投诉电话：0977—8220142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格尔木市支局：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咨询电话：0979—8418430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监督和投诉电话：0979—8412176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向各地外汇局进行咨询、进程查询、监督和投诉等可通过各地外汇局官方互联网站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咨询反馈功能</w:t>
      </w:r>
      <w:r>
        <w:rPr>
          <w:rFonts w:ascii="Times New Roman" w:hAnsi="Times New Roman" w:eastAsia="仿宋_GB2312" w:cs="Times New Roman"/>
          <w:sz w:val="30"/>
          <w:szCs w:val="30"/>
        </w:rPr>
        <w:t>进行。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青海省分局互联网站网址：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instrText xml:space="preserve"> HYPERLINK "http://www.safe.gov.cn/qinghai/index.html。" </w:instrTex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fldChar w:fldCharType="separate"/>
      </w:r>
      <w:r>
        <w:rPr>
          <w:rStyle w:val="6"/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www.safe.gov.cn/qinghai/index.html。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fldChar w:fldCharType="end"/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对行政许可进程信息进行查询，也可登陆国家外汇管理局政务服务网上办理系统（通过国家外汇管理局“数字外管”平台：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instrText xml:space="preserve"> HYPERLINK "http://zwfw.safe.gov.cn/asone/）" </w:instrTex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fldChar w:fldCharType="separate"/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http://zwfw.safe.gov.cn/asone/）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fldChar w:fldCharType="end"/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，或</w:t>
      </w:r>
      <w:r>
        <w:rPr>
          <w:rFonts w:ascii="Times New Roman" w:hAnsi="Times New Roman" w:eastAsia="仿宋_GB2312" w:cs="Times New Roman"/>
          <w:sz w:val="30"/>
          <w:szCs w:val="30"/>
          <w:lang w:val="en-US" w:eastAsia="zh-CN"/>
        </w:rPr>
        <w:t>通过微信扫码国家政务服务平台“外汇政务服务”二维码快捷查询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：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i w:val="0"/>
          <w:snapToGrid w:val="0"/>
          <w:color w:val="000000"/>
          <w:kern w:val="0"/>
          <w:sz w:val="24"/>
          <w:szCs w:val="24"/>
          <w:u w:val="none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i w:val="0"/>
          <w:snapToGrid w:val="0"/>
          <w:color w:val="000000"/>
          <w:kern w:val="0"/>
          <w:sz w:val="24"/>
          <w:szCs w:val="24"/>
          <w:u w:val="none"/>
          <w:lang w:val="en-US" w:eastAsia="zh-CN" w:bidi="ar-SA"/>
        </w:rPr>
        <w:instrText xml:space="preserve">INCLUDEPICTURE \d "C:\\Users\\zhangqian\\Documents\\My PBC IM\\21474886701899\\images\\4136C81620F6051F3AEC01B3596866FA.jpg" \* MERGEFORMATINET </w:instrText>
      </w:r>
      <w:r>
        <w:rPr>
          <w:rFonts w:hint="eastAsia" w:ascii="宋体" w:hAnsi="宋体" w:eastAsia="宋体" w:cs="宋体"/>
          <w:i w:val="0"/>
          <w:snapToGrid w:val="0"/>
          <w:color w:val="000000"/>
          <w:kern w:val="0"/>
          <w:sz w:val="24"/>
          <w:szCs w:val="24"/>
          <w:u w:val="none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i w:val="0"/>
          <w:snapToGrid w:val="0"/>
          <w:color w:val="000000"/>
          <w:kern w:val="0"/>
          <w:sz w:val="24"/>
          <w:szCs w:val="24"/>
          <w:u w:val="none"/>
          <w:lang w:val="en-US" w:eastAsia="zh-CN" w:bidi="ar-SA"/>
        </w:rPr>
        <w:pict>
          <v:shape id="图片 1025" o:spid="_x0000_s1027" type="#_x0000_t75" style="height:165pt;width:177pt;rotation:0f;" o:ole="f" fillcolor="#FFFFFF" filled="f" o:preferrelative="t" stroked="f" coordorigin="0,0" coordsize="21600,21600">
            <v:fill on="f" color2="#FFFFFF" focus="0%"/>
            <v:imagedata gain="65536f" blacklevel="0f" gamma="0" o:title="IMG_256" r:id="rId8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宋体" w:eastAsia="宋体" w:cs="宋体"/>
          <w:i w:val="0"/>
          <w:snapToGrid w:val="0"/>
          <w:color w:val="000000"/>
          <w:kern w:val="0"/>
          <w:sz w:val="24"/>
          <w:szCs w:val="24"/>
          <w:u w:val="none"/>
          <w:lang w:val="en-US" w:eastAsia="zh-CN" w:bidi="ar-SA"/>
        </w:rPr>
        <w:fldChar w:fldCharType="end"/>
      </w:r>
    </w:p>
    <w:p>
      <w:pPr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十九、事项审查类型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前审后批。</w:t>
      </w:r>
    </w:p>
    <w:p>
      <w:pPr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二十、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受理</w:t>
      </w:r>
      <w:r>
        <w:rPr>
          <w:rFonts w:ascii="Times New Roman" w:hAnsi="Times New Roman" w:eastAsia="黑体" w:cs="Times New Roman"/>
          <w:sz w:val="30"/>
          <w:szCs w:val="30"/>
        </w:rPr>
        <w:t>地址和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受理</w:t>
      </w:r>
      <w:r>
        <w:rPr>
          <w:rFonts w:ascii="Times New Roman" w:hAnsi="Times New Roman" w:eastAsia="黑体" w:cs="Times New Roman"/>
          <w:sz w:val="30"/>
          <w:szCs w:val="30"/>
        </w:rPr>
        <w:t>时间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青海省分局：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受理地址：青海省西宁市昆仑路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3号，中国人民银行西宁中心支行综合办公楼1506室。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受理时间：工作日，上午：8:30-11:30；下午：14:00-17:30。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海东市中心支局：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受理地址：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青海省海东市平安区乐都路3号，中国人民银行海东市中心支行综合楼4楼外汇管理科。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受理时间：工作日，上午：8:30-12:00；下午：14:00-17:30。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海西州中心支局：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受理地址：青海省海西州德令哈市长江路18号，中国人民银行海西州中心支行410室。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受理时间：工作日，上午：8:30-11:30；下午：14:00-17:30。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格尔木市支局：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受理地址：青海省海西蒙古族藏族自治州格尔木市柴达木中路20号，中国人民银行格尔木市支行406室。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受理时间：工作日，上午：8:30-11:30；下午：14:00-17:30。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二十一、常见问题解答和错误示例。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《贸易外汇业务登记表》的有效期是多久？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《贸易外汇业务登记表》有效期原则上不超过1个月。</w:t>
      </w:r>
    </w:p>
    <w:p>
      <w:pPr>
        <w:widowControl/>
        <w:spacing w:line="384" w:lineRule="auto"/>
        <w:ind w:firstLine="600" w:firstLineChars="2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错误示例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企业在填写申请书时，要写明具体的登记业务类型，如B类企业办理90天以上延期收款登记，注意不要只填写B类企业登记业务。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5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附录一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Flowchart: Terminator 21" o:spid="_x0000_s1028" type="#_x0000_t116" style="position:absolute;left:0;margin-left:-12.9pt;margin-top:26.45pt;height:73.8pt;width:101.35pt;rotation:0f;z-index:25165824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申请人提出申请，并提交材料</w:t>
                  </w:r>
                </w:p>
              </w:txbxContent>
            </v:textbox>
          </v:shape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0" o:spid="_x0000_s1029" type="#_x0000_t32" style="position:absolute;left:0;margin-left:39.75pt;margin-top:6.65pt;height:54.9pt;width:0.85pt;rotation:0f;z-index:251667456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4" o:spid="_x0000_s1030" type="#_x0000_t32" style="position:absolute;left:0;flip:x;margin-left:41.45pt;margin-top:21.05pt;height:0.05pt;width:232.15pt;rotation:0f;z-index:251671552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23" o:spid="_x0000_s1031" style="position:absolute;left:0;margin-left:273.6pt;margin-top:1.6pt;height:33.7pt;width:146.45pt;rotation:0f;z-index:25166028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ect>
        </w:pict>
      </w: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Flowchart: Terminator 28" o:spid="_x0000_s1032" type="#_x0000_t116" style="position:absolute;left:0;margin-left:216.4pt;margin-top:371.2pt;height:53.15pt;width:180.85pt;rotation:0f;z-index:251665408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依法作出不予许可决定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Flowchart: Terminator 29" o:spid="_x0000_s1033" type="#_x0000_t116" style="position:absolute;left:0;margin-left:-3.1pt;margin-top:371.2pt;height:52.7pt;width:205.8pt;rotation:0f;z-index:25166643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予以许可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7" o:spid="_x0000_s1034" type="#_x0000_t32" style="position:absolute;left:0;margin-left:122.1pt;margin-top:318.35pt;height:52.85pt;width:0.05pt;rotation:0f;z-index:251674624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5" o:spid="_x0000_s1035" type="#_x0000_t32" style="position:absolute;left:0;margin-left:179.6pt;margin-top:233pt;height:30.55pt;width:0.05pt;rotation:0f;z-index:251672576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26" o:spid="_x0000_s1036" style="position:absolute;left:0;margin-left:81.7pt;margin-top:163.15pt;height:69.85pt;width:210.9pt;rotation:0f;z-index:25166336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材料齐全的，依法予以受理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2" o:spid="_x0000_s1037" type="#_x0000_t32" style="position:absolute;left:0;margin-left:81.7pt;margin-top:109.6pt;height:0.05pt;width:70.25pt;rotation:0f;z-index:251669504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1" o:spid="_x0000_s1038" type="#_x0000_t32" style="position:absolute;left:0;margin-left:88.45pt;margin-top:61.45pt;height:0.05pt;width:63.5pt;rotation:0f;z-index:251668480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Diamond 22" o:spid="_x0000_s1039" type="#_x0000_t4" style="position:absolute;left:0;margin-left:-41.75pt;margin-top:30.35pt;height:106.45pt;width:163.9pt;rotation:0f;z-index:251659264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接件并于5个工作日内作出是否受理决定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6" o:spid="_x0000_s1040" type="#_x0000_t32" style="position:absolute;left:0;margin-left:247.8pt;margin-top:318.35pt;height:52.85pt;width:0.85pt;rotation:0f;z-index:251673600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Diamond 27" o:spid="_x0000_s1041" type="#_x0000_t4" style="position:absolute;left:0;margin-left:93.35pt;margin-top:263.55pt;height:85.4pt;width:176.8pt;rotation:0f;z-index:251664384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审查报批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" o:spid="_x0000_s1042" type="#_x0000_t32" style="position:absolute;left:0;margin-left:40.6pt;margin-top:132.2pt;height:50.65pt;width:0.05pt;rotation:0f;z-index:251675648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" o:spid="_x0000_s1043" type="#_x0000_t32" style="position:absolute;left:0;margin-left:40.6pt;margin-top:182.85pt;height:0.05pt;width:41.1pt;rotation:0f;z-index:251676672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25" o:spid="_x0000_s1044" style="position:absolute;left:0;margin-left:151.95pt;margin-top:91.5pt;height:45.3pt;width:268.1pt;rotation:0f;z-index:25166233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依法不予受理的，作出不予受理决定，出具不予受理通知书</w:t>
                  </w:r>
                </w:p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3" o:spid="_x0000_s1045" type="#_x0000_t32" style="position:absolute;left:0;flip:y;margin-left:345.35pt;margin-top:4.1pt;height:44.75pt;width:0.05pt;rotation:0f;z-index:251670528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24" o:spid="_x0000_s1046" style="position:absolute;left:0;margin-left:151.95pt;margin-top:48.85pt;height:25pt;width:268.1pt;rotation:0f;z-index:25166131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材料不全或不符合法定形式的，一次性告知补正材料</w:t>
                  </w:r>
                </w:p>
              </w:txbxContent>
            </v:textbox>
          </v:rect>
        </w:pict>
      </w: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附录二（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材料示范文本</w:t>
      </w:r>
      <w:r>
        <w:rPr>
          <w:rFonts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kern w:val="0"/>
          <w:sz w:val="30"/>
          <w:szCs w:val="30"/>
        </w:rPr>
      </w:pP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kern w:val="0"/>
          <w:sz w:val="30"/>
          <w:szCs w:val="30"/>
        </w:rPr>
        <w:t>申请书</w:t>
      </w: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kern w:val="0"/>
          <w:sz w:val="30"/>
          <w:szCs w:val="30"/>
        </w:rPr>
      </w:pP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国家外汇管理局XX分（支）局：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br/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　　一、本次申请业务的基本情况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包括但不限于：业务基本情况介绍、业务类别、结算方式、经办金融机构名称、币种和金额等。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二、申请事项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包括但不限于：需登记的事项，原因（如按法规规定需说明原因的）等其他内容。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三、其他需说明的情况（如无，可不填写）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  <w:highlight w:val="yellow"/>
        </w:rPr>
      </w:pP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p>
      <w:pPr>
        <w:widowControl/>
        <w:spacing w:line="384" w:lineRule="auto"/>
        <w:ind w:firstLine="585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br/>
      </w:r>
    </w:p>
    <w:p>
      <w:pPr>
        <w:widowControl/>
        <w:spacing w:line="384" w:lineRule="auto"/>
        <w:ind w:right="600"/>
        <w:jc w:val="center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 xml:space="preserve">                                 单位（盖章）：</w:t>
      </w:r>
    </w:p>
    <w:p>
      <w:pPr>
        <w:ind w:right="600"/>
        <w:jc w:val="center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 xml:space="preserve">                                       年  月  日</w:t>
      </w: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71EB8"/>
    <w:rsid w:val="00003D69"/>
    <w:rsid w:val="00007167"/>
    <w:rsid w:val="000112DB"/>
    <w:rsid w:val="00013797"/>
    <w:rsid w:val="00023162"/>
    <w:rsid w:val="0002464A"/>
    <w:rsid w:val="00033020"/>
    <w:rsid w:val="00034D5D"/>
    <w:rsid w:val="00041BE4"/>
    <w:rsid w:val="00045D06"/>
    <w:rsid w:val="000638EC"/>
    <w:rsid w:val="00064189"/>
    <w:rsid w:val="00073221"/>
    <w:rsid w:val="00076826"/>
    <w:rsid w:val="000843E0"/>
    <w:rsid w:val="000854FC"/>
    <w:rsid w:val="00087A9B"/>
    <w:rsid w:val="00087E73"/>
    <w:rsid w:val="0009522D"/>
    <w:rsid w:val="000C068E"/>
    <w:rsid w:val="000D6FD9"/>
    <w:rsid w:val="000F1CA6"/>
    <w:rsid w:val="000F2169"/>
    <w:rsid w:val="000F3004"/>
    <w:rsid w:val="000F3F2E"/>
    <w:rsid w:val="001011EC"/>
    <w:rsid w:val="0010248C"/>
    <w:rsid w:val="00117A1A"/>
    <w:rsid w:val="00117DE2"/>
    <w:rsid w:val="00122C3A"/>
    <w:rsid w:val="00127C13"/>
    <w:rsid w:val="00142554"/>
    <w:rsid w:val="00144D91"/>
    <w:rsid w:val="0014656F"/>
    <w:rsid w:val="0014747A"/>
    <w:rsid w:val="0017569A"/>
    <w:rsid w:val="001846F8"/>
    <w:rsid w:val="001A3F88"/>
    <w:rsid w:val="001B7D6F"/>
    <w:rsid w:val="001D5EEB"/>
    <w:rsid w:val="001E6D6F"/>
    <w:rsid w:val="0023196A"/>
    <w:rsid w:val="00233898"/>
    <w:rsid w:val="00236980"/>
    <w:rsid w:val="00243FAD"/>
    <w:rsid w:val="00245151"/>
    <w:rsid w:val="002601FB"/>
    <w:rsid w:val="00266BD1"/>
    <w:rsid w:val="00267534"/>
    <w:rsid w:val="002813E0"/>
    <w:rsid w:val="002831EF"/>
    <w:rsid w:val="00283E51"/>
    <w:rsid w:val="002A77BC"/>
    <w:rsid w:val="002D0308"/>
    <w:rsid w:val="002D1698"/>
    <w:rsid w:val="002D43AB"/>
    <w:rsid w:val="002F0411"/>
    <w:rsid w:val="002F43D0"/>
    <w:rsid w:val="003020D3"/>
    <w:rsid w:val="00314861"/>
    <w:rsid w:val="00316276"/>
    <w:rsid w:val="00321DEE"/>
    <w:rsid w:val="00324518"/>
    <w:rsid w:val="0032574B"/>
    <w:rsid w:val="00325CFC"/>
    <w:rsid w:val="00345FC7"/>
    <w:rsid w:val="00355EB5"/>
    <w:rsid w:val="003645B4"/>
    <w:rsid w:val="00364F5D"/>
    <w:rsid w:val="0036739D"/>
    <w:rsid w:val="003719CF"/>
    <w:rsid w:val="00380EE5"/>
    <w:rsid w:val="00395346"/>
    <w:rsid w:val="003A219D"/>
    <w:rsid w:val="003A2508"/>
    <w:rsid w:val="003A6408"/>
    <w:rsid w:val="003B1CD4"/>
    <w:rsid w:val="003C3108"/>
    <w:rsid w:val="003F2446"/>
    <w:rsid w:val="00407A9E"/>
    <w:rsid w:val="00411943"/>
    <w:rsid w:val="004162EF"/>
    <w:rsid w:val="00424D2A"/>
    <w:rsid w:val="00432338"/>
    <w:rsid w:val="00432CE2"/>
    <w:rsid w:val="00437CAF"/>
    <w:rsid w:val="004530BC"/>
    <w:rsid w:val="00462A52"/>
    <w:rsid w:val="0047094B"/>
    <w:rsid w:val="00476AA4"/>
    <w:rsid w:val="004818C1"/>
    <w:rsid w:val="004822E2"/>
    <w:rsid w:val="00482BB3"/>
    <w:rsid w:val="00483627"/>
    <w:rsid w:val="00491602"/>
    <w:rsid w:val="004A09E7"/>
    <w:rsid w:val="004A1143"/>
    <w:rsid w:val="004A2DF9"/>
    <w:rsid w:val="004A3554"/>
    <w:rsid w:val="004A7D6A"/>
    <w:rsid w:val="004B1782"/>
    <w:rsid w:val="004B3825"/>
    <w:rsid w:val="004C0D11"/>
    <w:rsid w:val="004C1FDE"/>
    <w:rsid w:val="004C35F1"/>
    <w:rsid w:val="004C567D"/>
    <w:rsid w:val="004D441E"/>
    <w:rsid w:val="004E0089"/>
    <w:rsid w:val="004E0B64"/>
    <w:rsid w:val="004F0AEC"/>
    <w:rsid w:val="004F6E0E"/>
    <w:rsid w:val="004F7E6F"/>
    <w:rsid w:val="00500324"/>
    <w:rsid w:val="0050033F"/>
    <w:rsid w:val="00514F0A"/>
    <w:rsid w:val="00515817"/>
    <w:rsid w:val="0052044D"/>
    <w:rsid w:val="00520D17"/>
    <w:rsid w:val="00537FA6"/>
    <w:rsid w:val="00551E6E"/>
    <w:rsid w:val="00561387"/>
    <w:rsid w:val="00574E67"/>
    <w:rsid w:val="0057646C"/>
    <w:rsid w:val="00583B2D"/>
    <w:rsid w:val="00583E2D"/>
    <w:rsid w:val="00586B3E"/>
    <w:rsid w:val="005909C6"/>
    <w:rsid w:val="005A5D7C"/>
    <w:rsid w:val="005A7F81"/>
    <w:rsid w:val="005B25E1"/>
    <w:rsid w:val="005B4A1F"/>
    <w:rsid w:val="005B56A0"/>
    <w:rsid w:val="005C21E8"/>
    <w:rsid w:val="005D0372"/>
    <w:rsid w:val="005D05BD"/>
    <w:rsid w:val="005E757C"/>
    <w:rsid w:val="005F1543"/>
    <w:rsid w:val="005F1C2E"/>
    <w:rsid w:val="00602C26"/>
    <w:rsid w:val="006113EF"/>
    <w:rsid w:val="00614813"/>
    <w:rsid w:val="00620265"/>
    <w:rsid w:val="00621703"/>
    <w:rsid w:val="0062773A"/>
    <w:rsid w:val="006320E6"/>
    <w:rsid w:val="00634B8A"/>
    <w:rsid w:val="00635658"/>
    <w:rsid w:val="00636FC6"/>
    <w:rsid w:val="00637C20"/>
    <w:rsid w:val="00647C18"/>
    <w:rsid w:val="006631F5"/>
    <w:rsid w:val="00671EB8"/>
    <w:rsid w:val="00672689"/>
    <w:rsid w:val="00675EA0"/>
    <w:rsid w:val="0068023C"/>
    <w:rsid w:val="00680D6F"/>
    <w:rsid w:val="006907E6"/>
    <w:rsid w:val="006916C1"/>
    <w:rsid w:val="0069368F"/>
    <w:rsid w:val="006B2041"/>
    <w:rsid w:val="006C0B0B"/>
    <w:rsid w:val="006C14A4"/>
    <w:rsid w:val="006C2B4B"/>
    <w:rsid w:val="006C453E"/>
    <w:rsid w:val="006C5B4A"/>
    <w:rsid w:val="006D26B6"/>
    <w:rsid w:val="006D4FE7"/>
    <w:rsid w:val="006D6429"/>
    <w:rsid w:val="006E17D9"/>
    <w:rsid w:val="006E787B"/>
    <w:rsid w:val="006F5ED2"/>
    <w:rsid w:val="0070383F"/>
    <w:rsid w:val="00703BDC"/>
    <w:rsid w:val="00703EC1"/>
    <w:rsid w:val="00704602"/>
    <w:rsid w:val="007131DD"/>
    <w:rsid w:val="00713F5A"/>
    <w:rsid w:val="007170E3"/>
    <w:rsid w:val="0071757F"/>
    <w:rsid w:val="00721780"/>
    <w:rsid w:val="00734E65"/>
    <w:rsid w:val="007434D5"/>
    <w:rsid w:val="00747EDC"/>
    <w:rsid w:val="007523EB"/>
    <w:rsid w:val="007526DE"/>
    <w:rsid w:val="007607F6"/>
    <w:rsid w:val="00783903"/>
    <w:rsid w:val="00792AF3"/>
    <w:rsid w:val="00794FCC"/>
    <w:rsid w:val="007975CB"/>
    <w:rsid w:val="007A21D7"/>
    <w:rsid w:val="007B6376"/>
    <w:rsid w:val="007C24CC"/>
    <w:rsid w:val="007C52D9"/>
    <w:rsid w:val="007D025D"/>
    <w:rsid w:val="007D50B1"/>
    <w:rsid w:val="007D573B"/>
    <w:rsid w:val="007E3935"/>
    <w:rsid w:val="007E45F2"/>
    <w:rsid w:val="007F5B2E"/>
    <w:rsid w:val="008037CD"/>
    <w:rsid w:val="00807846"/>
    <w:rsid w:val="00810F3A"/>
    <w:rsid w:val="00820E53"/>
    <w:rsid w:val="00832DED"/>
    <w:rsid w:val="00835303"/>
    <w:rsid w:val="008364FD"/>
    <w:rsid w:val="0084163D"/>
    <w:rsid w:val="00845F7C"/>
    <w:rsid w:val="00873440"/>
    <w:rsid w:val="00877AC2"/>
    <w:rsid w:val="00884F8B"/>
    <w:rsid w:val="00886866"/>
    <w:rsid w:val="008A0E84"/>
    <w:rsid w:val="008A1B8A"/>
    <w:rsid w:val="008A6C96"/>
    <w:rsid w:val="008C4140"/>
    <w:rsid w:val="008C55E5"/>
    <w:rsid w:val="008D41D8"/>
    <w:rsid w:val="008E3FED"/>
    <w:rsid w:val="008F43AC"/>
    <w:rsid w:val="00915296"/>
    <w:rsid w:val="00915B4D"/>
    <w:rsid w:val="00917FEE"/>
    <w:rsid w:val="00927EB6"/>
    <w:rsid w:val="0094126A"/>
    <w:rsid w:val="00955896"/>
    <w:rsid w:val="00962EB7"/>
    <w:rsid w:val="009654D2"/>
    <w:rsid w:val="00967AC7"/>
    <w:rsid w:val="009834F4"/>
    <w:rsid w:val="00992C6C"/>
    <w:rsid w:val="00993564"/>
    <w:rsid w:val="009A2E4F"/>
    <w:rsid w:val="009A7EAC"/>
    <w:rsid w:val="009B7903"/>
    <w:rsid w:val="009C3A99"/>
    <w:rsid w:val="009D102F"/>
    <w:rsid w:val="009D7ED7"/>
    <w:rsid w:val="00A01255"/>
    <w:rsid w:val="00A07E31"/>
    <w:rsid w:val="00A1244F"/>
    <w:rsid w:val="00A171AC"/>
    <w:rsid w:val="00A2375D"/>
    <w:rsid w:val="00A4125B"/>
    <w:rsid w:val="00A42A41"/>
    <w:rsid w:val="00A42F74"/>
    <w:rsid w:val="00A47DDA"/>
    <w:rsid w:val="00A53B54"/>
    <w:rsid w:val="00A5574C"/>
    <w:rsid w:val="00A60CB9"/>
    <w:rsid w:val="00A6408D"/>
    <w:rsid w:val="00A647CA"/>
    <w:rsid w:val="00A84E5F"/>
    <w:rsid w:val="00A93587"/>
    <w:rsid w:val="00A95315"/>
    <w:rsid w:val="00A95395"/>
    <w:rsid w:val="00A965AD"/>
    <w:rsid w:val="00AA5E29"/>
    <w:rsid w:val="00AC252B"/>
    <w:rsid w:val="00AD27FE"/>
    <w:rsid w:val="00AD501B"/>
    <w:rsid w:val="00AD78B8"/>
    <w:rsid w:val="00AE0710"/>
    <w:rsid w:val="00AE410D"/>
    <w:rsid w:val="00AE5C61"/>
    <w:rsid w:val="00B001AA"/>
    <w:rsid w:val="00B005EA"/>
    <w:rsid w:val="00B05057"/>
    <w:rsid w:val="00B07771"/>
    <w:rsid w:val="00B12AA8"/>
    <w:rsid w:val="00B304B6"/>
    <w:rsid w:val="00B3189F"/>
    <w:rsid w:val="00B4034D"/>
    <w:rsid w:val="00B42C07"/>
    <w:rsid w:val="00B50A4C"/>
    <w:rsid w:val="00B54F3E"/>
    <w:rsid w:val="00B555D0"/>
    <w:rsid w:val="00B6405A"/>
    <w:rsid w:val="00B905CB"/>
    <w:rsid w:val="00B910A4"/>
    <w:rsid w:val="00B91CE8"/>
    <w:rsid w:val="00B94D8E"/>
    <w:rsid w:val="00B954E6"/>
    <w:rsid w:val="00BB3263"/>
    <w:rsid w:val="00BC16B5"/>
    <w:rsid w:val="00BC2FB9"/>
    <w:rsid w:val="00BD2855"/>
    <w:rsid w:val="00BD4999"/>
    <w:rsid w:val="00BE4E85"/>
    <w:rsid w:val="00BF792B"/>
    <w:rsid w:val="00C364C4"/>
    <w:rsid w:val="00C40F7C"/>
    <w:rsid w:val="00C44C5E"/>
    <w:rsid w:val="00C50307"/>
    <w:rsid w:val="00C72817"/>
    <w:rsid w:val="00C729E5"/>
    <w:rsid w:val="00C8286E"/>
    <w:rsid w:val="00C832ED"/>
    <w:rsid w:val="00C86D43"/>
    <w:rsid w:val="00CA03A7"/>
    <w:rsid w:val="00CA35C5"/>
    <w:rsid w:val="00CA75F2"/>
    <w:rsid w:val="00CA7820"/>
    <w:rsid w:val="00CB08E2"/>
    <w:rsid w:val="00CB6620"/>
    <w:rsid w:val="00CD5D21"/>
    <w:rsid w:val="00CE1CA7"/>
    <w:rsid w:val="00CE55B2"/>
    <w:rsid w:val="00CF1AC9"/>
    <w:rsid w:val="00CF2E7F"/>
    <w:rsid w:val="00CF4084"/>
    <w:rsid w:val="00CF43CC"/>
    <w:rsid w:val="00CF5146"/>
    <w:rsid w:val="00D048E6"/>
    <w:rsid w:val="00D11CC5"/>
    <w:rsid w:val="00D20027"/>
    <w:rsid w:val="00D32AA4"/>
    <w:rsid w:val="00D42AD8"/>
    <w:rsid w:val="00D5358A"/>
    <w:rsid w:val="00D57620"/>
    <w:rsid w:val="00D65A81"/>
    <w:rsid w:val="00D83A78"/>
    <w:rsid w:val="00D9381A"/>
    <w:rsid w:val="00D9515A"/>
    <w:rsid w:val="00D95A56"/>
    <w:rsid w:val="00DA1926"/>
    <w:rsid w:val="00DC4EDB"/>
    <w:rsid w:val="00DD25EE"/>
    <w:rsid w:val="00DD676B"/>
    <w:rsid w:val="00DE0816"/>
    <w:rsid w:val="00DE296F"/>
    <w:rsid w:val="00DF5EE5"/>
    <w:rsid w:val="00DF64F7"/>
    <w:rsid w:val="00E01981"/>
    <w:rsid w:val="00E14026"/>
    <w:rsid w:val="00E312D2"/>
    <w:rsid w:val="00E419F8"/>
    <w:rsid w:val="00E45B6E"/>
    <w:rsid w:val="00E51966"/>
    <w:rsid w:val="00E5653C"/>
    <w:rsid w:val="00E640E0"/>
    <w:rsid w:val="00E671EE"/>
    <w:rsid w:val="00E85FE2"/>
    <w:rsid w:val="00EA354F"/>
    <w:rsid w:val="00EB335E"/>
    <w:rsid w:val="00EC4864"/>
    <w:rsid w:val="00ED43D9"/>
    <w:rsid w:val="00ED7EFA"/>
    <w:rsid w:val="00EE1282"/>
    <w:rsid w:val="00EF22E8"/>
    <w:rsid w:val="00EF5EC4"/>
    <w:rsid w:val="00F403B9"/>
    <w:rsid w:val="00F42D9C"/>
    <w:rsid w:val="00F51FA1"/>
    <w:rsid w:val="00F520C8"/>
    <w:rsid w:val="00F53DD0"/>
    <w:rsid w:val="00F5649B"/>
    <w:rsid w:val="00F64F72"/>
    <w:rsid w:val="00F6519F"/>
    <w:rsid w:val="00F84C71"/>
    <w:rsid w:val="00FA5383"/>
    <w:rsid w:val="00FB6597"/>
    <w:rsid w:val="00FF501B"/>
    <w:rsid w:val="0ABF298B"/>
    <w:rsid w:val="12B25D85"/>
    <w:rsid w:val="18E55588"/>
    <w:rsid w:val="33662613"/>
    <w:rsid w:val="41BA2FDF"/>
    <w:rsid w:val="46F21DF5"/>
    <w:rsid w:val="4DA5167C"/>
    <w:rsid w:val="60B8010D"/>
    <w:rsid w:val="6E0E2AF3"/>
    <w:rsid w:val="790E0F09"/>
    <w:rsid w:val="7E61244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Straight Connector 30"/>
        <o:r id="V:Rule2" type="connector" idref="#Straight Connector 34"/>
        <o:r id="V:Rule3" type="connector" idref="#Straight Connector 37"/>
        <o:r id="V:Rule4" type="connector" idref="#Straight Connector 35"/>
        <o:r id="V:Rule5" type="connector" idref="#Straight Connector 32"/>
        <o:r id="V:Rule6" type="connector" idref="#Straight Connector 31"/>
        <o:r id="V:Rule7" type="connector" idref="#Straight Connector 36"/>
        <o:r id="V:Rule8" type="connector" idref="#Straight Connector 38"/>
        <o:r id="V:Rule9" type="connector" idref="#Straight Connector 39"/>
        <o:r id="V:Rule10" type="connector" idref="#Straight Connector 33"/>
      </o:rules>
    </o:shapelayout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table" w:styleId="8">
    <w:name w:val="Table Grid"/>
    <w:basedOn w:val="7"/>
    <w:uiPriority w:val="59"/>
    <w:pPr/>
    <w:tblPr>
      <w:tblStyle w:val="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735</Words>
  <Characters>4190</Characters>
  <Lines>34</Lines>
  <Paragraphs>9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2020-04-22T08:12:00Z</dcterms:created>
  <dc:creator>吴</dc:creator>
  <cp:lastModifiedBy>张谦</cp:lastModifiedBy>
  <cp:lastPrinted>2021-02-02T06:15:00Z</cp:lastPrinted>
  <dcterms:modified xsi:type="dcterms:W3CDTF">2021-02-07T07:48:01Z</dcterms:modified>
  <dc:title>编号：57002-2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