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11 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</w:t>
      </w:r>
      <w:r>
        <w:rPr>
          <w:rFonts w:hint="eastAsia" w:ascii="Times New Roman" w:hAnsi="Times New Roman" w:eastAsia="黑体" w:cs="Times New Roman"/>
          <w:sz w:val="52"/>
          <w:szCs w:val="52"/>
        </w:rPr>
        <w:t>汇出境外的</w:t>
      </w:r>
      <w:r>
        <w:rPr>
          <w:rFonts w:ascii="Times New Roman" w:hAnsi="Times New Roman" w:eastAsia="黑体" w:cs="Times New Roman"/>
          <w:sz w:val="52"/>
          <w:szCs w:val="52"/>
        </w:rPr>
        <w:t>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pStyle w:val="23"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咨询途径、监督和投诉、办公地址和时间、公开查询方式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办公地址：青海省西宁市昆仑路3号，中国人民银行西宁中心支行综合办公楼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12室。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8:30-11:30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6126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170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6126148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办公地址：青海省海东市平安区乐都路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号，中国人民银行海东市中心支行综合楼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楼外汇管理科。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8:30-12:00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8685145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—8687008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办公地址：青海省海西州德令哈市长江路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号，中国人民银行海西州中心支行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410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室。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8:30-11:30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8205400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—8220412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办公地址：青海省海西蒙古族藏族自治州格尔木市柴达木中路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号，中国人民银行格尔木市支行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406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室。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时间：工作日时间。上午：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8:30-11:30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；下午：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14:00-17:30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0979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8418430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0979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841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2176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咨询反馈功能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青海省分局互联网站网址：www.sa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fe.gov.cn/qinghai/index.html。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外汇政务服务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二维码快捷查询：</w:t>
      </w:r>
    </w:p>
    <w:p>
      <w:pPr>
        <w:widowControl/>
        <w:wordWrap/>
        <w:adjustRightInd w:val="0"/>
        <w:snapToGrid w:val="0"/>
        <w:spacing w:before="100" w:beforeAutospacing="1" w:after="100" w:afterAutospacing="1" w:line="360" w:lineRule="auto"/>
        <w:ind w:left="0" w:right="0" w:firstLine="601"/>
        <w:jc w:val="left"/>
      </w:pPr>
      <w:r>
        <w:rPr>
          <w:rFonts w:hint="eastAsia" w:ascii="Times New Roman" w:hAnsi="Times New Roman" w:eastAsia="仿宋_GB2312" w:cs="Times New Roman"/>
          <w:i w:val="0"/>
          <w:color w:val="800080"/>
          <w:kern w:val="2"/>
          <w:sz w:val="30"/>
          <w:szCs w:val="30"/>
          <w:u w:val="none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"C:\\Users\\Administrator\\Documents\\My PBC IM\\21474886701897\\images\\1F33774E58B0B4E49251BC97F808A299.png" \* MERGEFORMATINET </w:instrText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pict>
          <v:shape id="图片 36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color w:val="80008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" o:spid="_x0000_s1028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9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30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1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2" type="#_x0000_t32" style="position:absolute;left:5729;top:10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3" type="#_x0000_t32" style="position:absolute;left:7678;top:12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4" type="#_x0000_t32" style="position:absolute;left:3705;top:12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5" type="#_x0000_t32" style="position:absolute;left:5730;top:11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6" type="#_x0000_t32" style="position:absolute;left:3706;top:12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1" o:spid="_x0000_s1037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8" type="#_x0000_t32" style="position:absolute;left:7240;top:9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" o:spid="_x0000_s1039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40" type="#_x0000_t34" style="position:absolute;left:7714;top:6155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41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2" type="#_x0000_t32" style="position:absolute;left:7240;top:7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3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4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5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6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7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8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9" type="#_x0000_t32" style="position:absolute;left:5010;top:6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50" type="#_x0000_t32" style="position:absolute;left:2702;top:6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25" o:spid="_x0000_s1051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2" type="#_x0000_t32" style="position:absolute;left:2743;top:4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3" type="#_x0000_t32" style="position:absolute;left:4205;top:5967;height:0;width:77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4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5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6" type="#_x0000_t32" style="position:absolute;left:2702;top:10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7" type="#_x0000_t32" style="position:absolute;left:5010;top:4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8" type="#_x0000_t32" style="position:absolute;left:5010;top:4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9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60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1" type="#_x0000_t32" style="position:absolute;left:8983;top:4886;flip:x y;height:2;width:1302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644894">
    <w:nsid w:val="600FBFDE"/>
    <w:multiLevelType w:val="singleLevel"/>
    <w:tmpl w:val="600FBFDE"/>
    <w:lvl w:ilvl="0" w:tentative="1">
      <w:start w:val="15"/>
      <w:numFmt w:val="chineseCounting"/>
      <w:suff w:val="nothing"/>
      <w:lvlText w:val="（%1）"/>
      <w:lvlJc w:val="left"/>
    </w:lvl>
  </w:abstractNum>
  <w:num w:numId="1">
    <w:abstractNumId w:val="1611644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0CF76C24"/>
    <w:rsid w:val="16D15024"/>
    <w:rsid w:val="21BE5A37"/>
    <w:rsid w:val="271C785D"/>
    <w:rsid w:val="3F66448B"/>
    <w:rsid w:val="70163F4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2"/>
        <o:r id="V:Rule7" type="connector" idref="#AutoShape 14"/>
        <o:r id="V:Rule8" type="connector" idref="#AutoShape 16"/>
        <o:r id="V:Rule9" type="connector" idref="#AutoShape 23"/>
        <o:r id="V:Rule10" type="connector" idref="#AutoShape 24"/>
        <o:r id="V:Rule11" type="connector" idref="#AutoShape 26"/>
        <o:r id="V:Rule12" type="connector" idref="#AutoShape 27"/>
        <o:r id="V:Rule13" type="connector" idref="#AutoShape 30"/>
        <o:r id="V:Rule14" type="connector" idref="#AutoShape 31"/>
        <o:r id="V:Rule15" type="connector" idref="#AutoShape 32"/>
        <o:r id="V:Rule16" type="connector" idref="#AutoShape 35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孙保民</cp:lastModifiedBy>
  <cp:lastPrinted>2017-11-24T00:22:00Z</cp:lastPrinted>
  <dcterms:modified xsi:type="dcterms:W3CDTF">2021-02-07T07:54:25Z</dcterms:modified>
  <dc:title>编号：57011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