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国家外汇管理局青海省分局经常项目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业务服务指南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目录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（一）企业名录管理</w:t>
      </w:r>
    </w:p>
    <w:p>
      <w:pPr>
        <w:widowControl w:val="0"/>
        <w:numPr>
          <w:numId w:val="0"/>
        </w:numPr>
        <w:wordWrap/>
        <w:adjustRightInd/>
        <w:snapToGrid/>
        <w:spacing w:line="48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（二）登记表管理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8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保险机构外汇业务市场准入审批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8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服务贸易项下外币现钞提取审批</w:t>
      </w:r>
    </w:p>
    <w:p>
      <w:pPr>
        <w:widowControl w:val="0"/>
        <w:numPr>
          <w:numId w:val="0"/>
        </w:numPr>
        <w:wordWrap/>
        <w:adjustRightInd/>
        <w:snapToGrid/>
        <w:spacing w:line="48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 xml:space="preserve">    （五）服务贸易外汇收入存放境外外汇账户审批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（一）国家外汇管理局青海省分局经常项目业务服务指南</w:t>
      </w:r>
    </w:p>
    <w:tbl>
      <w:tblPr>
        <w:tblStyle w:val="14"/>
        <w:tblpPr w:leftFromText="180" w:rightFromText="180" w:vertAnchor="page" w:horzAnchor="page" w:tblpX="1577" w:tblpY="2306"/>
        <w:tblW w:w="10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业务名称</w:t>
            </w:r>
          </w:p>
        </w:tc>
        <w:tc>
          <w:tcPr>
            <w:tcW w:w="8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0" w:firstLineChars="1500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（一）企业名录管理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8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《中华人民共和国外汇管理条例》（国务院令第532号）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《国家外汇管理局关于印发〈经常项目外汇业务指引（2020年版）〉的通知》（汇发〔2020〕14号）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《货物贸易外汇管理指引实施细则》、《货物贸易外汇管理指引操作规程》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申请条件</w:t>
            </w:r>
          </w:p>
        </w:tc>
        <w:tc>
          <w:tcPr>
            <w:tcW w:w="8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具有对外贸易经营权的企业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8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国家外汇管理局青海省分局外汇管理处经常项目科（青海省西宁市城西区昆仑路3号人民银行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政务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服务大厅）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办理时间</w:t>
            </w:r>
          </w:p>
        </w:tc>
        <w:tc>
          <w:tcPr>
            <w:tcW w:w="8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周一至周五（法定节假日除外）                                                    上午8：30-11：30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下午2：00-5：30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0971-6126143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办理流程及提交材料</w:t>
            </w:r>
          </w:p>
        </w:tc>
        <w:tc>
          <w:tcPr>
            <w:tcW w:w="8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办理流程：                                                                     (1)企业依法取得对外贸易经营权后，需持规定材料到所在地外汇局办理“贸易外汇收支企业名录”（以下简称名录）登记手续。个人对外贸易经营者的名录登记比照具有对外贸易经营权企业办理。                                                                   (2)无对外贸易经营权的企业，确有客观需要开展贸易外汇收支业务的，需持规定材料到所在地外汇局办理名录登记手续。                                                   （3）外汇局审核相关材料无误后，通过货物贸易外汇监测系统（以下简称监测系统）为企业登记名录，并办理监测系统网上业务开户。                                       （4）外汇局通过监测系统向金融机构发布全国企业名录信息。                         需提交申请材料：                                                               (1)法定代表人签字并加盖企业公章的《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贸易外汇收支企业名录登记申请表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》；      (2)营业执照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办理原则及办理时限</w:t>
            </w:r>
          </w:p>
        </w:tc>
        <w:tc>
          <w:tcPr>
            <w:tcW w:w="8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1.属地管理原则，即企业受注册所在地外汇局监管，应当到注册所在地外汇局办理相关业务（下同）。                                                                            2.相关材料是否完整、真实。                                                        3.办理时限：自受理申请之日起二十个工作日内。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8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1.名录登记的办理程序、办理时限等应当符合行政许可相关规定。                        2.金融机构不得为不在名录企业办理贸易外汇收支业务。                                                                       4.个人对外贸易经营者名录登记比照具有对外贸易经营权企业办理。                      5.外汇局对新列入名录企业实施辅导期管理。辅导期起始日期为名录登记当日，截止日期为企业列入名录后发生首笔贸易外汇收支业务之日起第90天。</w:t>
            </w:r>
          </w:p>
        </w:tc>
      </w:tr>
    </w:tbl>
    <w:tbl>
      <w:tblPr>
        <w:tblStyle w:val="14"/>
        <w:tblpPr w:leftFromText="180" w:rightFromText="180" w:vertAnchor="text" w:horzAnchor="page" w:tblpX="1562" w:tblpY="541"/>
        <w:tblOverlap w:val="never"/>
        <w:tblW w:w="9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业务名称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（二）登记表管理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7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《中华人民共和国外汇管理条例》（国务院令第532号）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《国家外汇管理局关于印发〈经常项目外汇业务指引（2020年版）〉的通知》（汇发〔2020〕14号）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《货物贸易外汇管理指引实施细则》、《货物贸易外汇管理指引操作规程》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申请条件</w:t>
            </w:r>
          </w:p>
        </w:tc>
        <w:tc>
          <w:tcPr>
            <w:tcW w:w="7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具有对外贸易经营权的企业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7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国家外汇管理局青海省分局外汇管理处经常项目科（青海省西</w:t>
            </w:r>
          </w:p>
          <w:p>
            <w:pPr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宁市城西区昆仑路3号人民银行大楼15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办理时间</w:t>
            </w:r>
          </w:p>
        </w:tc>
        <w:tc>
          <w:tcPr>
            <w:tcW w:w="7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564" w:leftChars="74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周一至周五（法定节假日除外）                                                    </w:t>
            </w:r>
          </w:p>
          <w:p>
            <w:pPr>
              <w:ind w:left="1564" w:leftChars="74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上午8：30-11：30，下午2：00-5：30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0971-61261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办理流程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提交材料</w:t>
            </w:r>
          </w:p>
        </w:tc>
        <w:tc>
          <w:tcPr>
            <w:tcW w:w="7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firstLine="2125" w:firstLineChars="882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C 类企业贸易外汇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外汇收支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登记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              1.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企业需事前逐笔到所在地外汇局办理登记手续，银行凭《登记表》办理。外汇局办理登记手续时，对于以信用证、托收方式结算的，审核合同；对于以预付、预收货款方式结算的，审核合同和发票；对于以其他方式结算的，审核报关单和合同，货物不报关的，可提供运输单据等其他证明材料代替报关单；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对于预收货款、预付货款以及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30天以上（不含）的延期收款、延期付款，企业应向所在地外汇局报送信息；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3.企业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原则上不得办理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90天以上（不含）的远期信用证（含展期）、海外代付等进口贸易融资业务；不得办理90天以上（不含）的延期付款、托收业务；不得签订90天以上（不含）收汇条款的出口合同；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企业不得办理离岸转手买卖外汇收支业务；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已开展跨国公司跨境资金集中运营业务的主办企业被列为C类的，所在地外汇局将通知跨国公司变更主办企业；已开展跨国公司跨境资金集中运营业务的其他成员被列为C类的，主办企业应终止其业务；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已开办出口收入存放境外业务的企业被列为C类的，企业应于列入之日起30日内调回境外账户资金余额；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外汇局规定的其他管理措施。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B类企业贸易外汇收支登记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以信用证、托收方式结算的，除按国际惯例审核有关商业单证外，还应审核合同；以预付货款、预收货款结算的，应审核合同和发票；以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其他方式结算的，审核报关单和合同，货物不报关的，可提供运输单据等其他证明材料代替报关单；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银行在办理B类企业收汇、付汇、开证、出口贸易融资放款或出口收入待核查账户资金结汇或划转手续时，应进行电子数据核查，通过货贸系统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p>
      <w:pPr>
        <w:rPr>
          <w:rFonts w:hint="default" w:eastAsia="Times New Roman"/>
        </w:rPr>
      </w:pPr>
    </w:p>
    <w:tbl>
      <w:tblPr>
        <w:tblStyle w:val="14"/>
        <w:tblpPr w:leftFromText="180" w:rightFromText="180" w:vertAnchor="text" w:horzAnchor="page" w:tblpX="1892" w:tblpY="49"/>
        <w:tblOverlap w:val="never"/>
        <w:tblW w:w="9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程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</w:t>
            </w:r>
          </w:p>
          <w:p>
            <w:pPr>
              <w:rPr>
                <w:rFonts w:hint="default" w:eastAsia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料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扣减其对应的可收付汇额度。B类企业超过可收付汇额度的货物贸易外汇收支业务，应到外汇局办理货物贸易外汇业务登记手续，银行凭《登记表》办理；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对于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预收货款、预付货款以及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30天以上（不含）的延期收款、延期付款，企业应向所在地外汇局报送信息；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原则上不得办理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90天以上（不含）的延期付款业务、不得签订90天以上（不含）收汇条款的出口合同；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企业不得办理离岸转手买卖外汇收支业务；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eastAsia="Times New Roma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已开办出口收入存放境外业务的企业被列为B类的，在分类监管有效期内，企业出口收入不得存放境外账户，不得使用境外账户对外支付，外汇局可要求企业调回境外账户资金余额；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已开展跨国公司跨境资金集中运营业务的主办企业被列为B类的，所在地外汇局将通知跨国公司变更主办企业；已开展跨国公司跨境资金集中运营业务的其他成员被列为C类的，主办企业应终止其业务；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外汇局规定的其他管理措施。</w:t>
            </w:r>
          </w:p>
          <w:p>
            <w:pPr>
              <w:numPr>
                <w:numId w:val="0"/>
              </w:numPr>
              <w:jc w:val="both"/>
              <w:rPr>
                <w:rFonts w:hint="default" w:eastAsia="Times New Roman"/>
              </w:rPr>
            </w:pPr>
            <w:r>
              <w:rPr>
                <w:rFonts w:hint="default"/>
                <w:b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办理原则及办理时限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6"/>
              </w:num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外汇局遵循属地管理和分级授权原则，对C 类企业全部贸易外汇支出业务实行事前逐笔登记管理。</w:t>
            </w:r>
          </w:p>
          <w:p>
            <w:pPr>
              <w:numPr>
                <w:ilvl w:val="0"/>
                <w:numId w:val="6"/>
              </w:num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办理时限：自受理申请之日起二十个工作日内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.审核原则：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(1)提交材料是否完整、真实；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(2)拟登记的支出要素与提交材料之间是否具有一致性。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(3)交易是否合规：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C类和B类企业的限制性条款。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(4)出口项下退汇的境内付款人应当为原收款人、境外收款人应当为原付款人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；进口项下退汇的境内收款人应当为原付款人、境外付款人应当为原收款人。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.《登记表》的有效期原则上不超过1 个月。《登记表》填写要求：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(1)登记类别为“C 类企业”；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(2)业务类别为“付汇”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或“收汇”</w:t>
            </w:r>
            <w:r>
              <w:rPr>
                <w:rFonts w:hint="eastAsia" w:ascii="仿宋_GB2312" w:hAnsi="仿宋_GB2312" w:eastAsia="仿宋_GB2312" w:cs="仿宋_GB2312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(3)指定一种结算方式；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(4)指定一家金融机构。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注意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事项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1.登记业务的办理程序、办理时限等应当符合行政许可相关规定。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2.一份《登记表》只能在一家金融机构使用，可分次使用，可签注多笔付汇信息。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3.金融机构应当根据企业提交的《登记表》，在监测系统银行端查询并核对相应《登记表》电子信息；在《登记表》有效期内，按照《登记表》注明的业务类别、结算方式和“外汇局登记情况”，在登记金额范围内为企业办理相关业务，并通过监测系统银行端签注《登记表》使用情况。</w:t>
            </w:r>
          </w:p>
        </w:tc>
      </w:tr>
    </w:tbl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tbl>
      <w:tblPr>
        <w:tblStyle w:val="14"/>
        <w:tblpPr w:leftFromText="180" w:rightFromText="180" w:horzAnchor="margin" w:tblpXSpec="center" w:tblpY="404"/>
        <w:tblW w:w="10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7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业务名称</w:t>
            </w:r>
          </w:p>
        </w:tc>
        <w:tc>
          <w:tcPr>
            <w:tcW w:w="7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（三）保险机构外汇业务市场准入审批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7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《中华人民共和国外汇管理条例》（国务院令第532号）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《国家外汇管理局关于进一步促进保险公司资本金结汇便利化的通知》（汇发〔2019〕17号）《国家外汇管理局关于印发〈经常项目外汇业务指引（2020年版）〉的通知》（汇发〔2020〕14号）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申请条件</w:t>
            </w:r>
          </w:p>
        </w:tc>
        <w:tc>
          <w:tcPr>
            <w:tcW w:w="7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申请人为保险机构，应同时符合以下条件：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1.经核准在境内依法登记注册；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2.具有经营保险业务资格；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3.具有完备的与外汇保险业务相应的内部管理制度；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4.近三年未发生情节严重的违法违规行为、未受到保险行业主管部门或国家外汇管理局等部门行政处罚。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禁止性要求：申请材料不齐全，不符合法规规定。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办理材料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办理流程</w:t>
            </w:r>
          </w:p>
        </w:tc>
        <w:tc>
          <w:tcPr>
            <w:tcW w:w="7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default" w:ascii="仿宋_GB2312" w:hAnsi="宋体" w:eastAsia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eastAsia="zh-CN"/>
              </w:rPr>
              <w:t>保险机构外汇业务市场审批新办申请材料清单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书面申请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：列明申请事项及申请业务范围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；                                              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营业执照；                 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与申请外汇保险业务相应的内部管理制度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lang w:eastAsia="zh-CN"/>
              </w:rPr>
              <w:t>保险机构外汇业务市场审批变更申请材料清单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书面申请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列明变更事项（变更外汇保险业务范围或机构名称）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;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7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国家外汇管理局青海省分局外汇管理处经常项目科（青海省西宁市城西区昆仑路3号人民银行大楼15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办理时间</w:t>
            </w:r>
          </w:p>
        </w:tc>
        <w:tc>
          <w:tcPr>
            <w:tcW w:w="7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周一至周五（法定节假日除外）                              上午8：30-11：30，下午2：00-5：30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0971-61261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办理流程</w:t>
            </w:r>
          </w:p>
        </w:tc>
        <w:tc>
          <w:tcPr>
            <w:tcW w:w="7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保险公司提出申请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外汇局自收到保险公司提交完备材料之日起20 个工作日内审核并局发文批复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保险公司到外汇局领取批复文件。</w:t>
            </w:r>
          </w:p>
        </w:tc>
      </w:tr>
    </w:tbl>
    <w:tbl>
      <w:tblPr>
        <w:tblStyle w:val="14"/>
        <w:tblpPr w:leftFromText="180" w:rightFromText="180" w:vertAnchor="text" w:horzAnchor="page" w:tblpX="1862" w:tblpY="116"/>
        <w:tblOverlap w:val="never"/>
        <w:tblW w:w="9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业务名称</w:t>
            </w:r>
          </w:p>
        </w:tc>
        <w:tc>
          <w:tcPr>
            <w:tcW w:w="7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）服务贸易项下外币现钞提取审批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《国家外汇管理局关于印发〈经常项目外汇业务指引（2020年版）〉的通知》（汇发〔2020〕14号）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申请条件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申请人为境内机构，有提取外币现钞交易的真实性、合法性和必要性。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禁止性要求：申请材料不齐全，不符合法规规定。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办理材料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交易真实性、合法性和必要性的说明材料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国家外汇管理局青海省分局外汇管理处经常项目科（青海省西宁市城西区昆仑路3号人民银行大楼15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办理时间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周一至周五（法定节假日除外）                                    上午8：30-11：30，下午2：00-5：30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0971-61261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办理流程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1.申请人提交申请；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2.决定是否予以受理；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3.不予受理的，出具不予受理通知书；受理的，出具受理通知书，审核作出核准或者不予核准的决定；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4.对于符合规定条件予以核准的，向申请人出具核准文件；不予核准的，做出不予核准的行政许可书面决定并说明理由；</w:t>
            </w:r>
          </w:p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5.材料不全或不符合法定形式的，一次性告知补正材料，并出具《行政许可补正通知书》。</w:t>
            </w:r>
          </w:p>
        </w:tc>
      </w:tr>
    </w:tbl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tbl>
      <w:tblPr>
        <w:tblStyle w:val="14"/>
        <w:tblpPr w:leftFromText="180" w:rightFromText="180" w:vertAnchor="text" w:horzAnchor="page" w:tblpX="1652" w:tblpY="167"/>
        <w:tblOverlap w:val="never"/>
        <w:tblW w:w="9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业务名称</w:t>
            </w:r>
          </w:p>
        </w:tc>
        <w:tc>
          <w:tcPr>
            <w:tcW w:w="7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）服务贸易外汇收入存放境外外汇账户审批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1.《中华人民共和国外汇管理条例》（国务院令第532号）；</w:t>
            </w:r>
          </w:p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2.《国家外汇管理局关于印发〈经常项目外汇业务指引（2020年版）〉的通知》（汇发〔2020〕14号）。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申请条件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申请人为境内机构，需同时符合以下条件：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1.服务贸易外汇收入来源真实合法，且在境外有符合相关规定的支付需求；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2.近两年无违反外汇管理规定行为。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禁止性要求：申请材料不齐全，不符合法规规定。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办理材料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服务贸易外汇收入存放境外外汇账户开立申请材料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申请书：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包括但不限于基本情况、服务贸易开展情况、拟开户银行、使用期限、根据实际需要申请的存放境外资金规模等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服务贸易外汇收入存放境外外汇账户变更申请材料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注意：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国家外汇管理局青海省分局外汇管理处经常项目科（青海省西宁市城西区昆仑路3号人民银行大楼15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办理时间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周一至周五（法定节假日除外）                                    上午8：30-11：30，下午2：00-5：30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0971-6126145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办理流程</w:t>
            </w:r>
          </w:p>
        </w:tc>
        <w:tc>
          <w:tcPr>
            <w:tcW w:w="7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1.申请人提交申请；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2.决定是否予以受理；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3.不予受理的，出具不予受理通知书；受理的，出具受理通知书，审核作出核准或者不予核准的决定；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4.对于符合规定条件，向申请人出具核准文件；不予核准的，做出不予核准的行政许可书面决定并说明理由；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5.材料不全或不符合法定形式的，一次性告知补正材料，并出具《行政许可补正通知书》；</w:t>
            </w:r>
          </w:p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</w:rPr>
      </w:pPr>
    </w:p>
    <w:p>
      <w:pPr>
        <w:widowControl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8537459">
    <w:nsid w:val="5FE05573"/>
    <w:multiLevelType w:val="singleLevel"/>
    <w:tmpl w:val="5FE05573"/>
    <w:lvl w:ilvl="0" w:tentative="1">
      <w:start w:val="1"/>
      <w:numFmt w:val="decimal"/>
      <w:suff w:val="space"/>
      <w:lvlText w:val="%1."/>
      <w:lvlJc w:val="left"/>
    </w:lvl>
  </w:abstractNum>
  <w:abstractNum w:abstractNumId="1608537169">
    <w:nsid w:val="5FE05451"/>
    <w:multiLevelType w:val="singleLevel"/>
    <w:tmpl w:val="5FE05451"/>
    <w:lvl w:ilvl="0" w:tentative="1">
      <w:start w:val="1"/>
      <w:numFmt w:val="decimal"/>
      <w:suff w:val="nothing"/>
      <w:lvlText w:val="%1."/>
      <w:lvlJc w:val="left"/>
    </w:lvl>
  </w:abstractNum>
  <w:abstractNum w:abstractNumId="1608536346">
    <w:nsid w:val="5FE0511A"/>
    <w:multiLevelType w:val="singleLevel"/>
    <w:tmpl w:val="5FE0511A"/>
    <w:lvl w:ilvl="0" w:tentative="1">
      <w:start w:val="1"/>
      <w:numFmt w:val="decimal"/>
      <w:suff w:val="nothing"/>
      <w:lvlText w:val="%1."/>
      <w:lvlJc w:val="left"/>
    </w:lvl>
  </w:abstractNum>
  <w:abstractNum w:abstractNumId="1608532432">
    <w:nsid w:val="5FE041D0"/>
    <w:multiLevelType w:val="singleLevel"/>
    <w:tmpl w:val="5FE041D0"/>
    <w:lvl w:ilvl="0" w:tentative="1">
      <w:start w:val="1"/>
      <w:numFmt w:val="decimal"/>
      <w:suff w:val="nothing"/>
      <w:lvlText w:val="（%1）"/>
      <w:lvlJc w:val="left"/>
    </w:lvl>
  </w:abstractNum>
  <w:abstractNum w:abstractNumId="1608532644">
    <w:nsid w:val="5FE042A4"/>
    <w:multiLevelType w:val="singleLevel"/>
    <w:tmpl w:val="5FE042A4"/>
    <w:lvl w:ilvl="0" w:tentative="1">
      <w:start w:val="4"/>
      <w:numFmt w:val="decimal"/>
      <w:suff w:val="space"/>
      <w:lvlText w:val="%1."/>
      <w:lvlJc w:val="left"/>
    </w:lvl>
  </w:abstractNum>
  <w:abstractNum w:abstractNumId="1608537219">
    <w:nsid w:val="5FE05483"/>
    <w:multiLevelType w:val="singleLevel"/>
    <w:tmpl w:val="5FE05483"/>
    <w:lvl w:ilvl="0" w:tentative="1">
      <w:start w:val="3"/>
      <w:numFmt w:val="decimal"/>
      <w:suff w:val="nothing"/>
      <w:lvlText w:val="%1."/>
      <w:lvlJc w:val="left"/>
    </w:lvl>
  </w:abstractNum>
  <w:abstractNum w:abstractNumId="1608535138">
    <w:nsid w:val="5FE04C62"/>
    <w:multiLevelType w:val="singleLevel"/>
    <w:tmpl w:val="5FE04C62"/>
    <w:lvl w:ilvl="0" w:tentative="1">
      <w:start w:val="1"/>
      <w:numFmt w:val="decimal"/>
      <w:suff w:val="nothing"/>
      <w:lvlText w:val="%1."/>
      <w:lvlJc w:val="left"/>
    </w:lvl>
  </w:abstractNum>
  <w:abstractNum w:abstractNumId="1608533424">
    <w:nsid w:val="5FE045B0"/>
    <w:multiLevelType w:val="singleLevel"/>
    <w:tmpl w:val="5FE045B0"/>
    <w:lvl w:ilvl="0" w:tentative="1">
      <w:start w:val="2"/>
      <w:numFmt w:val="decimal"/>
      <w:suff w:val="nothing"/>
      <w:lvlText w:val="（%1）"/>
      <w:lvlJc w:val="left"/>
    </w:lvl>
  </w:abstractNum>
  <w:abstractNum w:abstractNumId="1436923242">
    <w:nsid w:val="55A5B56A"/>
    <w:multiLevelType w:val="singleLevel"/>
    <w:tmpl w:val="55A5B56A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436923242"/>
  </w:num>
  <w:num w:numId="2">
    <w:abstractNumId w:val="1608532432"/>
  </w:num>
  <w:num w:numId="3">
    <w:abstractNumId w:val="1608532644"/>
  </w:num>
  <w:num w:numId="4">
    <w:abstractNumId w:val="1608533424"/>
  </w:num>
  <w:num w:numId="5">
    <w:abstractNumId w:val="1608535138"/>
  </w:num>
  <w:num w:numId="6">
    <w:abstractNumId w:val="1608536346"/>
  </w:num>
  <w:num w:numId="7">
    <w:abstractNumId w:val="1608537169"/>
  </w:num>
  <w:num w:numId="8">
    <w:abstractNumId w:val="1608537219"/>
  </w:num>
  <w:num w:numId="9">
    <w:abstractNumId w:val="16085374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A0C2CF8"/>
    <w:rsid w:val="0E7944AE"/>
    <w:rsid w:val="291D7302"/>
    <w:rsid w:val="3E5157CB"/>
    <w:rsid w:val="40015512"/>
    <w:rsid w:val="5B837C35"/>
    <w:rsid w:val="5BEF0861"/>
    <w:rsid w:val="72827F6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0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uiPriority w:val="0"/>
    <w:rPr>
      <w:rFonts w:hint="default"/>
    </w:rPr>
  </w:style>
  <w:style w:type="table" w:default="1" w:styleId="14">
    <w:name w:val="Normal Table"/>
    <w:unhideWhenUsed/>
    <w:uiPriority w:val="0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7"/>
    <w:basedOn w:val="1"/>
    <w:next w:val="1"/>
    <w:unhideWhenUsed/>
    <w:uiPriority w:val="39"/>
    <w:pPr>
      <w:ind w:left="2520" w:leftChars="1200"/>
    </w:pPr>
  </w:style>
  <w:style w:type="paragraph" w:styleId="3">
    <w:name w:val="toc 5"/>
    <w:basedOn w:val="1"/>
    <w:next w:val="1"/>
    <w:unhideWhenUsed/>
    <w:uiPriority w:val="39"/>
    <w:pPr>
      <w:ind w:left="1680" w:leftChars="800"/>
    </w:pPr>
  </w:style>
  <w:style w:type="paragraph" w:styleId="4">
    <w:name w:val="toc 3"/>
    <w:basedOn w:val="1"/>
    <w:next w:val="1"/>
    <w:unhideWhenUsed/>
    <w:uiPriority w:val="39"/>
    <w:pPr>
      <w:ind w:left="840" w:leftChars="400"/>
    </w:pPr>
  </w:style>
  <w:style w:type="paragraph" w:styleId="5">
    <w:name w:val="toc 8"/>
    <w:basedOn w:val="1"/>
    <w:next w:val="1"/>
    <w:unhideWhenUsed/>
    <w:uiPriority w:val="39"/>
    <w:pPr>
      <w:ind w:left="2940" w:leftChars="1400"/>
    </w:pPr>
  </w:style>
  <w:style w:type="paragraph" w:styleId="6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7">
    <w:name w:val="header"/>
    <w:basedOn w:val="1"/>
    <w:link w:val="1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4"/>
    <w:basedOn w:val="1"/>
    <w:next w:val="1"/>
    <w:unhideWhenUsed/>
    <w:uiPriority w:val="39"/>
    <w:pPr>
      <w:ind w:left="1260" w:leftChars="600"/>
    </w:pPr>
  </w:style>
  <w:style w:type="paragraph" w:styleId="10">
    <w:name w:val="toc 6"/>
    <w:basedOn w:val="1"/>
    <w:next w:val="1"/>
    <w:unhideWhenUsed/>
    <w:uiPriority w:val="39"/>
    <w:pPr>
      <w:ind w:left="2100" w:leftChars="1000"/>
    </w:pPr>
  </w:style>
  <w:style w:type="paragraph" w:styleId="11">
    <w:name w:val="toc 2"/>
    <w:basedOn w:val="1"/>
    <w:next w:val="1"/>
    <w:unhideWhenUsed/>
    <w:uiPriority w:val="39"/>
    <w:pPr>
      <w:ind w:left="420" w:leftChars="200"/>
    </w:pPr>
  </w:style>
  <w:style w:type="paragraph" w:styleId="12">
    <w:name w:val="toc 9"/>
    <w:basedOn w:val="1"/>
    <w:next w:val="1"/>
    <w:unhideWhenUsed/>
    <w:uiPriority w:val="39"/>
    <w:pPr>
      <w:ind w:left="3360" w:leftChars="1600"/>
    </w:pPr>
  </w:style>
  <w:style w:type="paragraph" w:customStyle="1" w:styleId="15">
    <w:name w:val="p0"/>
    <w:basedOn w:val="1"/>
    <w:unhideWhenUsed/>
    <w:uiPriority w:val="0"/>
    <w:pPr>
      <w:widowControl/>
    </w:pPr>
    <w:rPr>
      <w:rFonts w:hint="eastAsia"/>
    </w:rPr>
  </w:style>
  <w:style w:type="paragraph" w:customStyle="1" w:styleId="16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页脚 Char Char"/>
    <w:basedOn w:val="13"/>
    <w:link w:val="6"/>
    <w:uiPriority w:val="0"/>
    <w:rPr>
      <w:rFonts w:hint="eastAsia"/>
      <w:sz w:val="18"/>
    </w:rPr>
  </w:style>
  <w:style w:type="character" w:customStyle="1" w:styleId="18">
    <w:name w:val="页眉 Char Char"/>
    <w:basedOn w:val="13"/>
    <w:link w:val="7"/>
    <w:uiPriority w:val="0"/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2015-07-14T09:23:00Z</dcterms:created>
  <cp:lastModifiedBy>王伟涛</cp:lastModifiedBy>
  <dcterms:modified xsi:type="dcterms:W3CDTF">2020-12-28T02:29:35Z</dcterms:modified>
  <dc:title>国家外汇管理局青海省分局外汇管理处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