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_x0000_i1025" o:spt="75" type="#_x0000_t75" style="height:69.75pt;width:87p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w:t>
      </w:r>
      <w:r>
        <w:rPr>
          <w:rFonts w:hint="eastAsia" w:ascii="Times New Roman" w:hAnsi="Times New Roman" w:eastAsia="仿宋_GB2312" w:cs="Times New Roman"/>
          <w:sz w:val="30"/>
          <w:szCs w:val="30"/>
          <w:lang w:eastAsia="zh-CN"/>
        </w:rPr>
        <w:t>理局宁夏回族自治区</w:t>
      </w:r>
      <w:r>
        <w:rPr>
          <w:rFonts w:hint="eastAsia" w:ascii="Times New Roman" w:hAnsi="Times New Roman" w:eastAsia="仿宋_GB2312" w:cs="Times New Roman"/>
          <w:sz w:val="30"/>
          <w:szCs w:val="30"/>
        </w:rPr>
        <w:t>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9"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四、银行资本金（或营运资金）本外币转换核准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3.新开办外汇业务的中资银行或新开办人民币业务的外资银行，首次可申请将不超过10%的资本金进行本外币转换。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银行申请原则上每年不得超过一次。</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宁夏回族自治区分局</w:t>
      </w:r>
      <w:r>
        <w:rPr>
          <w:rFonts w:ascii="Times New Roman" w:hAnsi="Times New Roman" w:eastAsia="仿宋_GB2312" w:cs="Times New Roman"/>
          <w:sz w:val="30"/>
          <w:szCs w:val="30"/>
        </w:rPr>
        <w:t>办公地址：宁夏回族自治区银川市兴庆区北京东路215号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办公时间：周一至周五，</w:t>
      </w:r>
      <w:r>
        <w:rPr>
          <w:rFonts w:hint="eastAsia" w:ascii="Times New Roman" w:hAnsi="Times New Roman" w:eastAsia="仿宋_GB2312" w:cs="Times New Roman"/>
          <w:sz w:val="30"/>
          <w:szCs w:val="30"/>
        </w:rPr>
        <w:t>夏季上午08:30到12:00,下午14:30到18:00；冬季上午08:30到12:00,下午14:00到17:30；周六、周日及法定节假日不对外办理业务。</w:t>
      </w:r>
    </w:p>
    <w:p>
      <w:pPr>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乘车路线</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公交车</w:t>
      </w:r>
      <w:r>
        <w:rPr>
          <w:rFonts w:hint="eastAsia" w:ascii="Times New Roman" w:hAnsi="Times New Roman" w:eastAsia="仿宋_GB2312" w:cs="Times New Roman"/>
          <w:sz w:val="30"/>
          <w:szCs w:val="30"/>
        </w:rPr>
        <w:t>101、101A、19、18路公交线路经停，可在临湖小区站上/下车。</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电话、网址</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官方互联网站的相应栏目进行。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0951-5189347</w:t>
      </w:r>
      <w:bookmarkStart w:id="0" w:name="_GoBack"/>
      <w:bookmarkEnd w:id="0"/>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rPr>
          <w:rFonts w:ascii="Times New Roman" w:hAnsi="Times New Roman" w:eastAsia="仿宋_GB2312" w:cs="Times New Roman"/>
          <w:sz w:val="30"/>
          <w:szCs w:val="30"/>
        </w:rPr>
        <w:t>国家</w:t>
      </w:r>
      <w:r>
        <w:rPr>
          <w:rFonts w:ascii="Times New Roman" w:hAnsi="Times New Roman" w:eastAsia="仿宋_GB2312" w:cs="Times New Roman"/>
          <w:sz w:val="30"/>
          <w:szCs w:val="30"/>
          <w:lang w:val="zh-CN" w:bidi="zh-CN"/>
        </w:rPr>
        <w:t>外汇管理局官方互联网站</w:t>
      </w:r>
      <w:r>
        <w:fldChar w:fldCharType="begin"/>
      </w:r>
      <w:r>
        <w:instrText xml:space="preserve">HYPERLINK "http://www.safe.gov.cn/" </w:instrText>
      </w:r>
      <w:r>
        <w:fldChar w:fldCharType="separate"/>
      </w:r>
      <w:r>
        <w:rPr>
          <w:rFonts w:ascii="Times New Roman" w:hAnsi="Times New Roman" w:eastAsia="仿宋_GB2312" w:cs="Times New Roman"/>
          <w:sz w:val="30"/>
          <w:szCs w:val="30"/>
          <w:lang w:bidi="zh-CN"/>
        </w:rPr>
        <w:t>www.safe.gov.cn</w:t>
      </w:r>
      <w:r>
        <w:fldChar w:fldCharType="end"/>
      </w:r>
      <w:r>
        <w:rPr>
          <w:rFonts w:hint="eastAsia" w:ascii="Times New Roman" w:hAnsi="Times New Roman" w:eastAsia="仿宋_GB2312" w:cs="Times New Roman"/>
          <w:sz w:val="30"/>
          <w:szCs w:val="30"/>
          <w:lang w:val="zh-CN" w:bidi="zh-CN"/>
        </w:rPr>
        <w:t>链接至宁夏分局</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宁夏分局</w:t>
      </w:r>
      <w:r>
        <w:rPr>
          <w:rFonts w:ascii="Times New Roman" w:hAnsi="Times New Roman" w:eastAsia="仿宋_GB2312" w:cs="Times New Roman"/>
          <w:sz w:val="30"/>
          <w:szCs w:val="30"/>
        </w:rPr>
        <w:t>官方互联网站的相应栏目进行。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0951-5189505</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rPr>
          <w:rFonts w:ascii="Times New Roman" w:hAnsi="Times New Roman" w:eastAsia="仿宋_GB2312" w:cs="Times New Roman"/>
          <w:sz w:val="30"/>
          <w:szCs w:val="30"/>
        </w:rPr>
        <w:t>国家</w:t>
      </w:r>
      <w:r>
        <w:rPr>
          <w:rFonts w:ascii="Times New Roman" w:hAnsi="Times New Roman" w:eastAsia="仿宋_GB2312" w:cs="Times New Roman"/>
          <w:sz w:val="30"/>
          <w:szCs w:val="30"/>
          <w:lang w:val="zh-CN" w:bidi="zh-CN"/>
        </w:rPr>
        <w:t>外汇管理局官方互联网站</w:t>
      </w:r>
      <w:r>
        <w:fldChar w:fldCharType="begin"/>
      </w:r>
      <w:r>
        <w:instrText xml:space="preserve">HYPERLINK "http://www.safe.gov.cn/" </w:instrText>
      </w:r>
      <w:r>
        <w:fldChar w:fldCharType="separate"/>
      </w:r>
      <w:r>
        <w:rPr>
          <w:rFonts w:ascii="Times New Roman" w:hAnsi="Times New Roman" w:eastAsia="仿宋_GB2312" w:cs="Times New Roman"/>
          <w:sz w:val="30"/>
          <w:szCs w:val="30"/>
          <w:lang w:bidi="zh-CN"/>
        </w:rPr>
        <w:t>www.safe.gov.cn</w:t>
      </w:r>
      <w:r>
        <w:fldChar w:fldCharType="end"/>
      </w:r>
      <w:r>
        <w:rPr>
          <w:rFonts w:hint="eastAsia" w:ascii="Times New Roman" w:hAnsi="Times New Roman" w:eastAsia="仿宋_GB2312" w:cs="Times New Roman"/>
          <w:sz w:val="30"/>
          <w:szCs w:val="30"/>
          <w:lang w:val="zh-CN" w:bidi="zh-CN"/>
        </w:rPr>
        <w:t>链接至宁夏分局</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3" o:spid="_x0000_s2050" o:spt="203" style="position:absolute;left:0pt;margin-left:-39.65pt;margin-top:29.05pt;height:421.55pt;width:459.7pt;z-index:251658240;mso-width-relative:page;mso-height-relative:page;" coordorigin="1007,2645" coordsize="9194,8431">
            <o:lock v:ext="edit" position="f" selection="f" grouping="f" rotation="f" cropping="f" text="f" aspectratio="f"/>
            <v:shape id="Straight Connector 64" o:spid="_x0000_s2051" o:spt="32" type="#_x0000_t32" style="position:absolute;left:2612;top:4069;height:1468;width:17;"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65" o:spid="_x0000_s2052" o:spt="32" type="#_x0000_t32" style="position:absolute;left:3540;top:5165;height:1;width:1299;"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66" o:spid="_x0000_s2053" o:spt="32" type="#_x0000_t32" style="position:absolute;left:3667;top:5969;height:0;width:1172;"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67" o:spid="_x0000_s2054" o:spt="32" type="#_x0000_t32" style="position:absolute;left:8191;top:4018;flip:y;height:895;width:1;"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68" o:spid="_x0000_s2055" o:spt="32" type="#_x0000_t32" style="position:absolute;left:2629;top:4357;flip:x;height:1;width:4643;"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69" o:spid="_x0000_s2056" o:spt="32" type="#_x0000_t32" style="position:absolute;left:5392;top:8028;height:437;width:0;"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70" o:spid="_x0000_s2057" o:spt="32" type="#_x0000_t32" style="position:absolute;left:6547;top:8999;height:905;width:17;"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71" o:spid="_x0000_s2058" o:spt="32" type="#_x0000_t32" style="position:absolute;left:4432;top:8999;height:905;width:1;"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Straight Connector 72" o:spid="_x0000_s2059" o:spt="32" type="#_x0000_t32" style="position:absolute;left:2612;top:6202;height:1391;width:0;" o:connectortype="straight"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shape>
            <v:shape id="Straight Connector 73" o:spid="_x0000_s2060" o:spt="32" type="#_x0000_t32" style="position:absolute;left:2612;top:7593;height:0;width:822;"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Flowchart: Decision 74" o:spid="_x0000_s2061" o:spt="110" type="#_x0000_t110" style="position:absolute;left:1007;top:4643;height:1889;width:327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
                      <w:rPr>
                        <w:rFonts w:hint="eastAsia"/>
                      </w:rPr>
                      <w:t>接件并当场（或5个工作日）作出是否受理决定</w:t>
                    </w:r>
                  </w:p>
                  <w:p>
                    <w:pPr/>
                  </w:p>
                </w:txbxContent>
              </v:textbox>
            </v:shape>
            <v:rect id="Rectangle 75" o:spid="_x0000_s2062" o:spt="1" style="position:absolute;left:7272;top:3846;height:796;width:209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申请人补全材料</w:t>
                    </w:r>
                  </w:p>
                  <w:p>
                    <w:pPr/>
                  </w:p>
                </w:txbxContent>
              </v:textbox>
            </v:rect>
            <v:rect id="Rectangle 76" o:spid="_x0000_s2063" o:spt="1" style="position:absolute;left:4839;top:4913;height:500;width:53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
                      <w:rPr>
                        <w:rFonts w:hint="eastAsia"/>
                      </w:rPr>
                      <w:t>材料不全或不符合法定形式的，一次性告知补正材料</w:t>
                    </w:r>
                  </w:p>
                  <w:p>
                    <w:pPr/>
                  </w:p>
                </w:txbxContent>
              </v:textbox>
            </v:rect>
            <v:rect id="Rectangle 77" o:spid="_x0000_s2064" o:spt="1" style="position:absolute;left:4839;top:5765;height:906;width:53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
                      <w:rPr>
                        <w:rFonts w:hint="eastAsia"/>
                      </w:rPr>
                      <w:t>依法不予受理的，作出不予受理决定，出具不予受理通知书</w:t>
                    </w:r>
                  </w:p>
                  <w:p>
                    <w:pPr/>
                  </w:p>
                </w:txbxContent>
              </v:textbox>
            </v:rect>
            <v:rect id="Rectangle 78" o:spid="_x0000_s2065" o:spt="1" style="position:absolute;left:3433;top:7425;height:603;width:410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依法应予受理，出具受理单</w:t>
                    </w:r>
                  </w:p>
                  <w:p>
                    <w:pPr/>
                  </w:p>
                </w:txbxContent>
              </v:textbox>
            </v:rect>
            <v:rect id="Rectangle 79" o:spid="_x0000_s2066" o:spt="1" style="position:absolute;left:3434;top:8465;height:534;width:425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审查报批</w:t>
                    </w:r>
                  </w:p>
                  <w:p>
                    <w:pPr/>
                  </w:p>
                </w:txbxContent>
              </v:textbox>
            </v:rect>
            <v:rect id="Rectangle 80" o:spid="_x0000_s2067" o:spt="1" style="position:absolute;left:1771;top:2645;height:1424;width:274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p>
                </w:txbxContent>
              </v:textbox>
            </v:rect>
            <v:rect id="Rectangle 81" o:spid="_x0000_s2068" o:spt="1" style="position:absolute;left:3433;top:9904;height:1172;width:1747;"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
                      <w:rPr>
                        <w:rFonts w:hint="eastAsia"/>
                      </w:rPr>
                      <w:t>予以许可，向申请人出具正式公文或备案表</w:t>
                    </w:r>
                  </w:p>
                  <w:p>
                    <w:pPr/>
                  </w:p>
                </w:txbxContent>
              </v:textbox>
            </v:rect>
            <v:rect id="Rectangle 82" o:spid="_x0000_s2069" o:spt="1" style="position:absolute;left:5790;top:9904;height:1172;width:1747;"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
                      <w:rPr>
                        <w:rFonts w:hint="eastAsia"/>
                      </w:rPr>
                      <w:t>依法作出不予许可决定，并送达</w:t>
                    </w:r>
                  </w:p>
                  <w:p>
                    <w:pPr/>
                  </w:p>
                </w:txbxContent>
              </v:textbox>
            </v:rect>
          </v:group>
        </w:pict>
      </w:r>
    </w:p>
    <w:sectPr>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0" w:usb1="0000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000"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6</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Straight Connector 64"/>
        <o:r id="V:Rule2" type="connector" idref="#Straight Connector 65"/>
        <o:r id="V:Rule3" type="connector" idref="#Straight Connector 66"/>
        <o:r id="V:Rule4" type="connector" idref="#Straight Connector 67"/>
        <o:r id="V:Rule5" type="connector" idref="#Straight Connector 68"/>
        <o:r id="V:Rule6" type="connector" idref="#Straight Connector 69"/>
        <o:r id="V:Rule7" type="connector" idref="#Straight Connector 70"/>
        <o:r id="V:Rule8" type="connector" idref="#Straight Connector 71"/>
        <o:r id="V:Rule9" type="connector" idref="#Straight Connector 72"/>
        <o:r id="V:Rule10" type="connector" idref="#Straight Connector 7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4"/>
    <w:qFormat/>
    <w:uiPriority w:val="9"/>
    <w:pPr>
      <w:ind w:right="300"/>
      <w:outlineLvl w:val="2"/>
    </w:pPr>
    <w:rPr>
      <w:rFonts w:ascii="仿宋_GB2312" w:eastAsia="仿宋_GB2312" w:cs="Times New Roman"/>
      <w:sz w:val="30"/>
      <w:szCs w:val="30"/>
    </w:rPr>
  </w:style>
  <w:style w:type="character" w:default="1" w:styleId="13">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列出段落1"/>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qFormat/>
    <w:uiPriority w:val="99"/>
    <w:rPr>
      <w:rFonts w:ascii="Calibri" w:hAnsi="Calibri" w:eastAsia="宋体" w:cs="黑体"/>
      <w:kern w:val="2"/>
      <w:sz w:val="21"/>
      <w:szCs w:val="22"/>
      <w:lang w:val="en-US" w:eastAsia="zh-CN" w:bidi="ar-SA"/>
    </w:rPr>
  </w:style>
  <w:style w:type="paragraph" w:customStyle="1" w:styleId="23">
    <w:name w:val="列出段落11"/>
    <w:basedOn w:val="1"/>
    <w:qFormat/>
    <w:uiPriority w:val="34"/>
    <w:pPr>
      <w:ind w:firstLine="420" w:firstLineChars="200"/>
    </w:pPr>
    <w:rPr>
      <w:rFonts w:cs="Times New Roman"/>
    </w:rPr>
  </w:style>
  <w:style w:type="paragraph" w:customStyle="1" w:styleId="24">
    <w:name w:val="列出段落4"/>
    <w:basedOn w:val="1"/>
    <w:qFormat/>
    <w:uiPriority w:val="0"/>
    <w:pPr>
      <w:ind w:firstLine="200" w:firstLineChars="200"/>
    </w:pPr>
    <w:rPr>
      <w:rFonts w:cs="Times New Roman"/>
    </w:rPr>
  </w:style>
  <w:style w:type="paragraph" w:customStyle="1" w:styleId="25">
    <w:name w:val="列出段落3"/>
    <w:basedOn w:val="1"/>
    <w:qFormat/>
    <w:uiPriority w:val="0"/>
    <w:pPr>
      <w:ind w:firstLine="420" w:firstLineChars="200"/>
    </w:pPr>
    <w:rPr>
      <w:rFonts w:ascii="Times New Roman" w:hAnsi="Times New Roman" w:cs="Times New Roman"/>
      <w:szCs w:val="24"/>
    </w:rPr>
  </w:style>
  <w:style w:type="paragraph" w:customStyle="1" w:styleId="26">
    <w:name w:val="p0"/>
    <w:basedOn w:val="1"/>
    <w:qFormat/>
    <w:uiPriority w:val="0"/>
    <w:pPr>
      <w:widowControl/>
    </w:pPr>
    <w:rPr>
      <w:rFonts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明显强调1"/>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346</Words>
  <Characters>1975</Characters>
  <Lines>16</Lines>
  <Paragraphs>4</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2020-02-26T20:18:00Z</dcterms:created>
  <dc:creator>裴建君2</dc:creator>
  <cp:lastModifiedBy>yeah。</cp:lastModifiedBy>
  <cp:lastPrinted>2017-11-24T08:22:00Z</cp:lastPrinted>
  <dcterms:modified xsi:type="dcterms:W3CDTF">2021-10-25T20:18:59Z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2052-11.15.1</vt:lpwstr>
  </property>
  <property fmtid="{D5CDD505-2E9C-101B-9397-08002B2CF9AE}" pid="3" name="ICV">
    <vt:lpwstr>2A1480B229A403F2B3A076612124C812</vt:lpwstr>
  </property>
</Properties>
</file>