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p>
    <w:p>
      <w:pPr>
        <w:ind w:right="300"/>
        <w:jc w:val="center"/>
        <w:rPr>
          <w:rFonts w:ascii="Times New Roman" w:hAnsi="Times New Roman" w:eastAsia="黑体" w:cs="Times New Roman"/>
          <w:sz w:val="48"/>
          <w:szCs w:val="48"/>
        </w:rPr>
      </w:pPr>
    </w:p>
    <w:p>
      <w:pPr>
        <w:ind w:right="300"/>
        <w:jc w:val="center"/>
        <w:rPr>
          <w:rFonts w:ascii="Times New Roman" w:hAnsi="Times New Roman" w:eastAsia="黑体" w:cs="Times New Roman"/>
          <w:sz w:val="30"/>
          <w:szCs w:val="30"/>
        </w:rPr>
      </w:pPr>
    </w:p>
    <w:p>
      <w:pPr>
        <w:ind w:right="300"/>
        <w:jc w:val="left"/>
        <w:rPr>
          <w:rFonts w:ascii="Times New Roman" w:hAnsi="Times New Roman" w:eastAsia="黑体" w:cs="Times New Roman"/>
          <w:sz w:val="30"/>
          <w:szCs w:val="30"/>
        </w:rPr>
      </w:pPr>
      <w:r>
        <w:rPr>
          <w:rFonts w:ascii="Times New Roman" w:hAnsi="Times New Roman" w:eastAsia="黑体" w:cs="Times New Roman"/>
          <w:sz w:val="48"/>
          <w:szCs w:val="48"/>
        </w:rPr>
        <w:t>编号：57007</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框 1025"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“境内机构（不含商业银行）向境外提供商业贷款审批与登记”行政审批服务指南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lang w:val="en-US" w:eastAsia="zh-CN"/>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lang w:val="en-US" w:eastAsia="zh-CN"/>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宁夏回族自治区分局</w:t>
      </w: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titlePg/>
          <w:docGrid w:type="lines" w:linePitch="312"/>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项目名称：境内机构（不含商业银行）向境外提供商业贷款审批与登记；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项目编号：57007；</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本指南适用于“境内机构（不含商业银行）向境外提供商业贷款审批与登记”的申请和办理。</w:t>
      </w:r>
    </w:p>
    <w:p>
      <w:pPr>
        <w:adjustRightInd w:val="0"/>
        <w:snapToGrid w:val="0"/>
        <w:spacing w:line="360" w:lineRule="auto"/>
        <w:ind w:firstLine="585" w:firstLineChars="19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条：“银行业金融机构在经批准的经营范围内可以直接向境外提供商业贷款。其他境内机构向境外提供商业贷款，应当向外汇管理机关提出申请，外汇管理机关根据申请人的资产负债等情况作出批准或者不批准的决定；国家规定其经营范围需经有关主管部门批准的，应当在向外汇管理机关提出申请前办理批准手续。向境外提供商业贷款，应当按照国务院外汇管理部门的规定办理登记”。</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黑体" w:eastAsia="黑体" w:cs="Times New Roman"/>
          <w:sz w:val="30"/>
          <w:szCs w:val="30"/>
        </w:rPr>
        <w:t>四、内保外贷</w:t>
      </w:r>
      <w:r>
        <w:rPr>
          <w:rFonts w:hint="eastAsia" w:ascii="Times New Roman" w:hAnsi="黑体" w:eastAsia="黑体" w:cs="Times New Roman"/>
          <w:sz w:val="30"/>
          <w:szCs w:val="30"/>
          <w:lang w:eastAsia="zh-CN"/>
        </w:rPr>
        <w:t>担保</w:t>
      </w:r>
      <w:r>
        <w:rPr>
          <w:rFonts w:ascii="Times New Roman" w:hAnsi="黑体" w:eastAsia="黑体" w:cs="Times New Roman"/>
          <w:sz w:val="30"/>
          <w:szCs w:val="30"/>
        </w:rPr>
        <w:t>履约对外债权登记</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（一）办理依据</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1.《中华人民共和国外汇管理条例》（国务院令第532号）。</w:t>
      </w:r>
    </w:p>
    <w:p>
      <w:pPr>
        <w:widowControl/>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2.《国家外汇管理局关于发布〈跨境担保外汇管理规定〉的通知》（汇发〔2014〕29号）。</w:t>
      </w:r>
    </w:p>
    <w:p>
      <w:pPr>
        <w:widowControl/>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3.《国家外汇管理局关于进一步推进外汇管理改革完善真实合规性审核的通知》（汇发〔2017〕3号）。</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585"/>
        <w:rPr>
          <w:rFonts w:ascii="Times New Roman" w:hAnsi="Times New Roman" w:eastAsia="黑体" w:cs="Times New Roman"/>
          <w:sz w:val="30"/>
          <w:szCs w:val="30"/>
        </w:rPr>
      </w:pPr>
      <w:r>
        <w:rPr>
          <w:rFonts w:ascii="Times New Roman" w:hAnsi="黑体"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黑体" w:eastAsia="黑体" w:cs="Times New Roman"/>
          <w:sz w:val="30"/>
          <w:szCs w:val="30"/>
        </w:rPr>
        <w:t>（五）办事条件</w:t>
      </w:r>
    </w:p>
    <w:p>
      <w:pPr>
        <w:widowControl/>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1.内保外贷发生担保履约的，成为对外债权人的境内担保人或境内反担保人，应办理对外债权登记。</w:t>
      </w:r>
    </w:p>
    <w:p>
      <w:pPr>
        <w:widowControl/>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2.债权人为非银行机构的，应在担保履约后15个工作日内到所在地外汇局办理对外债权登记，并按规定办理与对外债权相关的变更、注销手续。</w:t>
      </w:r>
    </w:p>
    <w:p>
      <w:pPr>
        <w:widowControl/>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3.禁止性要求：如符合上述条件，不存在不予许可的情况。</w:t>
      </w:r>
    </w:p>
    <w:p>
      <w:pPr>
        <w:widowControl/>
        <w:ind w:firstLine="600"/>
        <w:rPr>
          <w:rFonts w:ascii="Times New Roman" w:hAnsi="Times New Roman" w:eastAsia="仿宋_GB2312" w:cs="Times New Roman"/>
          <w:sz w:val="30"/>
          <w:szCs w:val="30"/>
        </w:rPr>
      </w:pPr>
      <w:r>
        <w:rPr>
          <w:rFonts w:ascii="Times New Roman" w:hAnsi="黑体" w:eastAsia="黑体" w:cs="Times New Roman"/>
          <w:sz w:val="30"/>
          <w:szCs w:val="30"/>
        </w:rPr>
        <w:t>（六）申请材料</w:t>
      </w:r>
    </w:p>
    <w:tbl>
      <w:tblPr>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
        <w:gridCol w:w="3222"/>
        <w:gridCol w:w="1701"/>
        <w:gridCol w:w="425"/>
        <w:gridCol w:w="993"/>
        <w:gridCol w:w="425"/>
        <w:gridCol w:w="1206"/>
      </w:tblGrid>
      <w:tr>
        <w:tc>
          <w:tcPr>
            <w:tcW w:w="430" w:type="dxa"/>
            <w:vAlign w:val="center"/>
          </w:tcPr>
          <w:p>
            <w:pPr>
              <w:ind w:left="-141" w:leftChars="-67" w:right="-10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222" w:type="dxa"/>
            <w:vAlign w:val="center"/>
          </w:tcPr>
          <w:p>
            <w:pPr>
              <w:ind w:left="-84" w:leftChars="-40" w:right="-116"/>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701" w:type="dxa"/>
            <w:vAlign w:val="center"/>
          </w:tcPr>
          <w:p>
            <w:pPr>
              <w:ind w:left="-126" w:leftChars="-60" w:right="-12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ind w:left="-126" w:leftChars="-60" w:right="-12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25" w:type="dxa"/>
            <w:vAlign w:val="center"/>
          </w:tcPr>
          <w:p>
            <w:pPr>
              <w:ind w:left="-90" w:leftChars="-43" w:right="-104"/>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3" w:type="dxa"/>
            <w:vAlign w:val="center"/>
          </w:tcPr>
          <w:p>
            <w:pPr>
              <w:ind w:left="-111" w:leftChars="-53" w:right="-89" w:firstLine="111" w:firstLineChars="46"/>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ind w:left="-111" w:leftChars="-53" w:right="-89" w:firstLine="111" w:firstLineChars="46"/>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425" w:type="dxa"/>
            <w:vAlign w:val="center"/>
          </w:tcPr>
          <w:p>
            <w:pPr>
              <w:ind w:left="-141" w:leftChars="-67" w:right="-121"/>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06" w:type="dxa"/>
            <w:vAlign w:val="center"/>
          </w:tcPr>
          <w:p>
            <w:pPr>
              <w:ind w:left="-94" w:leftChars="-45" w:right="-73" w:firstLine="94" w:firstLineChars="39"/>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430" w:type="dxa"/>
            <w:vAlign w:val="center"/>
          </w:tcPr>
          <w:p>
            <w:pPr>
              <w:ind w:left="-141" w:leftChars="-67" w:right="-107" w:rightChars="-51"/>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222" w:type="dxa"/>
            <w:vAlign w:val="center"/>
          </w:tcPr>
          <w:p>
            <w:pPr>
              <w:ind w:left="-2" w:right="33"/>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包括内保外贷签约登记办理情况、担保履约的原因、履约资金来源、境外债务人还款计划及未来还款资金来源等</w:t>
            </w:r>
            <w:r>
              <w:rPr>
                <w:rFonts w:hint="eastAsia" w:ascii="Times New Roman" w:hAnsi="Times New Roman" w:eastAsia="仿宋_GB2312" w:cs="Times New Roman"/>
                <w:sz w:val="24"/>
                <w:szCs w:val="24"/>
              </w:rPr>
              <w:t>）</w:t>
            </w:r>
          </w:p>
        </w:tc>
        <w:tc>
          <w:tcPr>
            <w:tcW w:w="1701" w:type="dxa"/>
            <w:vAlign w:val="center"/>
          </w:tcPr>
          <w:p>
            <w:pPr>
              <w:ind w:right="-125"/>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425" w:type="dxa"/>
            <w:vAlign w:val="center"/>
          </w:tcPr>
          <w:p>
            <w:pPr>
              <w:ind w:left="-90" w:leftChars="-43" w:right="-104"/>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ind w:left="-111" w:leftChars="-53" w:right="-89" w:firstLine="110" w:firstLineChars="46"/>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5" w:type="dxa"/>
            <w:vAlign w:val="center"/>
          </w:tcPr>
          <w:p>
            <w:pPr>
              <w:ind w:right="300"/>
              <w:jc w:val="left"/>
              <w:rPr>
                <w:rFonts w:ascii="Times New Roman" w:hAnsi="Times New Roman" w:eastAsia="仿宋_GB2312" w:cs="Times New Roman"/>
                <w:sz w:val="24"/>
                <w:szCs w:val="24"/>
              </w:rPr>
            </w:pPr>
          </w:p>
        </w:tc>
        <w:tc>
          <w:tcPr>
            <w:tcW w:w="1206" w:type="dxa"/>
            <w:vAlign w:val="center"/>
          </w:tcPr>
          <w:p>
            <w:pPr>
              <w:ind w:right="-73"/>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rPr>
          <w:trHeight w:val="1321" w:hRule="atLeast"/>
        </w:trPr>
        <w:tc>
          <w:tcPr>
            <w:tcW w:w="430" w:type="dxa"/>
            <w:vAlign w:val="center"/>
          </w:tcPr>
          <w:p>
            <w:pPr>
              <w:ind w:left="-141" w:leftChars="-67" w:right="-10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222" w:type="dxa"/>
            <w:vAlign w:val="center"/>
          </w:tcPr>
          <w:p>
            <w:pPr>
              <w:ind w:left="-2" w:right="33"/>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担保履约证明材料</w:t>
            </w:r>
          </w:p>
        </w:tc>
        <w:tc>
          <w:tcPr>
            <w:tcW w:w="1701" w:type="dxa"/>
            <w:vAlign w:val="center"/>
          </w:tcPr>
          <w:p>
            <w:pPr>
              <w:ind w:right="-125"/>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25" w:type="dxa"/>
            <w:vAlign w:val="center"/>
          </w:tcPr>
          <w:p>
            <w:pPr>
              <w:ind w:left="-90" w:leftChars="-43" w:right="-104"/>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ind w:left="-111" w:leftChars="-53" w:right="-89" w:firstLine="110" w:firstLineChars="46"/>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5" w:type="dxa"/>
            <w:vAlign w:val="center"/>
          </w:tcPr>
          <w:p>
            <w:pPr>
              <w:ind w:right="300"/>
              <w:jc w:val="left"/>
              <w:rPr>
                <w:rFonts w:ascii="Times New Roman" w:hAnsi="Times New Roman" w:eastAsia="仿宋_GB2312" w:cs="Times New Roman"/>
                <w:sz w:val="24"/>
                <w:szCs w:val="24"/>
              </w:rPr>
            </w:pPr>
          </w:p>
        </w:tc>
        <w:tc>
          <w:tcPr>
            <w:tcW w:w="1206" w:type="dxa"/>
            <w:vAlign w:val="center"/>
          </w:tcPr>
          <w:p>
            <w:pPr>
              <w:ind w:right="-73"/>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（七）申请接受</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（八）基本办理流程</w:t>
      </w:r>
    </w:p>
    <w:p>
      <w:pPr>
        <w:tabs>
          <w:tab w:val="left" w:pos="615"/>
        </w:tabs>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（十一）审批收费依据及标准</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不收费。</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五）</w:t>
      </w:r>
      <w:r>
        <w:rPr>
          <w:rFonts w:ascii="Times New Roman" w:hAnsi="Times New Roman" w:eastAsia="黑体" w:cs="Times New Roman"/>
          <w:sz w:val="30"/>
          <w:szCs w:val="30"/>
        </w:rPr>
        <w:t>咨询途径</w:t>
      </w:r>
    </w:p>
    <w:p>
      <w:pPr>
        <w:adjustRightInd w:val="0"/>
        <w:snapToGrid w:val="0"/>
        <w:spacing w:line="360" w:lineRule="auto"/>
        <w:ind w:firstLine="585"/>
        <w:jc w:val="left"/>
        <w:outlineLvl w:val="0"/>
        <w:rPr>
          <w:rFonts w:ascii="Times New Roman" w:hAnsi="Times New Roman" w:eastAsia="仿宋_GB2312" w:cs="Times New Roman"/>
          <w:sz w:val="30"/>
          <w:szCs w:val="30"/>
          <w:lang w:val="en-US"/>
        </w:rPr>
      </w:pPr>
      <w:r>
        <w:rPr>
          <w:rFonts w:ascii="Times New Roman" w:hAnsi="Times New Roman" w:eastAsia="仿宋_GB2312" w:cs="Times New Roman"/>
          <w:sz w:val="30"/>
          <w:szCs w:val="30"/>
        </w:rPr>
        <w:t>（一）咨询窗口：国家外汇管理局</w:t>
      </w:r>
      <w:r>
        <w:rPr>
          <w:rFonts w:hint="eastAsia" w:ascii="Times New Roman" w:hAnsi="Times New Roman" w:eastAsia="仿宋_GB2312" w:cs="Times New Roman"/>
          <w:sz w:val="30"/>
          <w:szCs w:val="30"/>
          <w:lang w:eastAsia="zh-CN"/>
        </w:rPr>
        <w:t>宁夏回族自治区分局外汇处。</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（二）咨询电话：（0</w:t>
      </w:r>
      <w:r>
        <w:rPr>
          <w:rFonts w:hint="eastAsia" w:ascii="Times New Roman" w:hAnsi="Times New Roman" w:eastAsia="仿宋_GB2312" w:cs="Times New Roman"/>
          <w:sz w:val="30"/>
          <w:szCs w:val="30"/>
          <w:lang w:val="en-US" w:eastAsia="zh-CN"/>
        </w:rPr>
        <w:t>951</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5189608。</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lang w:eastAsia="zh-CN"/>
        </w:rPr>
        <w:t>三</w:t>
      </w:r>
      <w:r>
        <w:rPr>
          <w:rFonts w:ascii="Times New Roman" w:hAnsi="Times New Roman" w:eastAsia="仿宋_GB2312" w:cs="Times New Roman"/>
          <w:sz w:val="30"/>
          <w:szCs w:val="30"/>
        </w:rPr>
        <w:t>）咨询信件邮寄地址：</w:t>
      </w:r>
      <w:r>
        <w:rPr>
          <w:rFonts w:hint="default" w:ascii="Times New Roman" w:hAnsi="Times New Roman" w:eastAsia="仿宋_GB2312" w:cs="Times New Roman"/>
          <w:sz w:val="30"/>
          <w:szCs w:val="30"/>
        </w:rPr>
        <w:t>宁夏回族自治区银川市兴庆区北京东路215号</w:t>
      </w:r>
      <w:r>
        <w:rPr>
          <w:rFonts w:hint="eastAsia" w:ascii="Times New Roman" w:hAnsi="Times New Roman" w:eastAsia="仿宋_GB2312" w:cs="Times New Roman"/>
          <w:sz w:val="30"/>
          <w:szCs w:val="30"/>
          <w:lang w:eastAsia="zh-CN"/>
        </w:rPr>
        <w:t>外汇管理处</w:t>
      </w:r>
      <w:r>
        <w:rPr>
          <w:rFonts w:ascii="Times New Roman" w:hAnsi="Times New Roman" w:eastAsia="仿宋_GB2312" w:cs="Times New Roman"/>
          <w:sz w:val="30"/>
          <w:szCs w:val="30"/>
        </w:rPr>
        <w:t>，邮政编码</w:t>
      </w:r>
      <w:r>
        <w:rPr>
          <w:rFonts w:hint="eastAsia" w:ascii="Times New Roman" w:hAnsi="Times New Roman" w:eastAsia="仿宋_GB2312" w:cs="Times New Roman"/>
          <w:sz w:val="30"/>
          <w:szCs w:val="30"/>
          <w:lang w:val="en-US" w:eastAsia="zh-CN"/>
        </w:rPr>
        <w:t>750001。</w:t>
      </w:r>
      <w:bookmarkStart w:id="0" w:name="_GoBack"/>
      <w:bookmarkEnd w:id="0"/>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六）</w:t>
      </w:r>
      <w:r>
        <w:rPr>
          <w:rFonts w:ascii="Times New Roman" w:hAnsi="Times New Roman" w:eastAsia="黑体" w:cs="Times New Roman"/>
          <w:sz w:val="30"/>
          <w:szCs w:val="30"/>
        </w:rPr>
        <w:t>监督和投诉渠道</w:t>
      </w:r>
    </w:p>
    <w:p>
      <w:pPr>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监督和投诉等可通过</w:t>
      </w: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lang w:eastAsia="zh-CN"/>
        </w:rPr>
        <w:t>宁夏回族自治区分局</w:t>
      </w:r>
      <w:r>
        <w:rPr>
          <w:rFonts w:hint="eastAsia" w:ascii="Times New Roman" w:hAnsi="Times New Roman" w:eastAsia="仿宋_GB2312" w:cs="Times New Roman"/>
          <w:sz w:val="30"/>
          <w:szCs w:val="30"/>
        </w:rPr>
        <w:t>网站</w:t>
      </w:r>
      <w:r>
        <w:fldChar w:fldCharType="begin"/>
      </w:r>
      <w:r>
        <w:instrText xml:space="preserve"> HYPERLINK "http://www.safe.gov.cn" </w:instrText>
      </w:r>
      <w:r>
        <w:fldChar w:fldCharType="separate"/>
      </w:r>
      <w:r>
        <w:rPr>
          <w:rFonts w:ascii="Times New Roman" w:hAnsi="Times New Roman" w:cs="Times New Roman"/>
          <w:sz w:val="30"/>
          <w:szCs w:val="30"/>
        </w:rPr>
        <w:t>www.safe.gov.cn</w:t>
      </w:r>
      <w:r>
        <w:rPr>
          <w:rFonts w:ascii="Times New Roman" w:hAnsi="Times New Roman" w:cs="Times New Roman"/>
          <w:sz w:val="30"/>
          <w:szCs w:val="30"/>
        </w:rPr>
        <w:fldChar w:fldCharType="end"/>
      </w:r>
      <w:r>
        <w:rPr>
          <w:rFonts w:hint="eastAsia" w:ascii="Times New Roman" w:hAnsi="Times New Roman" w:cs="Times New Roman"/>
          <w:sz w:val="30"/>
          <w:szCs w:val="30"/>
          <w:lang w:val="en-US" w:eastAsia="zh-CN"/>
        </w:rPr>
        <w:t>/ningxia/</w:t>
      </w:r>
      <w:r>
        <w:rPr>
          <w:rFonts w:hint="eastAsia" w:ascii="Times New Roman" w:hAnsi="Times New Roman" w:eastAsia="仿宋_GB2312" w:cs="Times New Roman"/>
          <w:sz w:val="30"/>
          <w:szCs w:val="30"/>
        </w:rPr>
        <w:t>的</w:t>
      </w:r>
      <w:r>
        <w:rPr>
          <w:rFonts w:hint="eastAsia" w:ascii="Times New Roman" w:hAnsi="Times New Roman" w:eastAsia="仿宋_GB2312" w:cs="Times New Roman"/>
          <w:sz w:val="30"/>
          <w:szCs w:val="30"/>
          <w:lang w:eastAsia="zh-CN"/>
        </w:rPr>
        <w:t>投诉建议</w:t>
      </w:r>
      <w:r>
        <w:rPr>
          <w:rFonts w:hint="eastAsia" w:ascii="Times New Roman" w:hAnsi="Times New Roman" w:eastAsia="仿宋_GB2312" w:cs="Times New Roman"/>
          <w:sz w:val="30"/>
          <w:szCs w:val="30"/>
        </w:rPr>
        <w:t>栏目进行</w:t>
      </w:r>
      <w:r>
        <w:rPr>
          <w:rFonts w:hint="eastAsia" w:ascii="Times New Roman" w:hAnsi="Times New Roman" w:eastAsia="仿宋_GB2312" w:cs="Times New Roman"/>
          <w:sz w:val="30"/>
          <w:szCs w:val="30"/>
          <w:lang w:val="en-US" w:eastAsia="zh-CN"/>
        </w:rPr>
        <w:t>,</w:t>
      </w:r>
      <w:r>
        <w:rPr>
          <w:rFonts w:hint="eastAsia" w:ascii="Times New Roman" w:hAnsi="Times New Roman" w:eastAsia="仿宋_GB2312" w:cs="Times New Roman"/>
          <w:sz w:val="30"/>
          <w:szCs w:val="30"/>
        </w:rPr>
        <w:t>也可通过</w:t>
      </w:r>
      <w:r>
        <w:rPr>
          <w:rFonts w:hint="eastAsia" w:ascii="Times New Roman" w:hAnsi="Times New Roman" w:eastAsia="仿宋_GB2312" w:cs="Times New Roman"/>
          <w:sz w:val="30"/>
          <w:szCs w:val="30"/>
          <w:lang w:eastAsia="zh-CN"/>
        </w:rPr>
        <w:t>该</w:t>
      </w:r>
      <w:r>
        <w:rPr>
          <w:rFonts w:hint="eastAsia" w:ascii="Times New Roman" w:hAnsi="Times New Roman" w:eastAsia="仿宋_GB2312" w:cs="Times New Roman"/>
          <w:sz w:val="30"/>
          <w:szCs w:val="30"/>
        </w:rPr>
        <w:t>网站公布的电话进行。</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（十七）</w:t>
      </w:r>
      <w:r>
        <w:rPr>
          <w:rFonts w:ascii="Times New Roman" w:hAnsi="Times New Roman" w:eastAsia="黑体" w:cs="Times New Roman"/>
          <w:sz w:val="30"/>
          <w:szCs w:val="30"/>
        </w:rPr>
        <w:t>办公地址和时间</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（一）办公地址。</w:t>
      </w:r>
      <w:r>
        <w:rPr>
          <w:rFonts w:hint="default" w:ascii="Times New Roman" w:hAnsi="Times New Roman" w:eastAsia="仿宋_GB2312" w:cs="Times New Roman"/>
          <w:sz w:val="30"/>
          <w:szCs w:val="30"/>
        </w:rPr>
        <w:t>宁夏回族自治区银川市兴庆区北京东路215号</w:t>
      </w:r>
      <w:r>
        <w:rPr>
          <w:rFonts w:hint="eastAsia" w:ascii="Times New Roman" w:hAnsi="Times New Roman" w:eastAsia="仿宋_GB2312" w:cs="Times New Roman"/>
          <w:sz w:val="30"/>
          <w:szCs w:val="30"/>
          <w:lang w:eastAsia="zh-CN"/>
        </w:rPr>
        <w:t>外汇管理处</w:t>
      </w:r>
      <w:r>
        <w:rPr>
          <w:rFonts w:ascii="Times New Roman" w:hAnsi="Times New Roman" w:eastAsia="仿宋_GB2312" w:cs="Times New Roman"/>
          <w:sz w:val="30"/>
          <w:szCs w:val="30"/>
        </w:rPr>
        <w:t>，邮政编码</w:t>
      </w:r>
      <w:r>
        <w:rPr>
          <w:rFonts w:hint="eastAsia" w:ascii="Times New Roman" w:hAnsi="Times New Roman" w:eastAsia="仿宋_GB2312" w:cs="Times New Roman"/>
          <w:sz w:val="30"/>
          <w:szCs w:val="30"/>
          <w:lang w:val="en-US" w:eastAsia="zh-CN"/>
        </w:rPr>
        <w:t>750001</w:t>
      </w:r>
      <w:r>
        <w:rPr>
          <w:rFonts w:ascii="Times New Roman" w:hAnsi="Times New Roman" w:eastAsia="仿宋_GB2312" w:cs="Times New Roman"/>
          <w:sz w:val="30"/>
          <w:szCs w:val="30"/>
        </w:rPr>
        <w:t>。</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（二）办公时间。周一至周五，</w:t>
      </w:r>
      <w:r>
        <w:rPr>
          <w:rFonts w:hint="eastAsia" w:ascii="Times New Roman" w:hAnsi="Times New Roman" w:eastAsia="仿宋_GB2312" w:cs="Times New Roman"/>
          <w:sz w:val="30"/>
          <w:szCs w:val="30"/>
          <w:lang w:val="en-US" w:eastAsia="zh-CN"/>
        </w:rPr>
        <w:t>夏季上午08:30到12:00,下午14:30到18:00；冬季上午08:30到12:00,下午14:00到17:30；周六、周日及法定节假日不对外办理业务。</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（三）乘车路线。公交车</w:t>
      </w:r>
      <w:r>
        <w:rPr>
          <w:rFonts w:hint="eastAsia" w:ascii="Times New Roman" w:hAnsi="Times New Roman" w:eastAsia="仿宋_GB2312" w:cs="Times New Roman"/>
          <w:sz w:val="30"/>
          <w:szCs w:val="30"/>
          <w:lang w:val="en-US" w:eastAsia="zh-CN"/>
        </w:rPr>
        <w:t>101、101A、19、18路公交线路经停，可在临湖小区站上/下车。</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（十八）</w:t>
      </w:r>
      <w:r>
        <w:rPr>
          <w:rFonts w:ascii="Times New Roman" w:hAnsi="Times New Roman" w:eastAsia="黑体" w:cs="Times New Roman"/>
          <w:sz w:val="30"/>
          <w:szCs w:val="30"/>
        </w:rPr>
        <w:t>公开查询</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办理时限结束之日后，申请人可通过电话查询。</w:t>
      </w: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组合 1026" o:spid="_x0000_s1027" style="position:absolute;left:0;margin-left:-13.25pt;margin-top:14.1pt;height:586.05pt;width:446.05pt;rotation:0f;z-index:251658240;" coordorigin="0,0" coordsize="8921,11721">
            <o:lock v:ext="edit" position="f" selection="f" grouping="f" rotation="f" cropping="f" text="f" aspectratio="f"/>
            <v:rect id="Rectangle 1150" o:spid="_x0000_s102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151" o:spid="_x0000_s102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152" o:spid="_x0000_s103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153" o:spid="_x0000_s1031" type="#_x0000_t32" style="position:absolute;left:4382;top:7693;height:626;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154" o:spid="_x0000_s1032" type="#_x0000_t32" style="position:absolute;left:6331;top:9568;height:109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155" o:spid="_x0000_s1033" type="#_x0000_t32" style="position:absolute;left:2358;top:9568;height:103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156" o:spid="_x0000_s1034" type="#_x0000_t32" style="position:absolute;left:4383;top:8853;height:715;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157" o:spid="_x0000_s1035" type="#_x0000_t32" style="position:absolute;left:2359;top:9568;height:0;width:3972;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35" o:spid="_x0000_s1036" style="position:absolute;left:0;top:0;height:7693;width:8921;rotation:0f;" coordorigin="0,0" coordsize="8921,7693">
              <o:lock v:ext="edit" position="f" selection="f" grouping="f" rotation="f" cropping="f" text="f" aspectratio="f"/>
              <v:shape id="AutoShape 1159" o:spid="_x0000_s1037" type="#_x0000_t32" style="position:absolute;left:5893;top:6566;height:60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id="组合 1037" o:spid="_x0000_s1038" style="position:absolute;left:0;top:0;height:7693;width:8921;rotation:0f;" coordorigin="0,0" coordsize="8921,7693">
                <o:lock v:ext="edit" position="f" selection="f" grouping="f" rotation="f" cropping="f" text="f" aspectratio="f"/>
                <v:shape id="AutoShape 1161" o:spid="_x0000_s1039" type="#_x0000_t34" style="position:absolute;left:6366;top:3154;height:1285;width:3823;rotation:17694720f;" o:ole="f" fillcolor="#FFFFFF" filled="t" o:preferrelative="t" stroked="t" coordorigin="0,0" coordsize="21600,21600" adj="33">
                  <v:stroke color="#000000" color2="#FFFFFF" miterlimit="2"/>
                  <v:imagedata gain="65536f" blacklevel="0f" gamma="0"/>
                  <o:lock v:ext="edit" position="f" selection="f" grouping="f" rotation="f" cropping="f" text="f" aspectratio="f"/>
                </v:shape>
                <v:shape id="Text Box 1162" o:spid="_x0000_s104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163" o:spid="_x0000_s1041" type="#_x0000_t32" style="position:absolute;left:5893;top:4472;height:37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1164" o:spid="_x0000_s104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165" o:spid="_x0000_s104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166" o:spid="_x0000_s104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167" o:spid="_x0000_s104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168" o:spid="_x0000_s1046"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046" o:spid="_x0000_s1047" style="position:absolute;left:0;top:0;height:7424;width:4594;rotation:0f;" coordorigin="0,0" coordsize="4594,7424">
                  <o:lock v:ext="edit" position="f" selection="f" grouping="f" rotation="f" cropping="f" text="f" aspectratio="f"/>
                  <v:shape id="AutoShape 1170" o:spid="_x0000_s1048" type="#_x0000_t32" style="position:absolute;left:3663;top:3910;height:0;width:93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171" o:spid="_x0000_s1049" type="#_x0000_t32" style="position:absolute;left:1355;top:3986;height:3437;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49" o:spid="_x0000_s1050" style="position:absolute;left:0;top:0;height:3986;width:3629;rotation:0f;" coordorigin="0,0" coordsize="3629,3986">
                    <o:lock v:ext="edit" position="f" selection="f" grouping="f" rotation="f" cropping="f" text="f" aspectratio="f"/>
                    <v:shape id="AutoShape 1173" o:spid="_x0000_s1051" type="#_x0000_t32" style="position:absolute;left:1396;top:1172;height:764;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174" o:spid="_x0000_s1052" type="#_x0000_t32" style="position:absolute;left:2400;top:2967;height:0;width:1229;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175" o:spid="_x0000_s1053"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176" o:spid="_x0000_s105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177" o:spid="_x0000_s1055" type="#_x0000_t32" style="position:absolute;left:1355;top:7423;height:1;width:121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178" o:spid="_x0000_s1056" type="#_x0000_t32" style="position:absolute;left:3663;top:1999;height:192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179" o:spid="_x0000_s1057" type="#_x0000_t32" style="position:absolute;left:3663;top:1989;height:1;width:90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1180" o:spid="_x0000_s105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181" o:spid="_x0000_s105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182" o:spid="_x0000_s1060" type="#_x0000_t32" style="position:absolute;left:7384;top:1886;flip:x;height:0;width:153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group>
          </v:group>
        </w:pic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附录二</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1．问：对于担保人在境内、债务人在境外的其他形式的跨境担保，担保履约后构成对外债权的，是否应当办理对外债权登记。</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答：应当办理。</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2．问：境内银行发生内保外贷履约，如有反担保人，是否应当办理对外债权登记，由谁来申请？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答：境内银行发生内保外贷履约，如有反担保人，应由反担保人申请办理对外债权登记。</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3．问：银行</w:t>
      </w:r>
      <w:r>
        <w:rPr>
          <w:rFonts w:ascii="Times New Roman" w:hAnsi="Times New Roman" w:eastAsia="仿宋_GB2312" w:cs="Times New Roman"/>
          <w:kern w:val="0"/>
          <w:sz w:val="30"/>
          <w:szCs w:val="30"/>
        </w:rPr>
        <w:t>银行发生内保外贷担保履约的</w:t>
      </w:r>
      <w:r>
        <w:rPr>
          <w:rFonts w:ascii="Times New Roman" w:hAnsi="Times New Roman" w:eastAsia="仿宋_GB2312" w:cs="Times New Roman"/>
          <w:sz w:val="30"/>
          <w:szCs w:val="30"/>
        </w:rPr>
        <w:t>，应注意什么问题？</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答：银行发生内保外贷担保履约的，相关结售汇纳入银行自身结售汇管理。《国家外汇管理局关于进一步推进外汇管理改革完善真实合规性审核的通知》（汇发〔2017〕3号）实施后银行新提供的内保外贷，如果发生担保项下主债务违约，银行应先使用自有资金履约，不得以反担保资金直接购汇履约；银行履约后造成本外币资金不匹配的，需经所在地外汇分局资本项目管理部门备案后办理结售汇相关手续。</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4．问：境内企业发生内保外贷履约形成对外债权的，其对外债权余额是否应纳入该企业境外放款额度管理？</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答：境内企业发生内保外贷履约形成对外债权的，其对外债权余额应纳入该企业境外放款额度管理。境内企业内保外贷履约对外债权余额与该企业境外放款余额之和不得超过该企业所有者权益的30%；如果超过30%，可以先为该企业办理对外债权登记，但在对外债权余额与境外放款余额之和恢复到该企业所有者权益的30%以内之前，未经外汇局批准，该企业不得办理新的境外放款业务。</w:t>
      </w:r>
    </w:p>
    <w:sectPr>
      <w:footerReference r:id="rId5"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altName w:val="仿宋_GB2312"/>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5</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2</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annotation subject"/>
    <w:lsdException w:qFormat="1"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1"/>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2"/>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3"/>
    <w:qFormat/>
    <w:uiPriority w:val="9"/>
    <w:pPr>
      <w:ind w:right="300"/>
      <w:outlineLvl w:val="2"/>
    </w:pPr>
    <w:rPr>
      <w:rFonts w:ascii="仿宋_GB2312" w:hAnsi="Calibri" w:eastAsia="仿宋_GB2312" w:cs="Times New Roman"/>
      <w:sz w:val="30"/>
      <w:szCs w:val="30"/>
    </w:rPr>
  </w:style>
  <w:style w:type="character" w:default="1" w:styleId="12">
    <w:name w:val="Default Paragraph Font"/>
    <w:semiHidden/>
    <w:unhideWhenUsed/>
    <w:uiPriority w:val="1"/>
  </w:style>
  <w:style w:type="paragraph" w:styleId="5">
    <w:name w:val="Document Map"/>
    <w:basedOn w:val="1"/>
    <w:link w:val="36"/>
    <w:unhideWhenUsed/>
    <w:uiPriority w:val="0"/>
    <w:rPr>
      <w:rFonts w:ascii="宋体"/>
      <w:sz w:val="18"/>
      <w:szCs w:val="18"/>
    </w:rPr>
  </w:style>
  <w:style w:type="paragraph" w:styleId="6">
    <w:name w:val="annotation text"/>
    <w:basedOn w:val="1"/>
    <w:link w:val="30"/>
    <w:unhideWhenUsed/>
    <w:qFormat/>
    <w:uiPriority w:val="99"/>
    <w:pPr>
      <w:jc w:val="left"/>
    </w:pPr>
    <w:rPr>
      <w:rFonts w:ascii="Calibri" w:hAnsi="Calibri" w:eastAsia="宋体" w:cs="Times New Roman"/>
    </w:rPr>
  </w:style>
  <w:style w:type="paragraph" w:styleId="7">
    <w:name w:val="Balloon Text"/>
    <w:basedOn w:val="1"/>
    <w:link w:val="28"/>
    <w:unhideWhenUsed/>
    <w:qFormat/>
    <w:uiPriority w:val="0"/>
    <w:rPr>
      <w:sz w:val="18"/>
      <w:szCs w:val="18"/>
    </w:rPr>
  </w:style>
  <w:style w:type="paragraph" w:styleId="8">
    <w:name w:val="footer"/>
    <w:basedOn w:val="1"/>
    <w:link w:val="27"/>
    <w:unhideWhenUsed/>
    <w:uiPriority w:val="99"/>
    <w:pPr>
      <w:tabs>
        <w:tab w:val="center" w:pos="4153"/>
        <w:tab w:val="right" w:pos="8306"/>
      </w:tabs>
      <w:snapToGrid w:val="0"/>
      <w:jc w:val="left"/>
    </w:pPr>
    <w:rPr>
      <w:sz w:val="18"/>
      <w:szCs w:val="18"/>
    </w:rPr>
  </w:style>
  <w:style w:type="paragraph" w:styleId="9">
    <w:name w:val="header"/>
    <w:basedOn w:val="1"/>
    <w:link w:val="26"/>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4"/>
    <w:semiHidden/>
    <w:qFormat/>
    <w:uiPriority w:val="0"/>
    <w:pPr>
      <w:snapToGrid w:val="0"/>
      <w:jc w:val="left"/>
    </w:pPr>
    <w:rPr>
      <w:kern w:val="2"/>
      <w:sz w:val="18"/>
      <w:szCs w:val="18"/>
    </w:rPr>
  </w:style>
  <w:style w:type="character" w:customStyle="1" w:styleId="11">
    <w:name w:val="脚注文本 Char"/>
    <w:basedOn w:val="12"/>
    <w:semiHidden/>
    <w:uiPriority w:val="99"/>
    <w:rPr>
      <w:kern w:val="2"/>
      <w:sz w:val="18"/>
      <w:szCs w:val="18"/>
    </w:rPr>
  </w:style>
  <w:style w:type="paragraph" w:styleId="13">
    <w:name w:val="HTML Preformatted"/>
    <w:basedOn w:val="1"/>
    <w:link w:val="29"/>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Hyperlink"/>
    <w:basedOn w:val="12"/>
    <w:unhideWhenUsed/>
    <w:uiPriority w:val="99"/>
    <w:rPr>
      <w:rFonts w:hint="default" w:ascii="ˎ̥" w:hAnsi="ˎ̥"/>
      <w:color w:val="0453CC"/>
      <w:sz w:val="20"/>
      <w:szCs w:val="20"/>
      <w:u w:val="none"/>
    </w:rPr>
  </w:style>
  <w:style w:type="character" w:styleId="16">
    <w:name w:val="annotation reference"/>
    <w:basedOn w:val="12"/>
    <w:semiHidden/>
    <w:unhideWhenUsed/>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paragraph" w:customStyle="1" w:styleId="18">
    <w:name w:val="List Paragraph"/>
    <w:basedOn w:val="1"/>
    <w:qFormat/>
    <w:uiPriority w:val="99"/>
    <w:pPr>
      <w:ind w:firstLine="420" w:firstLineChars="200"/>
    </w:pPr>
  </w:style>
  <w:style w:type="paragraph" w:customStyle="1" w:styleId="19">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0">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1">
    <w:name w:val="Revision"/>
    <w:hidden/>
    <w:semiHidden/>
    <w:uiPriority w:val="99"/>
    <w:rPr>
      <w:rFonts w:ascii="Calibri" w:hAnsi="Calibri" w:eastAsia="宋体" w:cs="黑体"/>
      <w:kern w:val="2"/>
      <w:sz w:val="21"/>
      <w:szCs w:val="22"/>
      <w:lang w:val="en-US" w:eastAsia="zh-CN" w:bidi="ar-SA"/>
    </w:rPr>
  </w:style>
  <w:style w:type="paragraph" w:customStyle="1" w:styleId="22">
    <w:name w:val="列出段落1"/>
    <w:basedOn w:val="1"/>
    <w:qFormat/>
    <w:uiPriority w:val="34"/>
    <w:pPr>
      <w:ind w:firstLine="420" w:firstLineChars="200"/>
    </w:pPr>
    <w:rPr>
      <w:rFonts w:ascii="Calibri" w:hAnsi="Calibri" w:eastAsia="宋体" w:cs="Times New Roman"/>
    </w:rPr>
  </w:style>
  <w:style w:type="paragraph" w:customStyle="1" w:styleId="23">
    <w:name w:val="列出段落4"/>
    <w:basedOn w:val="1"/>
    <w:qFormat/>
    <w:uiPriority w:val="0"/>
    <w:pPr>
      <w:ind w:firstLine="200" w:firstLineChars="200"/>
    </w:pPr>
    <w:rPr>
      <w:rFonts w:ascii="Calibri" w:hAnsi="Calibri" w:eastAsia="宋体" w:cs="Times New Roman"/>
    </w:rPr>
  </w:style>
  <w:style w:type="paragraph" w:customStyle="1" w:styleId="24">
    <w:name w:val="列出段落3"/>
    <w:basedOn w:val="1"/>
    <w:qFormat/>
    <w:uiPriority w:val="0"/>
    <w:pPr>
      <w:ind w:firstLine="420" w:firstLineChars="200"/>
    </w:pPr>
    <w:rPr>
      <w:rFonts w:ascii="Times New Roman" w:hAnsi="Times New Roman" w:eastAsia="宋体" w:cs="Times New Roman"/>
      <w:szCs w:val="24"/>
    </w:rPr>
  </w:style>
  <w:style w:type="paragraph" w:customStyle="1" w:styleId="25">
    <w:name w:val="p0"/>
    <w:basedOn w:val="1"/>
    <w:uiPriority w:val="0"/>
    <w:pPr>
      <w:widowControl/>
    </w:pPr>
    <w:rPr>
      <w:rFonts w:ascii="Calibri" w:hAnsi="Calibri" w:eastAsia="宋体" w:cs="宋体"/>
      <w:kern w:val="0"/>
      <w:szCs w:val="21"/>
    </w:rPr>
  </w:style>
  <w:style w:type="character" w:customStyle="1" w:styleId="26">
    <w:name w:val="页眉 Char Char"/>
    <w:basedOn w:val="12"/>
    <w:link w:val="9"/>
    <w:uiPriority w:val="99"/>
    <w:rPr>
      <w:sz w:val="18"/>
      <w:szCs w:val="18"/>
    </w:rPr>
  </w:style>
  <w:style w:type="character" w:customStyle="1" w:styleId="27">
    <w:name w:val="页脚 Char Char"/>
    <w:basedOn w:val="12"/>
    <w:link w:val="8"/>
    <w:uiPriority w:val="99"/>
    <w:rPr>
      <w:sz w:val="18"/>
      <w:szCs w:val="18"/>
    </w:rPr>
  </w:style>
  <w:style w:type="character" w:customStyle="1" w:styleId="28">
    <w:name w:val="批注框文本 Char Char"/>
    <w:basedOn w:val="12"/>
    <w:link w:val="7"/>
    <w:uiPriority w:val="0"/>
    <w:rPr>
      <w:sz w:val="18"/>
      <w:szCs w:val="18"/>
    </w:rPr>
  </w:style>
  <w:style w:type="character" w:customStyle="1" w:styleId="29">
    <w:name w:val="HTML 预设格式 Char Char"/>
    <w:basedOn w:val="12"/>
    <w:link w:val="13"/>
    <w:uiPriority w:val="99"/>
    <w:rPr>
      <w:rFonts w:ascii="宋体" w:hAnsi="宋体" w:eastAsia="宋体" w:cs="宋体"/>
      <w:kern w:val="0"/>
      <w:sz w:val="24"/>
      <w:szCs w:val="24"/>
    </w:rPr>
  </w:style>
  <w:style w:type="character" w:customStyle="1" w:styleId="30">
    <w:name w:val="批注文字 Char Char"/>
    <w:basedOn w:val="12"/>
    <w:link w:val="6"/>
    <w:uiPriority w:val="0"/>
    <w:rPr>
      <w:rFonts w:ascii="Calibri" w:hAnsi="Calibri" w:eastAsia="宋体" w:cs="Times New Roman"/>
    </w:rPr>
  </w:style>
  <w:style w:type="character" w:customStyle="1" w:styleId="31">
    <w:name w:val="标题 1 Char Char"/>
    <w:basedOn w:val="12"/>
    <w:link w:val="2"/>
    <w:uiPriority w:val="9"/>
    <w:rPr>
      <w:rFonts w:ascii="黑体" w:hAnsi="黑体" w:eastAsia="黑体" w:cs="宋体"/>
      <w:color w:val="000000"/>
      <w:kern w:val="0"/>
      <w:sz w:val="30"/>
      <w:szCs w:val="30"/>
    </w:rPr>
  </w:style>
  <w:style w:type="character" w:customStyle="1" w:styleId="32">
    <w:name w:val="标题 2 Char Char"/>
    <w:basedOn w:val="12"/>
    <w:link w:val="3"/>
    <w:uiPriority w:val="0"/>
    <w:rPr>
      <w:rFonts w:ascii="Cambria" w:hAnsi="Cambria" w:eastAsia="宋体" w:cs="Times New Roman"/>
      <w:b/>
      <w:bCs/>
      <w:sz w:val="32"/>
      <w:szCs w:val="32"/>
    </w:rPr>
  </w:style>
  <w:style w:type="character" w:customStyle="1" w:styleId="33">
    <w:name w:val="标题 3 Char Char"/>
    <w:basedOn w:val="12"/>
    <w:link w:val="4"/>
    <w:uiPriority w:val="9"/>
    <w:rPr>
      <w:rFonts w:ascii="仿宋_GB2312" w:hAnsi="Calibri" w:eastAsia="仿宋_GB2312" w:cs="Times New Roman"/>
      <w:sz w:val="30"/>
      <w:szCs w:val="30"/>
    </w:rPr>
  </w:style>
  <w:style w:type="character" w:customStyle="1" w:styleId="34">
    <w:name w:val="脚注文本 Char1"/>
    <w:basedOn w:val="12"/>
    <w:link w:val="10"/>
    <w:uiPriority w:val="0"/>
    <w:rPr>
      <w:rFonts w:ascii="Times New Roman" w:hAnsi="Times New Roman"/>
      <w:sz w:val="18"/>
      <w:szCs w:val="18"/>
    </w:rPr>
  </w:style>
  <w:style w:type="character" w:customStyle="1" w:styleId="35">
    <w:name w:val="标题 4 Char Char"/>
    <w:qFormat/>
    <w:uiPriority w:val="0"/>
    <w:rPr>
      <w:rFonts w:ascii="Calibri" w:hAnsi="Calibri"/>
      <w:b/>
      <w:bCs/>
      <w:sz w:val="28"/>
      <w:szCs w:val="28"/>
      <w:lang w:eastAsia="en-US" w:bidi="en-US"/>
    </w:rPr>
  </w:style>
  <w:style w:type="character" w:customStyle="1" w:styleId="36">
    <w:name w:val="文档结构图 Char Char"/>
    <w:basedOn w:val="12"/>
    <w:link w:val="5"/>
    <w:uiPriority w:val="0"/>
    <w:rPr>
      <w:rFonts w:ascii="宋体"/>
      <w:sz w:val="18"/>
      <w:szCs w:val="18"/>
    </w:rPr>
  </w:style>
  <w:style w:type="character" w:customStyle="1" w:styleId="37">
    <w:name w:val="批注文字 Char1"/>
    <w:basedOn w:val="12"/>
    <w:semiHidden/>
    <w:uiPriority w:val="99"/>
    <w:rPr>
      <w:kern w:val="2"/>
      <w:sz w:val="21"/>
      <w:szCs w:val="22"/>
    </w:rPr>
  </w:style>
  <w:style w:type="character" w:customStyle="1" w:styleId="38">
    <w:name w:val="Intense Emphasis"/>
    <w:basedOn w:val="12"/>
    <w:qFormat/>
    <w:uiPriority w:val="21"/>
    <w:rPr>
      <w:b/>
      <w:bCs/>
      <w:i/>
      <w:iCs/>
      <w:color w:val="4F81BD"/>
    </w:rPr>
  </w:style>
  <w:style w:type="character" w:customStyle="1" w:styleId="39">
    <w:name w:val="文档结构图 Char1"/>
    <w:basedOn w:val="12"/>
    <w:semiHidden/>
    <w:qFormat/>
    <w:uiPriority w:val="99"/>
    <w:rPr>
      <w:rFonts w:ascii="宋体" w:eastAsia="宋体"/>
      <w:sz w:val="18"/>
      <w:szCs w:val="18"/>
    </w:rPr>
  </w:style>
  <w:style w:type="character" w:customStyle="1" w:styleId="40">
    <w:name w:val="脚注文本 Char2"/>
    <w:basedOn w:val="12"/>
    <w:semiHidden/>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348</Words>
  <Characters>1985</Characters>
  <Lines>16</Lines>
  <Paragraphs>4</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2020-03-17T08:13:00Z</dcterms:created>
  <dc:creator>裴建君2</dc:creator>
  <cp:lastModifiedBy>杜鑫/外汇管理处/银川/PBC</cp:lastModifiedBy>
  <cp:lastPrinted>2021-04-25T12:44:00Z</cp:lastPrinted>
  <dcterms:modified xsi:type="dcterms:W3CDTF">2021-04-27T09:18:32Z</dcterms:modified>
  <dc:title>编号：57007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