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Times New Roman" w:hAnsi="Times New Roman" w:eastAsia="仿宋_GB2312" w:cs="Times New Roman"/>
          <w:sz w:val="30"/>
          <w:szCs w:val="30"/>
          <w:lang w:eastAsia="zh-CN"/>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pStyle w:val="19"/>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19"/>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办理时限结束之日后，申请人可通过电话查询。</w:t>
      </w:r>
    </w:p>
    <w:p>
      <w:pPr>
        <w:adjustRightInd w:val="0"/>
        <w:snapToGrid w:val="0"/>
        <w:spacing w:line="360" w:lineRule="auto"/>
        <w:ind w:firstLine="600"/>
        <w:rPr>
          <w:rFonts w:ascii="Times New Roman" w:hAnsi="Times New Roman" w:eastAsia="仿宋_GB2312" w:cs="Times New Roman"/>
          <w:sz w:val="30"/>
          <w:szCs w:val="30"/>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组合 1026" o:spid="_x0000_s1027" style="position:absolute;left:0;margin-left:-18pt;margin-top:-32.15pt;height:586.05pt;width:453.65pt;rotation:0f;z-index:251658240;"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346;top:7833;height:1733;width:363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4050;height:1710;width:292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195;top:3000;height:4066;width:3781;rotation:0f;" coordorigin="1195,3000" coordsize="3781,4066">
                    <o:lock v:ext="edit" position="f" selection="f" grouping="f" rotation="f" cropping="f" text="f" aspectratio="f"/>
                    <v:shape id="AutoShape 29" o:spid="_x0000_s1051" type="#_x0000_t32" style="position:absolute;left:2743;top:4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0" o:spid="_x0000_s1052" type="#_x0000_t32" style="position:absolute;left:4188;top:5967;flip:y;height:26;width:788;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1" o:spid="_x0000_s1053" type="#_x0000_t4" style="position:absolute;left:1195;top:4919;height:2147;width:299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927;top:4886;flip:x;height:0;width:134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headerReference r:id="rId4" w:type="default"/>
      <w:footerReference r:id="rId6" w:type="default"/>
      <w:headerReference r:id="rId5" w:type="even"/>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59936">
    <w:nsid w:val="5A10F1E0"/>
    <w:multiLevelType w:val="singleLevel"/>
    <w:tmpl w:val="5A10F1E0"/>
    <w:lvl w:ilvl="0" w:tentative="1">
      <w:start w:val="3"/>
      <w:numFmt w:val="chineseCounting"/>
      <w:suff w:val="nothing"/>
      <w:lvlText w:val="%1、"/>
      <w:lvlJc w:val="left"/>
    </w:lvl>
  </w:abstractNum>
  <w:abstractNum w:abstractNumId="1511059921">
    <w:nsid w:val="5A10F1D1"/>
    <w:multiLevelType w:val="singleLevel"/>
    <w:tmpl w:val="5A10F1D1"/>
    <w:lvl w:ilvl="0" w:tentative="1">
      <w:start w:val="2"/>
      <w:numFmt w:val="chineseCounting"/>
      <w:suff w:val="nothing"/>
      <w:lvlText w:val="%1、"/>
      <w:lvlJc w:val="left"/>
    </w:lvl>
  </w:abstractNum>
  <w:num w:numId="1">
    <w:abstractNumId w:val="1511059921"/>
  </w:num>
  <w:num w:numId="2">
    <w:abstractNumId w:val="15110599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24"/>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5"/>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26"/>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5"/>
    <w:unhideWhenUsed/>
    <w:qFormat/>
    <w:uiPriority w:val="0"/>
    <w:rPr>
      <w:rFonts w:ascii="宋体"/>
      <w:sz w:val="18"/>
      <w:szCs w:val="18"/>
    </w:rPr>
  </w:style>
  <w:style w:type="paragraph" w:styleId="6">
    <w:name w:val="annotation text"/>
    <w:basedOn w:val="1"/>
    <w:link w:val="32"/>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31"/>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footnote reference"/>
    <w:unhideWhenUsed/>
    <w:qFormat/>
    <w:uiPriority w:val="0"/>
    <w:rPr>
      <w:rFonts w:ascii="Times New Roman" w:hAnsi="Times New Roman" w:cs="Times New Roman"/>
      <w:vertAlign w:val="superscript"/>
    </w:rPr>
  </w:style>
  <w:style w:type="paragraph" w:customStyle="1" w:styleId="16">
    <w:name w:val="List Paragraph"/>
    <w:basedOn w:val="1"/>
    <w:qFormat/>
    <w:uiPriority w:val="99"/>
    <w:pPr>
      <w:ind w:firstLine="420" w:firstLineChars="200"/>
    </w:pPr>
  </w:style>
  <w:style w:type="paragraph" w:customStyle="1" w:styleId="17">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8">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9">
    <w:name w:val="列出段落1"/>
    <w:basedOn w:val="1"/>
    <w:qFormat/>
    <w:uiPriority w:val="34"/>
    <w:pPr>
      <w:ind w:firstLine="420" w:firstLineChars="200"/>
    </w:pPr>
    <w:rPr>
      <w:rFonts w:ascii="Calibri" w:hAnsi="Calibri" w:eastAsia="宋体" w:cs="Times New Roman"/>
    </w:rPr>
  </w:style>
  <w:style w:type="paragraph" w:customStyle="1" w:styleId="20">
    <w:name w:val="列出段落4"/>
    <w:basedOn w:val="1"/>
    <w:qFormat/>
    <w:uiPriority w:val="0"/>
    <w:pPr>
      <w:ind w:firstLine="200" w:firstLineChars="200"/>
    </w:pPr>
    <w:rPr>
      <w:rFonts w:ascii="Calibri" w:hAnsi="Calibri" w:eastAsia="宋体" w:cs="Times New Roman"/>
    </w:rPr>
  </w:style>
  <w:style w:type="paragraph" w:customStyle="1" w:styleId="21">
    <w:name w:val="列出段落3"/>
    <w:basedOn w:val="1"/>
    <w:qFormat/>
    <w:uiPriority w:val="0"/>
    <w:pPr>
      <w:ind w:firstLine="420" w:firstLineChars="200"/>
    </w:pPr>
    <w:rPr>
      <w:rFonts w:ascii="Times New Roman" w:hAnsi="Times New Roman" w:eastAsia="宋体" w:cs="Times New Roman"/>
      <w:szCs w:val="24"/>
    </w:rPr>
  </w:style>
  <w:style w:type="paragraph" w:customStyle="1" w:styleId="22">
    <w:name w:val="p0"/>
    <w:basedOn w:val="1"/>
    <w:qFormat/>
    <w:uiPriority w:val="0"/>
    <w:pPr>
      <w:widowControl/>
    </w:pPr>
    <w:rPr>
      <w:rFonts w:ascii="Calibri" w:hAnsi="Calibri" w:eastAsia="宋体" w:cs="宋体"/>
      <w:kern w:val="0"/>
      <w:szCs w:val="21"/>
    </w:rPr>
  </w:style>
  <w:style w:type="paragraph" w:customStyle="1" w:styleId="23">
    <w:name w:val="Revision"/>
    <w:hidden/>
    <w:semiHidden/>
    <w:qFormat/>
    <w:uiPriority w:val="99"/>
    <w:rPr>
      <w:rFonts w:ascii="Calibri" w:hAnsi="Calibri" w:eastAsia="宋体" w:cs="黑体"/>
      <w:kern w:val="2"/>
      <w:sz w:val="21"/>
      <w:szCs w:val="22"/>
      <w:lang w:val="en-US" w:eastAsia="zh-CN" w:bidi="ar-SA"/>
    </w:rPr>
  </w:style>
  <w:style w:type="character" w:customStyle="1" w:styleId="24">
    <w:name w:val="标题 1 Char Char"/>
    <w:basedOn w:val="13"/>
    <w:link w:val="2"/>
    <w:uiPriority w:val="9"/>
    <w:rPr>
      <w:rFonts w:ascii="黑体" w:hAnsi="黑体" w:eastAsia="黑体" w:cs="宋体"/>
      <w:color w:val="000000"/>
      <w:kern w:val="0"/>
      <w:sz w:val="30"/>
      <w:szCs w:val="30"/>
    </w:rPr>
  </w:style>
  <w:style w:type="character" w:customStyle="1" w:styleId="25">
    <w:name w:val="标题 2 Char Char"/>
    <w:basedOn w:val="13"/>
    <w:link w:val="3"/>
    <w:uiPriority w:val="9"/>
    <w:rPr>
      <w:rFonts w:ascii="Cambria" w:hAnsi="Cambria" w:eastAsia="宋体" w:cs="Times New Roman"/>
      <w:b/>
      <w:bCs/>
      <w:sz w:val="32"/>
      <w:szCs w:val="32"/>
    </w:rPr>
  </w:style>
  <w:style w:type="character" w:customStyle="1" w:styleId="26">
    <w:name w:val="标题 3 Char Char"/>
    <w:basedOn w:val="13"/>
    <w:link w:val="4"/>
    <w:uiPriority w:val="9"/>
    <w:rPr>
      <w:rFonts w:ascii="仿宋_GB2312" w:hAnsi="Calibri" w:eastAsia="仿宋_GB2312" w:cs="Times New Roman"/>
      <w:sz w:val="30"/>
      <w:szCs w:val="30"/>
    </w:rPr>
  </w:style>
  <w:style w:type="character" w:customStyle="1" w:styleId="27">
    <w:name w:val="页眉 Char Char"/>
    <w:basedOn w:val="13"/>
    <w:link w:val="9"/>
    <w:uiPriority w:val="99"/>
    <w:rPr>
      <w:sz w:val="18"/>
      <w:szCs w:val="18"/>
    </w:rPr>
  </w:style>
  <w:style w:type="character" w:customStyle="1" w:styleId="28">
    <w:name w:val="页脚 Char Char"/>
    <w:basedOn w:val="13"/>
    <w:link w:val="8"/>
    <w:uiPriority w:val="99"/>
    <w:rPr>
      <w:sz w:val="18"/>
      <w:szCs w:val="18"/>
    </w:rPr>
  </w:style>
  <w:style w:type="character" w:customStyle="1" w:styleId="29">
    <w:name w:val="批注框文本 Char Char"/>
    <w:basedOn w:val="13"/>
    <w:link w:val="7"/>
    <w:uiPriority w:val="0"/>
    <w:rPr>
      <w:sz w:val="18"/>
      <w:szCs w:val="18"/>
    </w:rPr>
  </w:style>
  <w:style w:type="character" w:customStyle="1" w:styleId="30">
    <w:name w:val="批注框文本 Char1"/>
    <w:basedOn w:val="13"/>
    <w:semiHidden/>
    <w:uiPriority w:val="99"/>
    <w:rPr>
      <w:sz w:val="18"/>
      <w:szCs w:val="18"/>
    </w:rPr>
  </w:style>
  <w:style w:type="character" w:customStyle="1" w:styleId="31">
    <w:name w:val="HTML 预设格式 Char Char"/>
    <w:basedOn w:val="13"/>
    <w:link w:val="11"/>
    <w:uiPriority w:val="99"/>
    <w:rPr>
      <w:rFonts w:ascii="宋体" w:hAnsi="宋体" w:eastAsia="宋体" w:cs="宋体"/>
      <w:kern w:val="0"/>
      <w:sz w:val="24"/>
      <w:szCs w:val="24"/>
    </w:rPr>
  </w:style>
  <w:style w:type="character" w:customStyle="1" w:styleId="32">
    <w:name w:val="批注文字 Char Char"/>
    <w:basedOn w:val="13"/>
    <w:link w:val="6"/>
    <w:uiPriority w:val="99"/>
    <w:rPr>
      <w:rFonts w:ascii="Calibri" w:hAnsi="Calibri" w:eastAsia="宋体" w:cs="Times New Roman"/>
    </w:rPr>
  </w:style>
  <w:style w:type="character" w:customStyle="1" w:styleId="33">
    <w:name w:val="脚注文本 Char Char"/>
    <w:basedOn w:val="13"/>
    <w:link w:val="10"/>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Char"/>
    <w:basedOn w:val="13"/>
    <w:link w:val="5"/>
    <w:uiPriority w:val="0"/>
    <w:rPr>
      <w:rFonts w:ascii="宋体"/>
      <w:sz w:val="18"/>
      <w:szCs w:val="18"/>
    </w:rPr>
  </w:style>
  <w:style w:type="character" w:customStyle="1" w:styleId="36">
    <w:name w:val="Intense Emphasis"/>
    <w:basedOn w:val="13"/>
    <w:qFormat/>
    <w:uiPriority w:val="21"/>
    <w:rPr>
      <w:b/>
      <w:bCs/>
      <w:i/>
      <w:iCs/>
      <w:color w:val="4F81BD"/>
    </w:rPr>
  </w:style>
  <w:style w:type="character" w:customStyle="1" w:styleId="37">
    <w:name w:val="文档结构图 Char1"/>
    <w:basedOn w:val="13"/>
    <w:semiHidden/>
    <w:qFormat/>
    <w:uiPriority w:val="99"/>
    <w:rPr>
      <w:rFonts w:ascii="宋体" w:eastAsia="宋体"/>
      <w:sz w:val="18"/>
      <w:szCs w:val="18"/>
    </w:rPr>
  </w:style>
  <w:style w:type="character" w:customStyle="1" w:styleId="38">
    <w:name w:val="脚注文本 Char2"/>
    <w:basedOn w:val="13"/>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341</Words>
  <Characters>1945</Characters>
  <Lines>16</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杜鑫/外汇管理处/银川/PBC</cp:lastModifiedBy>
  <cp:lastPrinted>2021-04-25T12:40:00Z</cp:lastPrinted>
  <dcterms:modified xsi:type="dcterms:W3CDTF">2021-04-27T09:17:54Z</dcterms:modified>
  <dc:title>编号：57006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