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52"/>
          <w:szCs w:val="52"/>
        </w:rPr>
      </w:pPr>
      <w:r>
        <w:rPr>
          <w:rFonts w:ascii="Times New Roman" w:hAnsi="Times New Roman" w:eastAsia="黑体" w:cs="Times New Roman"/>
          <w:sz w:val="52"/>
          <w:szCs w:val="52"/>
        </w:rPr>
        <w:t>编号：57004</w:t>
      </w:r>
      <w:r>
        <w:rPr>
          <w:rFonts w:hint="eastAsia" w:ascii="Times New Roman" w:hAnsi="Times New Roman" w:eastAsia="黑体" w:cs="Times New Roman"/>
          <w:sz w:val="52"/>
          <w:szCs w:val="52"/>
        </w:rPr>
        <w:t xml:space="preserve">               </w:t>
      </w:r>
      <w:r>
        <w:rPr>
          <w:rFonts w:ascii="Times New Roman" w:hAnsi="Times New Roman" w:eastAsia="黑体" w:cs="Times New Roman"/>
          <w:kern w:val="2"/>
          <w:sz w:val="52"/>
          <w:szCs w:val="52"/>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宁夏回族自治区分局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境外机构在境内发行股票或中国存托凭证登记</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1.《中华人民共和国外汇管理条例》（中华人民共和国国务院令第532号）。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2.《国务院办公厅转发证监会关于开展创新企业境内发行股票或存托凭证试点若干意见的通知》（国办发〔2018〕21号）。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3.《存托凭证跨境资金管理办法（试行）》（中国人民银行国家外汇管理局公告</w:t>
      </w:r>
      <w:r>
        <w:rPr>
          <w:rFonts w:ascii="Times New Roman" w:hAnsi="宋体" w:eastAsia="宋体" w:cs="Times New Roman"/>
          <w:sz w:val="30"/>
          <w:szCs w:val="30"/>
        </w:rPr>
        <w:t>﹝</w:t>
      </w:r>
      <w:r>
        <w:rPr>
          <w:rFonts w:ascii="Times New Roman" w:hAnsi="Times New Roman" w:eastAsia="仿宋_GB2312" w:cs="Times New Roman"/>
          <w:sz w:val="30"/>
          <w:szCs w:val="30"/>
        </w:rPr>
        <w:t>2019</w:t>
      </w:r>
      <w:r>
        <w:rPr>
          <w:rFonts w:ascii="Times New Roman" w:hAnsi="宋体" w:eastAsia="宋体" w:cs="Times New Roman"/>
          <w:sz w:val="30"/>
          <w:szCs w:val="30"/>
        </w:rPr>
        <w:t>﹞</w:t>
      </w:r>
      <w:r>
        <w:rPr>
          <w:rFonts w:ascii="Times New Roman" w:hAnsi="仿宋_GB2312" w:eastAsia="仿宋_GB2312" w:cs="Times New Roman"/>
          <w:sz w:val="30"/>
          <w:szCs w:val="30"/>
        </w:rPr>
        <w:t>第</w:t>
      </w:r>
      <w:r>
        <w:rPr>
          <w:rFonts w:ascii="Times New Roman" w:hAnsi="Times New Roman" w:eastAsia="仿宋_GB2312" w:cs="Times New Roman"/>
          <w:sz w:val="30"/>
          <w:szCs w:val="30"/>
        </w:rPr>
        <w:t>8号）。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境外发行人上市境内证券交易所所在地国家外汇管理局分局或外汇管理部。</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境外发行人以新增证券为基础发行中国存托凭证，应在获得证监会核准发行后10个工作日内，委托其境内主承销商（或境内相关代理机构）办理登记。</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W w:w="84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118"/>
        <w:gridCol w:w="992"/>
        <w:gridCol w:w="567"/>
        <w:gridCol w:w="851"/>
        <w:gridCol w:w="709"/>
        <w:gridCol w:w="1701"/>
      </w:tblGrid>
      <w:tr>
        <w:tc>
          <w:tcPr>
            <w:tcW w:w="534"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118"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701" w:type="dxa"/>
            <w:vAlign w:val="center"/>
          </w:tcPr>
          <w:p>
            <w:pPr>
              <w:contextualSpacing/>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118" w:type="dxa"/>
            <w:vAlign w:val="center"/>
          </w:tcPr>
          <w:p>
            <w:pPr>
              <w:contextualSpacing/>
              <w:jc w:val="left"/>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书面申请</w:t>
            </w:r>
            <w:r>
              <w:rPr>
                <w:rFonts w:ascii="Times New Roman" w:hAnsi="Times New Roman" w:eastAsia="仿宋_GB2312" w:cs="Times New Roman"/>
                <w:color w:val="000000"/>
                <w:sz w:val="24"/>
                <w:szCs w:val="24"/>
              </w:rPr>
              <w:t>，并附《以新增证券为基础的中国存托凭证发行登记表》</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加盖公章或有权签字人签字的原件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center"/>
          </w:tcPr>
          <w:p>
            <w:pPr>
              <w:contextualSpacing/>
              <w:jc w:val="left"/>
              <w:rPr>
                <w:rFonts w:ascii="Times New Roman" w:hAnsi="Times New Roman" w:eastAsia="仿宋_GB2312" w:cs="Times New Roman"/>
                <w:sz w:val="24"/>
                <w:szCs w:val="24"/>
              </w:rPr>
            </w:pP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证监会核准发行中国存托凭证的许可文件</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r>
        <w:tc>
          <w:tcPr>
            <w:tcW w:w="534" w:type="dxa"/>
            <w:vAlign w:val="center"/>
          </w:tcPr>
          <w:p>
            <w:pPr>
              <w:contextualSpacing/>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118"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境外发行人委托境内主承销商（或境内相关代理机构）办理中国存托凭证登记的委托代理协议</w:t>
            </w:r>
          </w:p>
        </w:tc>
        <w:tc>
          <w:tcPr>
            <w:tcW w:w="992"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加盖公章的复印件</w:t>
            </w:r>
          </w:p>
        </w:tc>
        <w:tc>
          <w:tcPr>
            <w:tcW w:w="567"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1" w:type="dxa"/>
            <w:vAlign w:val="center"/>
          </w:tcPr>
          <w:p>
            <w:pPr>
              <w:contextualSpacing/>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contextualSpacing/>
              <w:jc w:val="left"/>
              <w:rPr>
                <w:rFonts w:ascii="Times New Roman" w:hAnsi="Times New Roman" w:eastAsia="仿宋_GB2312" w:cs="Times New Roman"/>
                <w:sz w:val="24"/>
                <w:szCs w:val="24"/>
              </w:rPr>
            </w:pPr>
          </w:p>
        </w:tc>
        <w:tc>
          <w:tcPr>
            <w:tcW w:w="1701" w:type="dxa"/>
            <w:vAlign w:val="top"/>
          </w:tcPr>
          <w:p>
            <w:pPr>
              <w:contextualSpacing/>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境内主承销商（或境内相关代理机构）可通过境外发行人上市境内证券交易所所在地国家外汇管理局分局或外汇管理部业务窗口提交材料。</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业务登记凭证。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outlineLvl w:val="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须及时向国家外汇管理局报备，全面、及时、准确进行国际收支申报、报送相关数据信息等</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五）</w:t>
      </w:r>
      <w:r>
        <w:rPr>
          <w:rFonts w:ascii="Times New Roman" w:hAnsi="Times New Roman" w:eastAsia="黑体" w:cs="Times New Roman"/>
          <w:sz w:val="30"/>
          <w:szCs w:val="30"/>
        </w:rPr>
        <w:t>咨询途径</w:t>
      </w:r>
    </w:p>
    <w:p>
      <w:pPr>
        <w:adjustRightInd w:val="0"/>
        <w:snapToGrid w:val="0"/>
        <w:spacing w:line="360" w:lineRule="auto"/>
        <w:ind w:firstLine="585"/>
        <w:jc w:val="left"/>
        <w:outlineLvl w:val="0"/>
        <w:rPr>
          <w:rFonts w:ascii="Times New Roman" w:hAnsi="Times New Roman" w:eastAsia="仿宋_GB2312" w:cs="Times New Roman"/>
          <w:sz w:val="30"/>
          <w:szCs w:val="30"/>
          <w:lang w:val="en-US"/>
        </w:rPr>
      </w:pPr>
      <w:r>
        <w:rPr>
          <w:rFonts w:ascii="Times New Roman" w:hAnsi="Times New Roman" w:eastAsia="仿宋_GB2312" w:cs="Times New Roman"/>
          <w:sz w:val="30"/>
          <w:szCs w:val="30"/>
        </w:rPr>
        <w:t>（一）咨询窗口：国家外汇管理局</w:t>
      </w:r>
      <w:r>
        <w:rPr>
          <w:rFonts w:hint="eastAsia" w:ascii="Times New Roman" w:hAnsi="Times New Roman" w:eastAsia="仿宋_GB2312" w:cs="Times New Roman"/>
          <w:sz w:val="30"/>
          <w:szCs w:val="30"/>
          <w:lang w:eastAsia="zh-CN"/>
        </w:rPr>
        <w:t>宁夏回族自治区分局外汇处。</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（二）咨询电话：（0</w:t>
      </w:r>
      <w:r>
        <w:rPr>
          <w:rFonts w:hint="eastAsia" w:ascii="Times New Roman" w:hAnsi="Times New Roman" w:eastAsia="仿宋_GB2312" w:cs="Times New Roman"/>
          <w:sz w:val="30"/>
          <w:szCs w:val="30"/>
          <w:lang w:val="en-US" w:eastAsia="zh-CN"/>
        </w:rPr>
        <w:t>951</w:t>
      </w: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val="en-US" w:eastAsia="zh-CN"/>
        </w:rPr>
        <w:t>5189608。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w:t>
      </w:r>
      <w:r>
        <w:rPr>
          <w:rFonts w:hint="eastAsia" w:ascii="Times New Roman" w:hAnsi="Times New Roman" w:eastAsia="仿宋_GB2312" w:cs="Times New Roman"/>
          <w:sz w:val="30"/>
          <w:szCs w:val="30"/>
          <w:lang w:eastAsia="zh-CN"/>
        </w:rPr>
        <w:t>三</w:t>
      </w:r>
      <w:r>
        <w:rPr>
          <w:rFonts w:ascii="Times New Roman" w:hAnsi="Times New Roman" w:eastAsia="仿宋_GB2312" w:cs="Times New Roman"/>
          <w:sz w:val="30"/>
          <w:szCs w:val="30"/>
        </w:rPr>
        <w:t>）咨询信件邮寄地址：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bookmarkStart w:id="0" w:name="_GoBack"/>
      <w:bookmarkEnd w:id="0"/>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黑体" w:cs="Times New Roman"/>
          <w:sz w:val="30"/>
          <w:szCs w:val="30"/>
          <w:lang w:eastAsia="zh-CN"/>
        </w:rPr>
        <w:t>（</w:t>
      </w:r>
      <w:r>
        <w:rPr>
          <w:rFonts w:ascii="Times New Roman" w:hAnsi="Times New Roman" w:eastAsia="黑体" w:cs="Times New Roman"/>
          <w:sz w:val="30"/>
          <w:szCs w:val="30"/>
        </w:rPr>
        <w:t>十</w:t>
      </w:r>
      <w:r>
        <w:rPr>
          <w:rFonts w:hint="eastAsia" w:ascii="Times New Roman" w:hAnsi="Times New Roman" w:eastAsia="黑体" w:cs="Times New Roman"/>
          <w:sz w:val="30"/>
          <w:szCs w:val="30"/>
          <w:lang w:eastAsia="zh-CN"/>
        </w:rPr>
        <w:t>六）</w:t>
      </w:r>
      <w:r>
        <w:rPr>
          <w:rFonts w:ascii="Times New Roman" w:hAnsi="Times New Roman" w:eastAsia="黑体" w:cs="Times New Roman"/>
          <w:sz w:val="30"/>
          <w:szCs w:val="30"/>
        </w:rPr>
        <w:t>监督和投诉渠道</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监督和投诉等可通过</w:t>
      </w:r>
      <w:r>
        <w:rPr>
          <w:rFonts w:ascii="Times New Roman" w:hAnsi="Times New Roman" w:eastAsia="仿宋_GB2312" w:cs="Times New Roman"/>
          <w:sz w:val="30"/>
          <w:szCs w:val="30"/>
        </w:rPr>
        <w:t>国家外汇管理局</w:t>
      </w:r>
      <w:r>
        <w:rPr>
          <w:rFonts w:hint="eastAsia" w:ascii="Times New Roman" w:hAnsi="Times New Roman" w:eastAsia="仿宋_GB2312" w:cs="Times New Roman"/>
          <w:sz w:val="30"/>
          <w:szCs w:val="30"/>
          <w:lang w:eastAsia="zh-CN"/>
        </w:rPr>
        <w:t>宁夏回族自治区分局</w:t>
      </w:r>
      <w:r>
        <w:rPr>
          <w:rFonts w:hint="eastAsia" w:ascii="Times New Roman" w:hAnsi="Times New Roman" w:eastAsia="仿宋_GB2312" w:cs="Times New Roman"/>
          <w:sz w:val="30"/>
          <w:szCs w:val="30"/>
        </w:rPr>
        <w:t>网站</w:t>
      </w:r>
      <w:r>
        <w:fldChar w:fldCharType="begin"/>
      </w:r>
      <w:r>
        <w:instrText xml:space="preserve"> HYPERLINK "http://www.safe.gov.cn" </w:instrText>
      </w:r>
      <w:r>
        <w:fldChar w:fldCharType="separate"/>
      </w:r>
      <w:r>
        <w:rPr>
          <w:rFonts w:ascii="Times New Roman" w:hAnsi="Times New Roman" w:cs="Times New Roman"/>
          <w:sz w:val="30"/>
          <w:szCs w:val="30"/>
        </w:rPr>
        <w:t>www.safe.gov.cn</w:t>
      </w:r>
      <w:r>
        <w:rPr>
          <w:rFonts w:ascii="Times New Roman" w:hAnsi="Times New Roman" w:cs="Times New Roman"/>
          <w:sz w:val="30"/>
          <w:szCs w:val="30"/>
        </w:rPr>
        <w:fldChar w:fldCharType="end"/>
      </w:r>
      <w:r>
        <w:rPr>
          <w:rFonts w:hint="eastAsia" w:ascii="Times New Roman" w:hAnsi="Times New Roman" w:cs="Times New Roman"/>
          <w:sz w:val="30"/>
          <w:szCs w:val="30"/>
          <w:lang w:val="en-US" w:eastAsia="zh-CN"/>
        </w:rPr>
        <w:t>/ningxia/</w:t>
      </w:r>
      <w:r>
        <w:rPr>
          <w:rFonts w:hint="eastAsia" w:ascii="Times New Roman" w:hAnsi="Times New Roman" w:eastAsia="仿宋_GB2312" w:cs="Times New Roman"/>
          <w:sz w:val="30"/>
          <w:szCs w:val="30"/>
        </w:rPr>
        <w:t>的</w:t>
      </w:r>
      <w:r>
        <w:rPr>
          <w:rFonts w:hint="eastAsia" w:ascii="Times New Roman" w:hAnsi="Times New Roman" w:eastAsia="仿宋_GB2312" w:cs="Times New Roman"/>
          <w:sz w:val="30"/>
          <w:szCs w:val="30"/>
          <w:lang w:eastAsia="zh-CN"/>
        </w:rPr>
        <w:t>投诉建议</w:t>
      </w:r>
      <w:r>
        <w:rPr>
          <w:rFonts w:hint="eastAsia" w:ascii="Times New Roman" w:hAnsi="Times New Roman" w:eastAsia="仿宋_GB2312" w:cs="Times New Roman"/>
          <w:sz w:val="30"/>
          <w:szCs w:val="30"/>
        </w:rPr>
        <w:t>栏目进行</w:t>
      </w:r>
      <w:r>
        <w:rPr>
          <w:rFonts w:hint="eastAsia"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rPr>
        <w:t>也可通过</w:t>
      </w:r>
      <w:r>
        <w:rPr>
          <w:rFonts w:hint="eastAsia" w:ascii="Times New Roman" w:hAnsi="Times New Roman" w:eastAsia="仿宋_GB2312" w:cs="Times New Roman"/>
          <w:sz w:val="30"/>
          <w:szCs w:val="30"/>
          <w:lang w:eastAsia="zh-CN"/>
        </w:rPr>
        <w:t>该</w:t>
      </w:r>
      <w:r>
        <w:rPr>
          <w:rFonts w:hint="eastAsia" w:ascii="Times New Roman" w:hAnsi="Times New Roman" w:eastAsia="仿宋_GB2312" w:cs="Times New Roman"/>
          <w:sz w:val="30"/>
          <w:szCs w:val="30"/>
        </w:rPr>
        <w:t>网站公布的电话进行。</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（十七）</w:t>
      </w:r>
      <w:r>
        <w:rPr>
          <w:rFonts w:ascii="Times New Roman" w:hAnsi="Times New Roman" w:eastAsia="黑体" w:cs="Times New Roman"/>
          <w:sz w:val="30"/>
          <w:szCs w:val="30"/>
        </w:rPr>
        <w:t>办公地址和时间</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（一）办公地址。</w:t>
      </w:r>
      <w:r>
        <w:rPr>
          <w:rFonts w:hint="default" w:ascii="Times New Roman" w:hAnsi="Times New Roman" w:eastAsia="仿宋_GB2312" w:cs="Times New Roman"/>
          <w:sz w:val="30"/>
          <w:szCs w:val="30"/>
        </w:rPr>
        <w:t>宁夏回族自治区银川市兴庆区北京东路215号</w:t>
      </w:r>
      <w:r>
        <w:rPr>
          <w:rFonts w:hint="eastAsia" w:ascii="Times New Roman" w:hAnsi="Times New Roman" w:eastAsia="仿宋_GB2312" w:cs="Times New Roman"/>
          <w:sz w:val="30"/>
          <w:szCs w:val="30"/>
          <w:lang w:eastAsia="zh-CN"/>
        </w:rPr>
        <w:t>外汇管理处</w:t>
      </w:r>
      <w:r>
        <w:rPr>
          <w:rFonts w:ascii="Times New Roman" w:hAnsi="Times New Roman" w:eastAsia="仿宋_GB2312" w:cs="Times New Roman"/>
          <w:sz w:val="30"/>
          <w:szCs w:val="30"/>
        </w:rPr>
        <w:t>，邮政编码</w:t>
      </w:r>
      <w:r>
        <w:rPr>
          <w:rFonts w:hint="eastAsia" w:ascii="Times New Roman" w:hAnsi="Times New Roman" w:eastAsia="仿宋_GB2312" w:cs="Times New Roman"/>
          <w:sz w:val="30"/>
          <w:szCs w:val="30"/>
          <w:lang w:val="en-US" w:eastAsia="zh-CN"/>
        </w:rPr>
        <w:t>750001</w:t>
      </w:r>
      <w:r>
        <w:rPr>
          <w:rFonts w:ascii="Times New Roman" w:hAnsi="Times New Roman" w:eastAsia="仿宋_GB2312" w:cs="Times New Roman"/>
          <w:sz w:val="30"/>
          <w:szCs w:val="30"/>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（二）办公时间。周一至周五，</w:t>
      </w:r>
      <w:r>
        <w:rPr>
          <w:rFonts w:hint="eastAsia" w:ascii="Times New Roman" w:hAnsi="Times New Roman" w:eastAsia="仿宋_GB2312" w:cs="Times New Roman"/>
          <w:sz w:val="30"/>
          <w:szCs w:val="30"/>
          <w:lang w:val="en-US" w:eastAsia="zh-CN"/>
        </w:rPr>
        <w:t>夏季上午08:30到12:00,下午14:30到18:00；冬季上午08:30到12:00,下午14:00到17:30；周六、周日及法定节假日不对外办理业务。</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ascii="Times New Roman" w:hAnsi="Times New Roman" w:eastAsia="仿宋_GB2312" w:cs="Times New Roman"/>
          <w:sz w:val="30"/>
          <w:szCs w:val="30"/>
        </w:rPr>
        <w:t>（三）乘车路线。公交车</w:t>
      </w:r>
      <w:r>
        <w:rPr>
          <w:rFonts w:hint="eastAsia" w:ascii="Times New Roman" w:hAnsi="Times New Roman" w:eastAsia="仿宋_GB2312" w:cs="Times New Roman"/>
          <w:sz w:val="30"/>
          <w:szCs w:val="30"/>
          <w:lang w:val="en-US" w:eastAsia="zh-CN"/>
        </w:rPr>
        <w:t>101、101A、19、18路公交线路经停，可在临湖小区站上/下车。</w:t>
      </w:r>
    </w:p>
    <w:p>
      <w:pPr>
        <w:adjustRightInd w:val="0"/>
        <w:snapToGrid w:val="0"/>
        <w:spacing w:line="360" w:lineRule="auto"/>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（十八）</w:t>
      </w:r>
      <w:r>
        <w:rPr>
          <w:rFonts w:ascii="Times New Roman" w:hAnsi="Times New Roman" w:eastAsia="黑体" w:cs="Times New Roman"/>
          <w:sz w:val="30"/>
          <w:szCs w:val="30"/>
        </w:rPr>
        <w:t>公开查询</w:t>
      </w:r>
    </w:p>
    <w:p>
      <w:pPr>
        <w:widowControl/>
        <w:jc w:val="left"/>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 xml:space="preserve">     </w:t>
      </w:r>
      <w:r>
        <w:rPr>
          <w:rFonts w:ascii="Times New Roman" w:hAnsi="Times New Roman" w:eastAsia="仿宋_GB2312" w:cs="Times New Roman"/>
          <w:sz w:val="30"/>
          <w:szCs w:val="30"/>
        </w:rPr>
        <w:t>办理时限结束之日后，申请人可通过电话查询。</w:t>
      </w:r>
      <w:r>
        <w:rPr>
          <w:rFonts w:ascii="Times New Roman" w:hAnsi="Times New Roman" w:eastAsia="仿宋_GB2312" w:cs="Times New Roman"/>
          <w:sz w:val="30"/>
          <w:szCs w:val="30"/>
        </w:rPr>
        <w:br w:type="page"/>
      </w:r>
    </w:p>
    <w:p>
      <w:pPr>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1pt;margin-top:14.85pt;height:586.05pt;width:455.05pt;rotation:0f;z-index:251658240;" coordorigin="-180,0" coordsize="9101,11721">
            <o:lock v:ext="edit" position="f" selection="f" grouping="f" rotation="f" cropping="f" text="f" aspectratio="f"/>
            <v:rect id="Rectangle 681" o:spid="_x0000_s1028" style="position:absolute;left:2908;top:8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682" o:spid="_x0000_s1029" type="#_x0000_t116" style="position:absolute;left:4420;top:10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683" o:spid="_x0000_s1030" type="#_x0000_t116" style="position:absolute;left:695;top:10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84" o:spid="_x0000_s1031" type="#_x0000_t32" style="position:absolute;left:4382;top:7693;height:626;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5" o:spid="_x0000_s1032" type="#_x0000_t32" style="position:absolute;left:6331;top:9568;height:1095;width:1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6" o:spid="_x0000_s1033" type="#_x0000_t32" style="position:absolute;left:2358;top:9568;height:1035;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687" o:spid="_x0000_s1034" type="#_x0000_t32" style="position:absolute;left:4383;top:8853;height:715;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688" o:spid="_x0000_s1035" type="#_x0000_t32" style="position:absolute;left:2359;top:9568;height:0;width:3972;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35" o:spid="_x0000_s1036" style="position:absolute;left:-180;top:0;height:7693;width:9101;rotation:0f;" coordorigin="-180,0" coordsize="9101,7693">
              <o:lock v:ext="edit" position="f" selection="f" grouping="f" rotation="f" cropping="f" text="f" aspectratio="f"/>
              <v:shape id="AutoShape 690" o:spid="_x0000_s1037" type="#_x0000_t32" style="position:absolute;left:5893;top:6566;height:60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id="组合 1037" o:spid="_x0000_s1038" style="position:absolute;left:-180;top:0;height:7693;width:9101;rotation:0f;" coordorigin="-180,0" coordsize="9101,7693">
                <o:lock v:ext="edit" position="f" selection="f" grouping="f" rotation="f" cropping="f" text="f" aspectratio="f"/>
                <v:shape id="AutoShape 692" o:spid="_x0000_s1039" type="#_x0000_t34" style="position:absolute;left:6366;top:3154;height:1285;width:3823;rotation:17694720f;" o:ole="f" fillcolor="#FFFFFF" filled="t" o:preferrelative="t" stroked="t" coordorigin="0,0" coordsize="21600,21600" adj="33">
                  <v:stroke color="#000000" color2="#FFFFFF" miterlimit="2"/>
                  <v:imagedata gain="65536f" blacklevel="0f" gamma="0"/>
                  <o:lock v:ext="edit" position="f" selection="f" grouping="f" rotation="f" cropping="f" text="f" aspectratio="f"/>
                </v:shape>
                <v:shape id="Text Box 693" o:spid="_x0000_s1040" type="#_x0000_t202" style="position:absolute;left:7996;top:2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694" o:spid="_x0000_s1041" type="#_x0000_t32" style="position:absolute;left:5893;top:4472;height:378;width:0;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695" o:spid="_x0000_s1042" type="#_x0000_t202" style="position:absolute;left:2568;top:6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696" o:spid="_x0000_s1043" type="#_x0000_t4" style="position:absolute;left:4156;top:4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697" o:spid="_x0000_s1044" style="position:absolute;left:2568;top:7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698" o:spid="_x0000_s1045" style="position:absolute;left:4566;top:3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699" o:spid="_x0000_s1046" type="#_x0000_t116" style="position:absolute;left:4566;top:1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80;top:0;height:7424;width:4774;rotation:0f;" coordorigin="-180,0" coordsize="4774,7424">
                  <o:lock v:ext="edit" position="f" selection="f" grouping="f" rotation="f" cropping="f" text="f" aspectratio="f"/>
                  <v:shape id="AutoShape 701" o:spid="_x0000_s1048" type="#_x0000_t32" style="position:absolute;left:3663;top:3910;height:0;width:93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2" o:spid="_x0000_s1049" type="#_x0000_t32" style="position:absolute;left:1355;top:3986;height:3437;width:1;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group id="组合 1049" o:spid="_x0000_s1050" style="position:absolute;left:-180;top:0;height:4020;width:3809;rotation:0f;" coordorigin="-180,0" coordsize="3809,4020">
                    <o:lock v:ext="edit" position="f" selection="f" grouping="f" rotation="f" cropping="f" text="f" aspectratio="f"/>
                    <v:shape id="AutoShape 704" o:spid="_x0000_s1051" type="#_x0000_t32" style="position:absolute;left:1396;top:1172;height:764;width:1;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5" o:spid="_x0000_s1052" type="#_x0000_t32" style="position:absolute;left:2400;top:2967;height:0;width:1229;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06" o:spid="_x0000_s1053" type="#_x0000_t4" style="position:absolute;left:-180;top:1936;height:2084;width:295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707" o:spid="_x0000_s1054" type="#_x0000_t116" style="position:absolute;left:184;top: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708" o:spid="_x0000_s1055" type="#_x0000_t32" style="position:absolute;left:1355;top:7423;height:1;width:121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AutoShape 709" o:spid="_x0000_s1056" type="#_x0000_t32" style="position:absolute;left:3663;top:1999;height:1921;width:0;rotation:0f;" o:ole="f" fillcolor="#FFFFFF" filled="t" o:preferrelative="t" stroked="t" coordorigin="0,0" coordsize="21600,21600">
                    <v:stroke color="#000000" color2="#FFFFFF" miterlimit="2"/>
                    <v:imagedata gain="65536f" blacklevel="0f" gamma="0"/>
                    <o:lock v:ext="edit" position="f" selection="f" grouping="f" rotation="f" cropping="f" text="f" aspectratio="f"/>
                  </v:shape>
                  <v:shape id="AutoShape 710" o:spid="_x0000_s1057" type="#_x0000_t32" style="position:absolute;left:3663;top:1989;height:1;width:903;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shape id="Text Box 711" o:spid="_x0000_s1058" type="#_x0000_t202" style="position:absolute;left:597;top:5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712" o:spid="_x0000_s1059" type="#_x0000_t202" style="position:absolute;left:2799;top:2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713" o:spid="_x0000_s1060" type="#_x0000_t32" style="position:absolute;left:7384;top:1886;flip:x;height:0;width:1537;rotation:0f;" o:ole="f" fillcolor="#FFFFFF" filled="t" o:preferrelative="t" stroked="t" coordorigin="0,0" coordsize="21600,21600">
                  <v:stroke color="#000000" color2="#FFFFFF" miterlimit="2" endarrow="block"/>
                  <v:imagedata gain="65536f" blacklevel="0f" gamma="0"/>
                  <o:lock v:ext="edit" position="f" selection="f" grouping="f" rotation="f" cropping="f" text="f" aspectratio="f"/>
                </v:shape>
              </v:group>
            </v:group>
          </v:group>
        </w:pict>
      </w: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p>
    <w:p>
      <w:pPr>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附录二  </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以新增证券为基础的中国存托凭证发行登记表</w:t>
      </w:r>
    </w:p>
    <w:p>
      <w:pPr>
        <w:spacing w:line="400" w:lineRule="exact"/>
        <w:ind w:firstLine="570"/>
        <w:jc w:val="center"/>
        <w:rPr>
          <w:rFonts w:ascii="Times New Roman" w:hAnsi="Times New Roman" w:eastAsia="仿宋_GB2312" w:cs="Times New Roman"/>
          <w:b/>
          <w:bCs/>
          <w:sz w:val="28"/>
          <w:szCs w:val="28"/>
        </w:rPr>
      </w:pPr>
      <w:r>
        <w:rPr>
          <w:rFonts w:ascii="Times New Roman" w:hAnsi="Times New Roman" w:eastAsia="仿宋_GB2312" w:cs="Times New Roman"/>
          <w:b/>
          <w:bCs/>
          <w:sz w:val="28"/>
          <w:szCs w:val="28"/>
        </w:rPr>
        <w:t>Registration form for Issuance of Chinese Depositary Receipt</w:t>
      </w:r>
    </w:p>
    <w:tbl>
      <w:tblPr>
        <w:tblW w:w="141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08"/>
        <w:gridCol w:w="879"/>
        <w:gridCol w:w="71"/>
        <w:gridCol w:w="1488"/>
        <w:gridCol w:w="848"/>
        <w:gridCol w:w="2696"/>
        <w:gridCol w:w="564"/>
        <w:gridCol w:w="712"/>
        <w:gridCol w:w="1417"/>
        <w:gridCol w:w="1568"/>
        <w:gridCol w:w="558"/>
        <w:gridCol w:w="1165"/>
      </w:tblGrid>
      <w:tr>
        <w:trPr>
          <w:trHeight w:val="776"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一、境外基础证券发行人基本信息（中国存托凭证核准后发行结束前填写）I. Summary of the Issuer of the Underlying Offshore Securities (to be filled out after CSRC has granted the approval while before the completion of issuance &amp; listing)</w:t>
            </w:r>
          </w:p>
        </w:tc>
      </w:tr>
      <w:tr>
        <w:trPr>
          <w:cantSplit/>
          <w:trHeight w:val="345"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机构名称 Name of Issuer </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405"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416"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28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机构注册地 Domicile of Incorporation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中文</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特殊机构赋码 Special Institutional Code</w:t>
            </w:r>
          </w:p>
        </w:tc>
        <w:tc>
          <w:tcPr>
            <w:tcW w:w="2129"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2126" w:type="dxa"/>
            <w:gridSpan w:val="2"/>
            <w:vMerge w:val="restart"/>
            <w:tcBorders>
              <w:top w:val="single" w:color="auto" w:sz="4" w:space="0"/>
              <w:left w:val="single" w:color="auto" w:sz="4" w:space="0"/>
              <w:bottom w:val="single" w:color="000000" w:sz="4" w:space="0"/>
              <w:right w:val="single" w:color="000000" w:sz="4" w:space="0"/>
            </w:tcBorders>
            <w:vAlign w:val="center"/>
          </w:tcPr>
          <w:p>
            <w:pPr>
              <w:widowControl/>
              <w:spacing w:line="3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全球法人机构识别编码（如有）（Legal Entity Identifier）(if have)</w:t>
            </w:r>
          </w:p>
        </w:tc>
        <w:tc>
          <w:tcPr>
            <w:tcW w:w="1165" w:type="dxa"/>
            <w:vMerge w:val="restart"/>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rPr>
          <w:cantSplit/>
          <w:trHeight w:val="422"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28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2"/>
                <w:szCs w:val="21"/>
              </w:rPr>
            </w:pPr>
            <w:r>
              <w:rPr>
                <w:rFonts w:ascii="Times New Roman" w:hAnsi="Times New Roman" w:eastAsia="华文仿宋" w:cs="Times New Roman"/>
                <w:color w:val="000000"/>
                <w:kern w:val="0"/>
                <w:sz w:val="22"/>
              </w:rPr>
              <w:t>English</w:t>
            </w:r>
          </w:p>
        </w:tc>
        <w:tc>
          <w:tcPr>
            <w:tcW w:w="2336" w:type="dxa"/>
            <w:gridSpan w:val="2"/>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b/>
                <w:bCs/>
                <w:color w:val="000000"/>
                <w:kern w:val="0"/>
                <w:sz w:val="28"/>
                <w:szCs w:val="28"/>
              </w:rPr>
            </w:pPr>
            <w:r>
              <w:rPr>
                <w:rFonts w:ascii="Times New Roman" w:hAnsi="Times New Roman" w:eastAsia="华文仿宋" w:cs="Times New Roman"/>
                <w:b/>
                <w:bCs/>
                <w:color w:val="000000"/>
                <w:kern w:val="0"/>
                <w:sz w:val="28"/>
                <w:szCs w:val="28"/>
              </w:rPr>
              <w:t>　</w:t>
            </w:r>
          </w:p>
        </w:tc>
        <w:tc>
          <w:tcPr>
            <w:tcW w:w="3260" w:type="dxa"/>
            <w:gridSpan w:val="2"/>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9"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2126"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1165" w:type="dxa"/>
            <w:vMerge w:val="continue"/>
            <w:tcBorders>
              <w:top w:val="single" w:color="auto" w:sz="4" w:space="0"/>
              <w:left w:val="single" w:color="auto" w:sz="4" w:space="0"/>
              <w:bottom w:val="single" w:color="000000" w:sz="4" w:space="0"/>
              <w:right w:val="single" w:color="000000"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r>
      <w:tr>
        <w:trPr>
          <w:trHeight w:val="475" w:hRule="atLeast"/>
        </w:trPr>
        <w:tc>
          <w:tcPr>
            <w:tcW w:w="5494" w:type="dxa"/>
            <w:gridSpan w:val="5"/>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境外基础证券上市交易所（如有）（Listed Exchange of Underlying Offshore Securities）(if have)</w:t>
            </w:r>
          </w:p>
        </w:tc>
        <w:tc>
          <w:tcPr>
            <w:tcW w:w="8680" w:type="dxa"/>
            <w:gridSpan w:val="7"/>
            <w:tcBorders>
              <w:top w:val="nil"/>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p>
        </w:tc>
      </w:tr>
      <w:tr>
        <w:trPr>
          <w:trHeight w:val="79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境内主承销商 Onshore Lead Underwriter</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 Financial Institutions Identification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trHeight w:val="1149" w:hRule="atLeast"/>
        </w:trPr>
        <w:tc>
          <w:tcPr>
            <w:tcW w:w="2208" w:type="dxa"/>
            <w:tcBorders>
              <w:top w:val="nil"/>
              <w:left w:val="single" w:color="auto" w:sz="4" w:space="0"/>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存托人 Depositary</w:t>
            </w:r>
          </w:p>
        </w:tc>
        <w:tc>
          <w:tcPr>
            <w:tcW w:w="3286" w:type="dxa"/>
            <w:gridSpan w:val="4"/>
            <w:tcBorders>
              <w:top w:val="single" w:color="auto" w:sz="4" w:space="0"/>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c>
          <w:tcPr>
            <w:tcW w:w="3260" w:type="dxa"/>
            <w:gridSpan w:val="2"/>
            <w:tcBorders>
              <w:top w:val="nil"/>
              <w:left w:val="nil"/>
              <w:bottom w:val="single" w:color="auto" w:sz="4" w:space="0"/>
              <w:right w:val="single" w:color="auto" w:sz="4" w:space="0"/>
            </w:tcBorders>
            <w:vAlign w:val="center"/>
          </w:tcPr>
          <w:p>
            <w:pPr>
              <w:widowControl/>
              <w:spacing w:line="26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金融机构标识码/统一社会信用代码 Financial Institutions Identification Code/Uniform Social Credit Code</w:t>
            </w:r>
          </w:p>
        </w:tc>
        <w:tc>
          <w:tcPr>
            <w:tcW w:w="5420" w:type="dxa"/>
            <w:gridSpan w:val="5"/>
            <w:tcBorders>
              <w:top w:val="single" w:color="auto" w:sz="4" w:space="0"/>
              <w:left w:val="nil"/>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510" w:hRule="atLeast"/>
        </w:trPr>
        <w:tc>
          <w:tcPr>
            <w:tcW w:w="2208" w:type="dxa"/>
            <w:vMerge w:val="restart"/>
            <w:tcBorders>
              <w:top w:val="nil"/>
              <w:left w:val="single" w:color="auto" w:sz="4" w:space="0"/>
              <w:bottom w:val="single" w:color="auto" w:sz="4" w:space="0"/>
              <w:right w:val="single" w:color="auto"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境外托管人Custodian</w:t>
            </w: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中文</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cantSplit/>
          <w:trHeight w:val="510" w:hRule="atLeast"/>
        </w:trPr>
        <w:tc>
          <w:tcPr>
            <w:tcW w:w="2208" w:type="dxa"/>
            <w:vMerge w:val="continue"/>
            <w:tcBorders>
              <w:top w:val="nil"/>
              <w:left w:val="single" w:color="auto" w:sz="4" w:space="0"/>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p>
        </w:tc>
        <w:tc>
          <w:tcPr>
            <w:tcW w:w="950" w:type="dxa"/>
            <w:gridSpan w:val="2"/>
            <w:tcBorders>
              <w:top w:val="nil"/>
              <w:left w:val="nil"/>
              <w:bottom w:val="single" w:color="auto" w:sz="4" w:space="0"/>
              <w:right w:val="single" w:color="auto" w:sz="4" w:space="0"/>
            </w:tcBorders>
            <w:vAlign w:val="center"/>
          </w:tcPr>
          <w:p>
            <w:pPr>
              <w:widowControl/>
              <w:spacing w:line="400" w:lineRule="exact"/>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English</w:t>
            </w:r>
          </w:p>
        </w:tc>
        <w:tc>
          <w:tcPr>
            <w:tcW w:w="11016" w:type="dxa"/>
            <w:gridSpan w:val="9"/>
            <w:tcBorders>
              <w:top w:val="single" w:color="auto" w:sz="4" w:space="0"/>
              <w:left w:val="nil"/>
              <w:bottom w:val="single" w:color="auto" w:sz="4" w:space="0"/>
              <w:right w:val="single" w:color="000000" w:sz="4" w:space="0"/>
            </w:tcBorders>
            <w:vAlign w:val="center"/>
          </w:tcPr>
          <w:p>
            <w:pPr>
              <w:widowControl/>
              <w:spacing w:line="40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w:t>
            </w:r>
          </w:p>
        </w:tc>
      </w:tr>
      <w:tr>
        <w:trPr>
          <w:trHeight w:val="735"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340" w:lineRule="exact"/>
              <w:jc w:val="left"/>
              <w:rPr>
                <w:rFonts w:ascii="Times New Roman" w:hAnsi="Times New Roman" w:eastAsia="华文仿宋" w:cs="Times New Roman"/>
                <w:b/>
                <w:bCs/>
                <w:color w:val="000000"/>
                <w:kern w:val="0"/>
                <w:sz w:val="24"/>
                <w:szCs w:val="24"/>
              </w:rPr>
            </w:pPr>
            <w:r>
              <w:rPr>
                <w:rFonts w:ascii="Times New Roman" w:hAnsi="Times New Roman" w:eastAsia="华文仿宋" w:cs="Times New Roman"/>
                <w:b/>
                <w:bCs/>
                <w:color w:val="000000"/>
                <w:kern w:val="0"/>
                <w:sz w:val="24"/>
                <w:szCs w:val="24"/>
              </w:rPr>
              <w:t>二、中国存托凭证发行信息（发行结束后填写）II. Issuance Information of the Chinese Depositary Receipt(to be filled out when the issuance is completed)</w:t>
            </w:r>
          </w:p>
        </w:tc>
      </w:tr>
      <w:tr>
        <w:trPr>
          <w:trHeight w:val="65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存托凭证名称</w:t>
            </w:r>
            <w:r>
              <w:rPr>
                <w:rFonts w:ascii="Times New Roman" w:hAnsi="Times New Roman" w:eastAsia="华文仿宋" w:cs="Times New Roman"/>
                <w:color w:val="000000"/>
                <w:sz w:val="24"/>
                <w:szCs w:val="24"/>
              </w:rPr>
              <w:t xml:space="preserve"> Name of securities investment license</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批文号</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Approval No.</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955"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发行上市类型</w:t>
            </w:r>
            <w:r>
              <w:rPr>
                <w:rFonts w:ascii="Times New Roman" w:hAnsi="Times New Roman" w:eastAsia="华文仿宋" w:cs="Times New Roman"/>
                <w:color w:val="000000"/>
                <w:sz w:val="24"/>
                <w:szCs w:val="24"/>
              </w:rPr>
              <w:t xml:space="preserve"> Type of Issuance &amp; Listing</w:t>
            </w:r>
          </w:p>
        </w:tc>
        <w:tc>
          <w:tcPr>
            <w:tcW w:w="5103"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交易所公开</w:t>
            </w:r>
            <w:r>
              <w:rPr>
                <w:rFonts w:ascii="Times New Roman" w:hAnsi="Times New Roman" w:eastAsia="华文仿宋" w:cs="Times New Roman"/>
                <w:color w:val="000000"/>
                <w:sz w:val="24"/>
                <w:szCs w:val="24"/>
              </w:rPr>
              <w:t xml:space="preserve">□ </w:t>
            </w:r>
            <w:r>
              <w:rPr>
                <w:rFonts w:ascii="Times New Roman" w:hAnsi="华文仿宋" w:eastAsia="华文仿宋" w:cs="Times New Roman"/>
                <w:color w:val="000000"/>
                <w:sz w:val="24"/>
                <w:szCs w:val="24"/>
              </w:rPr>
              <w:t>交易所非公开</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场外</w:t>
            </w:r>
            <w:r>
              <w:rPr>
                <w:rFonts w:ascii="Times New Roman" w:hAnsi="Times New Roman" w:eastAsia="华文仿宋" w:cs="Times New Roman"/>
                <w:color w:val="000000"/>
                <w:sz w:val="24"/>
                <w:szCs w:val="24"/>
              </w:rPr>
              <w:t>□   Publicly Issued On the Exchange□</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Non-publicly Issued On the Exchange□ OTC□</w:t>
            </w:r>
          </w:p>
        </w:tc>
        <w:tc>
          <w:tcPr>
            <w:tcW w:w="4261" w:type="dxa"/>
            <w:gridSpan w:val="4"/>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用于创设的境外基础证券数量</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Number of Underlying Securities</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108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境外发行人基础证券发行（所在）地</w:t>
            </w:r>
            <w:r>
              <w:rPr>
                <w:rFonts w:ascii="Times New Roman" w:hAnsi="Times New Roman" w:eastAsia="华文仿宋" w:cs="Times New Roman"/>
                <w:color w:val="000000"/>
                <w:sz w:val="24"/>
                <w:szCs w:val="24"/>
              </w:rPr>
              <w:t xml:space="preserve"> Issuance Place of the Underlying Offshore Securities</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占发行人境外基础证券比例（</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Percentage of the Total Offshore Underlying Securities</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存托凭证发行上市规模（人民币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Size of the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1219"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每股存托凭证代表基础证券份额</w:t>
            </w:r>
            <w:r>
              <w:rPr>
                <w:rFonts w:ascii="Times New Roman" w:hAnsi="Times New Roman" w:eastAsia="华文仿宋" w:cs="Times New Roman"/>
                <w:color w:val="000000"/>
                <w:sz w:val="24"/>
                <w:szCs w:val="24"/>
              </w:rPr>
              <w:t>Number of Underlying Shares Represented by Each CDR</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每股存托凭证发行价格（人民币</w:t>
            </w:r>
            <w:r>
              <w:rPr>
                <w:rFonts w:ascii="Times New Roman" w:hAnsi="Times New Roman" w:eastAsia="华文仿宋" w:cs="Times New Roman"/>
                <w:color w:val="000000"/>
                <w:sz w:val="24"/>
                <w:szCs w:val="24"/>
              </w:rPr>
              <w:t>/</w:t>
            </w:r>
            <w:r>
              <w:rPr>
                <w:rFonts w:ascii="Times New Roman" w:hAnsi="华文仿宋" w:eastAsia="华文仿宋" w:cs="Times New Roman"/>
                <w:color w:val="000000"/>
                <w:sz w:val="24"/>
                <w:szCs w:val="24"/>
              </w:rPr>
              <w:t>元）</w:t>
            </w:r>
            <w:r>
              <w:rPr>
                <w:rFonts w:ascii="Times New Roman" w:hAnsi="Times New Roman" w:eastAsia="华文仿宋" w:cs="Times New Roman"/>
                <w:color w:val="000000"/>
                <w:sz w:val="24"/>
                <w:szCs w:val="24"/>
              </w:rPr>
              <w:t xml:space="preserve"> Offering Price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per CDR</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RMB</w:t>
            </w:r>
            <w:r>
              <w:rPr>
                <w:rFonts w:ascii="Times New Roman" w:hAnsi="华文仿宋" w:eastAsia="华文仿宋" w:cs="Times New Roman"/>
                <w:color w:val="000000"/>
                <w:sz w:val="24"/>
                <w:szCs w:val="24"/>
              </w:rPr>
              <w:t>）</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发行上市日期</w:t>
            </w:r>
            <w:r>
              <w:rPr>
                <w:rFonts w:ascii="Times New Roman" w:hAnsi="Times New Roman" w:eastAsia="华文仿宋" w:cs="Times New Roman"/>
                <w:color w:val="000000"/>
                <w:sz w:val="24"/>
                <w:szCs w:val="24"/>
              </w:rPr>
              <w:t xml:space="preserve"> </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Issuance &amp; Listing Date</w:t>
            </w:r>
            <w:r>
              <w:rPr>
                <w:rFonts w:ascii="Times New Roman" w:hAnsi="华文仿宋" w:eastAsia="华文仿宋" w:cs="Times New Roman"/>
                <w:color w:val="000000"/>
                <w:sz w:val="24"/>
                <w:szCs w:val="24"/>
              </w:rPr>
              <w:t>（</w:t>
            </w:r>
            <w:r>
              <w:rPr>
                <w:rFonts w:ascii="Times New Roman" w:hAnsi="Times New Roman" w:eastAsia="华文仿宋" w:cs="Times New Roman"/>
                <w:color w:val="000000"/>
                <w:sz w:val="24"/>
                <w:szCs w:val="24"/>
              </w:rPr>
              <w:t>YYYY-MM-DD</w:t>
            </w:r>
            <w:r>
              <w:rPr>
                <w:rFonts w:ascii="Times New Roman" w:hAnsi="华文仿宋" w:eastAsia="华文仿宋" w:cs="Times New Roman"/>
                <w:color w:val="000000"/>
                <w:sz w:val="24"/>
                <w:szCs w:val="24"/>
              </w:rPr>
              <w:t>）</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797" w:hRule="atLeast"/>
        </w:trPr>
        <w:tc>
          <w:tcPr>
            <w:tcW w:w="3087"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拟留存境内金额</w:t>
            </w:r>
            <w:r>
              <w:rPr>
                <w:rFonts w:ascii="Times New Roman" w:hAnsi="Times New Roman" w:eastAsia="华文仿宋" w:cs="Times New Roman"/>
                <w:color w:val="000000"/>
                <w:sz w:val="24"/>
                <w:szCs w:val="24"/>
              </w:rPr>
              <w:t>Proposed Amount to be Retained for Domestic Use</w:t>
            </w:r>
          </w:p>
        </w:tc>
        <w:tc>
          <w:tcPr>
            <w:tcW w:w="1559"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3544"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拟汇出境外金额</w:t>
            </w:r>
            <w:r>
              <w:rPr>
                <w:rFonts w:ascii="Times New Roman" w:hAnsi="Times New Roman" w:eastAsia="华文仿宋" w:cs="Times New Roman"/>
                <w:color w:val="000000"/>
                <w:sz w:val="24"/>
                <w:szCs w:val="24"/>
              </w:rPr>
              <w:t>Proposed Amount to be Remitted Abroad</w:t>
            </w:r>
          </w:p>
        </w:tc>
        <w:tc>
          <w:tcPr>
            <w:tcW w:w="1276" w:type="dxa"/>
            <w:gridSpan w:val="2"/>
            <w:tcBorders>
              <w:top w:val="single" w:color="auto" w:sz="4" w:space="0"/>
              <w:left w:val="nil"/>
              <w:bottom w:val="single" w:color="auto" w:sz="4" w:space="0"/>
              <w:right w:val="single" w:color="auto" w:sz="4" w:space="0"/>
            </w:tcBorders>
            <w:vAlign w:val="center"/>
          </w:tcPr>
          <w:p>
            <w:pPr>
              <w:spacing w:line="300" w:lineRule="exact"/>
              <w:rPr>
                <w:rFonts w:ascii="Times New Roman" w:hAnsi="Times New Roman" w:eastAsia="宋体" w:cs="Times New Roman"/>
                <w:color w:val="000000"/>
                <w:sz w:val="24"/>
                <w:szCs w:val="24"/>
              </w:rPr>
            </w:pPr>
            <w:r>
              <w:rPr>
                <w:rFonts w:ascii="Times New Roman" w:hAnsi="Calibri" w:eastAsia="宋体" w:cs="Times New Roman"/>
                <w:color w:val="000000"/>
                <w:sz w:val="24"/>
                <w:szCs w:val="24"/>
              </w:rPr>
              <w:t>　</w:t>
            </w:r>
          </w:p>
        </w:tc>
        <w:tc>
          <w:tcPr>
            <w:tcW w:w="2985"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其中拟购汇金额</w:t>
            </w:r>
          </w:p>
          <w:p>
            <w:pPr>
              <w:spacing w:line="300" w:lineRule="exact"/>
              <w:jc w:val="center"/>
              <w:rPr>
                <w:rFonts w:ascii="Times New Roman" w:hAnsi="Times New Roman" w:eastAsia="华文仿宋" w:cs="Times New Roman"/>
                <w:color w:val="000000"/>
                <w:sz w:val="24"/>
                <w:szCs w:val="24"/>
              </w:rPr>
            </w:pPr>
            <w:r>
              <w:rPr>
                <w:rFonts w:ascii="Times New Roman" w:hAnsi="Times New Roman" w:eastAsia="华文仿宋" w:cs="Times New Roman"/>
                <w:color w:val="000000"/>
                <w:sz w:val="24"/>
                <w:szCs w:val="24"/>
              </w:rPr>
              <w:t>Proposed Amount to Purchase Foreign Exchange</w:t>
            </w:r>
          </w:p>
        </w:tc>
        <w:tc>
          <w:tcPr>
            <w:tcW w:w="1723" w:type="dxa"/>
            <w:gridSpan w:val="2"/>
            <w:tcBorders>
              <w:top w:val="single" w:color="auto" w:sz="4" w:space="0"/>
              <w:left w:val="nil"/>
              <w:bottom w:val="single" w:color="auto" w:sz="4" w:space="0"/>
              <w:right w:val="single" w:color="auto" w:sz="4" w:space="0"/>
            </w:tcBorders>
            <w:vAlign w:val="center"/>
          </w:tcPr>
          <w:p>
            <w:pPr>
              <w:spacing w:line="300" w:lineRule="exact"/>
              <w:jc w:val="center"/>
              <w:rPr>
                <w:rFonts w:ascii="Times New Roman" w:hAnsi="Times New Roman" w:eastAsia="华文仿宋" w:cs="Times New Roman"/>
                <w:color w:val="000000"/>
                <w:sz w:val="24"/>
                <w:szCs w:val="24"/>
              </w:rPr>
            </w:pPr>
            <w:r>
              <w:rPr>
                <w:rFonts w:ascii="Times New Roman" w:hAnsi="华文仿宋" w:eastAsia="华文仿宋" w:cs="Times New Roman"/>
                <w:color w:val="000000"/>
                <w:sz w:val="24"/>
                <w:szCs w:val="24"/>
              </w:rPr>
              <w:t>　</w:t>
            </w:r>
          </w:p>
        </w:tc>
      </w:tr>
      <w:tr>
        <w:trPr>
          <w:trHeight w:val="844" w:hRule="atLeast"/>
        </w:trPr>
        <w:tc>
          <w:tcPr>
            <w:tcW w:w="14174"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exact"/>
              <w:ind w:firstLine="480" w:firstLineChars="200"/>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本机构承诺上述所填写内容及所附材料真实、准确、无虚假信息，并承诺严格按照外汇管理规定开展相关业务，接受外汇局监督、管理和检查。We declare that the information on this form and material attached is true, correct and without any false statement, we further certify that we shall strictly follow the foreign exchange regulations to carry out related business, and accept the administration, supervision and inspection by SAFE.</w:t>
            </w:r>
          </w:p>
          <w:p>
            <w:pPr>
              <w:widowControl/>
              <w:spacing w:line="420" w:lineRule="exact"/>
              <w:ind w:firstLine="3120" w:firstLineChars="1300"/>
              <w:jc w:val="left"/>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境外基础证券发行人（签章）Issuer （Authorized Signature）：</w:t>
            </w:r>
          </w:p>
          <w:p>
            <w:pPr>
              <w:spacing w:line="420" w:lineRule="exact"/>
              <w:jc w:val="center"/>
              <w:rPr>
                <w:rFonts w:ascii="Times New Roman" w:hAnsi="Times New Roman" w:eastAsia="华文仿宋" w:cs="Times New Roman"/>
                <w:color w:val="000000"/>
                <w:kern w:val="0"/>
                <w:sz w:val="24"/>
                <w:szCs w:val="24"/>
              </w:rPr>
            </w:pPr>
            <w:r>
              <w:rPr>
                <w:rFonts w:ascii="Times New Roman" w:hAnsi="Times New Roman" w:eastAsia="华文仿宋" w:cs="Times New Roman"/>
                <w:color w:val="000000"/>
                <w:kern w:val="0"/>
                <w:sz w:val="24"/>
                <w:szCs w:val="24"/>
              </w:rPr>
              <w:t xml:space="preserve">                                                                  年   月   日 (YYYY-MM-DD)</w:t>
            </w:r>
          </w:p>
        </w:tc>
      </w:tr>
    </w:tbl>
    <w:p>
      <w:pPr>
        <w:adjustRightInd w:val="0"/>
        <w:snapToGrid w:val="0"/>
        <w:spacing w:line="360" w:lineRule="auto"/>
        <w:rPr>
          <w:rFonts w:ascii="Times New Roman" w:hAnsi="Times New Roman" w:eastAsia="仿宋_GB2312" w:cs="Times New Roman"/>
          <w:sz w:val="30"/>
          <w:szCs w:val="30"/>
        </w:rPr>
        <w:sectPr>
          <w:footerReference r:id="rId6" w:type="default"/>
          <w:pgSz w:w="16838" w:h="11906" w:orient="landscape"/>
          <w:pgMar w:top="1797" w:right="1440" w:bottom="1797" w:left="1440" w:header="851" w:footer="992" w:gutter="0"/>
          <w:cols w:space="720" w:num="1"/>
          <w:docGrid w:type="linesAndChars" w:linePitch="312"/>
        </w:sectPr>
      </w:pP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widowControl/>
        <w:ind w:firstLine="600" w:firstLineChars="200"/>
        <w:rPr>
          <w:rFonts w:ascii="Times New Roman" w:hAnsi="Times New Roman" w:eastAsia="仿宋_GB2312" w:cs="Times New Roman"/>
          <w:kern w:val="0"/>
          <w:sz w:val="30"/>
          <w:szCs w:val="30"/>
        </w:rPr>
      </w:pPr>
      <w:r>
        <w:rPr>
          <w:rFonts w:ascii="Times New Roman" w:hAnsi="Times New Roman" w:eastAsia="仿宋_GB2312" w:cs="Times New Roman"/>
          <w:kern w:val="0"/>
          <w:sz w:val="30"/>
          <w:szCs w:val="30"/>
        </w:rPr>
        <w:t>问：以新增证券为基础发行中国存托凭证，应开立什么账户？</w:t>
      </w:r>
    </w:p>
    <w:p>
      <w:pPr>
        <w:widowControl/>
        <w:ind w:firstLine="600" w:firstLineChars="200"/>
        <w:rPr>
          <w:rFonts w:ascii="Times New Roman" w:hAnsi="Times New Roman" w:eastAsia="仿宋_GB2312" w:cs="Times New Roman"/>
          <w:sz w:val="30"/>
          <w:szCs w:val="30"/>
        </w:rPr>
      </w:pPr>
      <w:r>
        <w:rPr>
          <w:rFonts w:ascii="Times New Roman" w:hAnsi="Times New Roman" w:eastAsia="仿宋_GB2312" w:cs="Times New Roman"/>
          <w:kern w:val="0"/>
          <w:sz w:val="30"/>
          <w:szCs w:val="30"/>
        </w:rPr>
        <w:t>答：境外发行人以新增证券为基础发行中国存托凭证的，应在办理业务登记后，开立募集资金专用账户（账户性质为3400 境外机构/个人境内账户）。</w:t>
      </w:r>
    </w:p>
    <w:sectPr>
      <w:pgSz w:w="11906" w:h="16838"/>
      <w:pgMar w:top="1440" w:right="1797" w:bottom="1440" w:left="1797"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2</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t>7</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qFormat/>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573</Words>
  <Characters>3267</Characters>
  <Lines>27</Lines>
  <Paragraphs>7</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2020-02-27T06:29:00Z</dcterms:created>
  <dc:creator>裴建君2</dc:creator>
  <cp:lastModifiedBy>杜鑫/外汇管理处/银川/PBC</cp:lastModifiedBy>
  <cp:lastPrinted>2021-04-25T12:28:00Z</cp:lastPrinted>
  <dcterms:modified xsi:type="dcterms:W3CDTF">2021-04-27T09:16:11Z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