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eastAsia="黑体"/>
          <w:b/>
          <w:sz w:val="36"/>
          <w:szCs w:val="36"/>
        </w:rPr>
      </w:pPr>
      <w:r>
        <w:rPr>
          <w:rFonts w:hint="eastAsia" w:ascii="黑体" w:eastAsia="黑体"/>
          <w:b/>
          <w:sz w:val="36"/>
          <w:szCs w:val="36"/>
        </w:rPr>
        <w:t>国家外汇管理局辽宁省分局“不申报、不解付”特殊处理措施操作规程</w:t>
      </w:r>
      <w:r>
        <w:rPr>
          <w:rFonts w:hint="eastAsia" w:ascii="黑体" w:eastAsia="黑体"/>
          <w:b/>
          <w:sz w:val="36"/>
          <w:szCs w:val="36"/>
          <w:lang w:val="en-US" w:eastAsia="zh-CN"/>
        </w:rPr>
        <w:t>(征求意见稿)</w:t>
      </w:r>
    </w:p>
    <w:p>
      <w:pPr>
        <w:ind w:firstLine="600" w:firstLineChars="200"/>
        <w:rPr>
          <w:rFonts w:ascii="仿宋_GB2312" w:eastAsia="仿宋_GB2312"/>
          <w:sz w:val="30"/>
          <w:szCs w:val="30"/>
        </w:rPr>
      </w:pPr>
      <w:r>
        <w:rPr>
          <w:rFonts w:hint="eastAsia" w:ascii="仿宋_GB2312" w:eastAsia="仿宋_GB2312"/>
          <w:sz w:val="30"/>
          <w:szCs w:val="30"/>
        </w:rPr>
        <w:t>第一条 为进一步提高机构申报主体通过银行进行国</w:t>
      </w:r>
      <w:bookmarkStart w:id="0" w:name="_GoBack"/>
      <w:bookmarkEnd w:id="0"/>
      <w:r>
        <w:rPr>
          <w:rFonts w:hint="eastAsia" w:ascii="仿宋_GB2312" w:eastAsia="仿宋_GB2312"/>
          <w:sz w:val="30"/>
          <w:szCs w:val="30"/>
        </w:rPr>
        <w:t>际收支统计申报的及时性，规范对涉外收入逾期未申报的处理措施，根据《国家外汇管理局关于印发&lt;通过银行进行国际收支统计申报业务实施细则&gt;的通知》（汇发〔2022〕22号），国家外汇管理局辽宁省分局（以下简称辽宁省分局）结合辽宁辖内（不含大连，下同）国际收支统计申报工作实际，制定本操作规程。</w:t>
      </w:r>
    </w:p>
    <w:p>
      <w:pPr>
        <w:ind w:firstLine="600" w:firstLineChars="200"/>
        <w:rPr>
          <w:rFonts w:ascii="仿宋_GB2312" w:eastAsia="仿宋_GB2312"/>
          <w:sz w:val="30"/>
          <w:szCs w:val="30"/>
        </w:rPr>
      </w:pPr>
      <w:r>
        <w:rPr>
          <w:rFonts w:hint="eastAsia" w:ascii="仿宋_GB2312" w:eastAsia="仿宋_GB2312"/>
          <w:sz w:val="30"/>
          <w:szCs w:val="30"/>
        </w:rPr>
        <w:t>第二条</w:t>
      </w:r>
      <w:r>
        <w:rPr>
          <w:rFonts w:hint="eastAsia" w:ascii="仿宋_GB2312" w:eastAsia="仿宋_GB2312"/>
          <w:sz w:val="30"/>
          <w:szCs w:val="30"/>
          <w:lang w:val="en-US" w:eastAsia="zh-CN"/>
        </w:rPr>
        <w:t xml:space="preserve"> </w:t>
      </w:r>
      <w:r>
        <w:rPr>
          <w:rFonts w:hint="eastAsia" w:ascii="仿宋_GB2312" w:eastAsia="仿宋_GB2312"/>
          <w:sz w:val="30"/>
          <w:szCs w:val="30"/>
        </w:rPr>
        <w:t>发生涉外收入业务的机构申报主体（以下简称申报主体）逾期未申报适用于本操作规程。</w:t>
      </w:r>
    </w:p>
    <w:p>
      <w:pPr>
        <w:ind w:firstLine="600" w:firstLineChars="200"/>
        <w:rPr>
          <w:rFonts w:ascii="仿宋_GB2312" w:eastAsia="仿宋_GB2312"/>
          <w:sz w:val="30"/>
          <w:szCs w:val="30"/>
        </w:rPr>
      </w:pPr>
      <w:r>
        <w:rPr>
          <w:rFonts w:hint="eastAsia" w:ascii="仿宋_GB2312" w:eastAsia="仿宋_GB2312"/>
          <w:sz w:val="30"/>
          <w:szCs w:val="30"/>
        </w:rPr>
        <w:t>逾期未申报是指申报主体未在解付银行／结汇中转行（以下简称经办银行）为其涉外收入款项解付／结汇后的五个工作日内按规定进行涉外收入申报的行为。</w:t>
      </w:r>
    </w:p>
    <w:p>
      <w:pPr>
        <w:spacing w:line="240" w:lineRule="auto"/>
        <w:ind w:firstLine="600" w:firstLineChars="200"/>
        <w:rPr>
          <w:rFonts w:ascii="仿宋_GB2312" w:eastAsia="仿宋_GB2312"/>
          <w:color w:val="000000"/>
          <w:sz w:val="30"/>
          <w:szCs w:val="30"/>
        </w:rPr>
      </w:pPr>
      <w:r>
        <w:rPr>
          <w:rFonts w:hint="eastAsia" w:ascii="仿宋_GB2312" w:eastAsia="仿宋_GB2312"/>
          <w:bCs/>
          <w:sz w:val="30"/>
          <w:szCs w:val="30"/>
        </w:rPr>
        <w:t xml:space="preserve">第三条 </w:t>
      </w:r>
      <w:r>
        <w:rPr>
          <w:rFonts w:hint="eastAsia" w:ascii="仿宋_GB2312" w:eastAsia="仿宋_GB2312"/>
          <w:color w:val="000000"/>
          <w:sz w:val="30"/>
          <w:szCs w:val="30"/>
        </w:rPr>
        <w:t>辽宁省分局统一发布“不申报、不解付”特殊处理措施通知。</w:t>
      </w:r>
    </w:p>
    <w:p>
      <w:pPr>
        <w:spacing w:line="240" w:lineRule="auto"/>
        <w:ind w:firstLine="600" w:firstLineChars="200"/>
        <w:rPr>
          <w:rFonts w:ascii="仿宋_GB2312" w:eastAsia="仿宋_GB2312"/>
          <w:color w:val="000000"/>
          <w:sz w:val="30"/>
          <w:szCs w:val="30"/>
        </w:rPr>
      </w:pPr>
      <w:r>
        <w:rPr>
          <w:rFonts w:hint="eastAsia" w:eastAsia="仿宋_GB2312"/>
          <w:sz w:val="30"/>
          <w:szCs w:val="30"/>
        </w:rPr>
        <w:t>接到辽宁省分局“不申报、不解付”的特殊处理措施通知后，辖内银行应配合辽宁省分局做好相关工作。</w:t>
      </w:r>
    </w:p>
    <w:p>
      <w:pPr>
        <w:ind w:firstLine="600" w:firstLineChars="200"/>
        <w:rPr>
          <w:rFonts w:ascii="仿宋_GB2312" w:eastAsia="仿宋_GB2312"/>
          <w:color w:val="000000"/>
          <w:sz w:val="30"/>
          <w:szCs w:val="30"/>
        </w:rPr>
      </w:pPr>
      <w:r>
        <w:rPr>
          <w:rFonts w:hint="eastAsia" w:eastAsia="仿宋_GB2312"/>
          <w:sz w:val="30"/>
          <w:szCs w:val="30"/>
        </w:rPr>
        <w:t>辖内各中心支局负责指导和监督本辖区银行做好特殊处理措施的具体工作。</w:t>
      </w:r>
    </w:p>
    <w:p>
      <w:pPr>
        <w:spacing w:line="240" w:lineRule="auto"/>
        <w:ind w:firstLine="600" w:firstLineChars="200"/>
        <w:rPr>
          <w:rFonts w:ascii="仿宋_GB2312" w:eastAsia="仿宋_GB2312"/>
          <w:sz w:val="30"/>
          <w:szCs w:val="30"/>
        </w:rPr>
      </w:pPr>
      <w:r>
        <w:rPr>
          <w:rFonts w:hint="eastAsia" w:ascii="仿宋_GB2312" w:eastAsia="仿宋_GB2312"/>
          <w:sz w:val="30"/>
          <w:szCs w:val="30"/>
        </w:rPr>
        <w:t>第四条 申报主体在非不可抗力因素下导致逾期未申报，且满足下列情形之一的，辽宁省分局将对该申报主体采取“不申报、不解付”特殊处理措施：</w:t>
      </w:r>
    </w:p>
    <w:p>
      <w:pPr>
        <w:ind w:firstLine="600" w:firstLineChars="200"/>
        <w:rPr>
          <w:rFonts w:ascii="仿宋_GB2312" w:eastAsia="仿宋_GB2312"/>
          <w:sz w:val="30"/>
          <w:szCs w:val="30"/>
          <w:highlight w:val="yellow"/>
        </w:rPr>
      </w:pPr>
      <w:r>
        <w:rPr>
          <w:rFonts w:hint="eastAsia" w:ascii="仿宋_GB2312" w:eastAsia="仿宋_GB2312"/>
          <w:sz w:val="30"/>
          <w:szCs w:val="30"/>
        </w:rPr>
        <w:t>（一）单笔超过报送时限五个工作日且金额超过等值100万（含）美元的；</w:t>
      </w:r>
    </w:p>
    <w:p>
      <w:pPr>
        <w:ind w:firstLine="600" w:firstLineChars="200"/>
        <w:rPr>
          <w:rFonts w:ascii="仿宋_GB2312" w:eastAsia="仿宋_GB2312"/>
          <w:sz w:val="30"/>
          <w:szCs w:val="30"/>
          <w:highlight w:val="yellow"/>
        </w:rPr>
      </w:pPr>
      <w:r>
        <w:rPr>
          <w:rFonts w:hint="eastAsia" w:ascii="仿宋_GB2312" w:eastAsia="仿宋_GB2312"/>
          <w:sz w:val="30"/>
          <w:szCs w:val="30"/>
        </w:rPr>
        <w:t>（二）单笔超过报送时限十五个工作日的；</w:t>
      </w:r>
    </w:p>
    <w:p>
      <w:pPr>
        <w:ind w:firstLine="600" w:firstLineChars="200"/>
        <w:rPr>
          <w:rFonts w:ascii="仿宋_GB2312" w:eastAsia="仿宋_GB2312"/>
          <w:sz w:val="30"/>
          <w:szCs w:val="30"/>
          <w:highlight w:val="yellow"/>
        </w:rPr>
      </w:pPr>
      <w:r>
        <w:rPr>
          <w:rFonts w:hint="eastAsia" w:ascii="仿宋_GB2312" w:eastAsia="仿宋_GB2312"/>
          <w:sz w:val="30"/>
          <w:szCs w:val="30"/>
        </w:rPr>
        <w:t>（三）同一申报主体在一个自然月内累计逾期未申报笔数超过5笔（含）；</w:t>
      </w:r>
    </w:p>
    <w:p>
      <w:pPr>
        <w:ind w:firstLine="600" w:firstLineChars="200"/>
        <w:textAlignment w:val="auto"/>
        <w:rPr>
          <w:rFonts w:ascii="仿宋_GB2312" w:eastAsia="仿宋_GB2312"/>
          <w:sz w:val="30"/>
          <w:szCs w:val="30"/>
        </w:rPr>
      </w:pPr>
      <w:r>
        <w:rPr>
          <w:rFonts w:hint="eastAsia" w:eastAsia="仿宋_GB2312"/>
          <w:sz w:val="30"/>
          <w:szCs w:val="30"/>
        </w:rPr>
        <w:t xml:space="preserve"> </w:t>
      </w:r>
      <w:r>
        <w:rPr>
          <w:rFonts w:hint="eastAsia" w:eastAsia="仿宋_GB2312"/>
          <w:bCs/>
          <w:sz w:val="30"/>
          <w:szCs w:val="30"/>
        </w:rPr>
        <w:t>第五条</w:t>
      </w:r>
      <w:r>
        <w:rPr>
          <w:rFonts w:hint="eastAsia" w:ascii="仿宋_GB2312" w:eastAsia="仿宋_GB2312"/>
          <w:sz w:val="30"/>
          <w:szCs w:val="30"/>
        </w:rPr>
        <w:t xml:space="preserve"> 辽宁省分局</w:t>
      </w:r>
      <w:r>
        <w:rPr>
          <w:rFonts w:hint="eastAsia" w:ascii="仿宋_GB2312" w:hAnsi="仿宋_GB2312" w:eastAsia="仿宋_GB2312"/>
          <w:sz w:val="30"/>
          <w:szCs w:val="30"/>
        </w:rPr>
        <w:t>向辖内银行总行或省级分行下发《辽宁省分局关于执行</w:t>
      </w:r>
      <w:r>
        <w:rPr>
          <w:rFonts w:hint="eastAsia" w:ascii="仿宋_GB2312" w:eastAsia="仿宋_GB2312"/>
          <w:sz w:val="30"/>
          <w:szCs w:val="30"/>
        </w:rPr>
        <w:t>“</w:t>
      </w:r>
      <w:r>
        <w:rPr>
          <w:rFonts w:hint="eastAsia" w:ascii="仿宋_GB2312" w:hAnsi="仿宋_GB2312" w:eastAsia="仿宋_GB2312"/>
          <w:sz w:val="30"/>
          <w:szCs w:val="30"/>
        </w:rPr>
        <w:t>不申报、不解付</w:t>
      </w:r>
      <w:r>
        <w:rPr>
          <w:rFonts w:hint="eastAsia" w:ascii="仿宋_GB2312" w:eastAsia="仿宋_GB2312"/>
          <w:sz w:val="30"/>
          <w:szCs w:val="30"/>
        </w:rPr>
        <w:t>”</w:t>
      </w:r>
      <w:r>
        <w:rPr>
          <w:rFonts w:hint="eastAsia" w:ascii="仿宋_GB2312" w:hAnsi="仿宋_GB2312" w:eastAsia="仿宋_GB2312"/>
          <w:sz w:val="30"/>
          <w:szCs w:val="30"/>
        </w:rPr>
        <w:t>特殊处理措施机构名单的通知》（见附1）。</w:t>
      </w:r>
    </w:p>
    <w:p>
      <w:pPr>
        <w:spacing w:line="240" w:lineRule="auto"/>
        <w:ind w:firstLine="600" w:firstLineChars="200"/>
        <w:rPr>
          <w:rFonts w:ascii="仿宋_GB2312" w:hAnsi="仿宋_GB2312" w:eastAsia="仿宋_GB2312"/>
          <w:sz w:val="30"/>
          <w:szCs w:val="30"/>
        </w:rPr>
      </w:pPr>
      <w:r>
        <w:rPr>
          <w:rFonts w:hint="eastAsia" w:ascii="仿宋_GB2312" w:hAnsi="仿宋_GB2312" w:eastAsia="仿宋_GB2312"/>
          <w:sz w:val="30"/>
          <w:szCs w:val="30"/>
        </w:rPr>
        <w:t>第六条 对于被执行特殊处理措施的申报主体，经办银行应当告知其已被执行特殊处理措施，特殊处理措施期间经办银行和申报主体应按照以下规定办理业务：</w:t>
      </w:r>
    </w:p>
    <w:p>
      <w:pPr>
        <w:spacing w:line="240" w:lineRule="auto"/>
        <w:ind w:firstLine="600" w:firstLineChars="200"/>
        <w:rPr>
          <w:rFonts w:ascii="仿宋_GB2312" w:hAnsi="仿宋" w:eastAsia="仿宋_GB2312" w:cs="仿宋_GB2312"/>
          <w:sz w:val="30"/>
          <w:szCs w:val="30"/>
        </w:rPr>
      </w:pPr>
      <w:r>
        <w:rPr>
          <w:rFonts w:hint="eastAsia" w:ascii="仿宋_GB2312" w:eastAsia="仿宋_GB2312"/>
          <w:sz w:val="30"/>
          <w:szCs w:val="30"/>
        </w:rPr>
        <w:t>（一）</w:t>
      </w:r>
      <w:r>
        <w:rPr>
          <w:rFonts w:hint="eastAsia" w:ascii="仿宋_GB2312" w:eastAsia="仿宋_GB2312"/>
          <w:color w:val="000000"/>
          <w:kern w:val="0"/>
          <w:sz w:val="30"/>
          <w:szCs w:val="30"/>
        </w:rPr>
        <w:t>经办银行应当督促申报主体逐笔补报其此前未按期申报的涉外收入款项，并通知其应以纸质申报方式完成被执行特殊处理措施期间新收款项的申报。</w:t>
      </w:r>
    </w:p>
    <w:p>
      <w:pPr>
        <w:spacing w:line="240" w:lineRule="auto"/>
        <w:ind w:firstLine="600" w:firstLineChars="200"/>
        <w:rPr>
          <w:rFonts w:ascii="仿宋_GB2312" w:hAnsi="仿宋_GB2312" w:eastAsia="仿宋_GB2312"/>
          <w:sz w:val="30"/>
          <w:szCs w:val="30"/>
        </w:rPr>
      </w:pPr>
      <w:r>
        <w:rPr>
          <w:rFonts w:hint="eastAsia" w:ascii="仿宋_GB2312" w:hAnsi="仿宋" w:eastAsia="仿宋_GB2312" w:cs="仿宋_GB2312"/>
          <w:sz w:val="30"/>
          <w:szCs w:val="30"/>
        </w:rPr>
        <w:t>（二）</w:t>
      </w:r>
      <w:r>
        <w:rPr>
          <w:rFonts w:hint="eastAsia" w:ascii="仿宋_GB2312" w:eastAsia="仿宋_GB2312"/>
          <w:color w:val="000000"/>
          <w:kern w:val="0"/>
          <w:sz w:val="30"/>
          <w:szCs w:val="30"/>
        </w:rPr>
        <w:t>申报主体应通过纸质申报、电子凭证申报或网上申报方式补报此前未按期申报的涉外收入款项，并在履行补报义务后向辽宁省分局申请签发《涉外收入逾期未申报补报确认书》（见附2）。</w:t>
      </w:r>
    </w:p>
    <w:p>
      <w:pPr>
        <w:ind w:firstLine="600" w:firstLineChars="200"/>
        <w:textAlignment w:val="baseline"/>
        <w:rPr>
          <w:rFonts w:ascii="仿宋_GB2312" w:eastAsia="仿宋_GB2312"/>
          <w:color w:val="000000"/>
          <w:sz w:val="30"/>
          <w:szCs w:val="30"/>
        </w:rPr>
      </w:pPr>
      <w:r>
        <w:rPr>
          <w:rFonts w:hint="eastAsia" w:ascii="仿宋_GB2312" w:hAnsi="仿宋_GB2312" w:eastAsia="仿宋_GB2312"/>
          <w:sz w:val="30"/>
          <w:szCs w:val="30"/>
        </w:rPr>
        <w:t>（三）</w:t>
      </w:r>
      <w:r>
        <w:rPr>
          <w:rFonts w:hint="eastAsia" w:ascii="仿宋_GB2312" w:eastAsia="仿宋_GB2312"/>
          <w:color w:val="000000"/>
          <w:sz w:val="30"/>
          <w:szCs w:val="30"/>
        </w:rPr>
        <w:t>申报主体应当以纸质申报方式完成被执行特殊处理措施期间新收款项的申报。经办银行审核无误后，凭辽宁省分局为其出具的《补报确认书》，方可为其办理该笔新收款项的解付手续。</w:t>
      </w:r>
    </w:p>
    <w:p>
      <w:pPr>
        <w:ind w:firstLine="600" w:firstLineChars="200"/>
        <w:textAlignment w:val="baseline"/>
        <w:rPr>
          <w:rFonts w:ascii="仿宋_GB2312" w:eastAsia="仿宋_GB2312"/>
          <w:color w:val="000000"/>
          <w:sz w:val="30"/>
          <w:szCs w:val="30"/>
        </w:rPr>
      </w:pPr>
      <w:r>
        <w:rPr>
          <w:rFonts w:hint="eastAsia" w:eastAsia="仿宋_GB2312"/>
          <w:sz w:val="30"/>
          <w:szCs w:val="30"/>
        </w:rPr>
        <w:t>第七条 对申报主体实施“不申报、不解付”特殊处理措施的执行期限为三十天。</w:t>
      </w:r>
    </w:p>
    <w:p>
      <w:pPr>
        <w:spacing w:line="240" w:lineRule="auto"/>
        <w:ind w:firstLine="600" w:firstLineChars="200"/>
        <w:rPr>
          <w:rFonts w:ascii="仿宋_GB2312" w:hAnsi="仿宋_GB2312" w:eastAsia="仿宋_GB2312"/>
          <w:sz w:val="30"/>
          <w:szCs w:val="30"/>
        </w:rPr>
      </w:pPr>
      <w:r>
        <w:rPr>
          <w:rFonts w:hint="eastAsia" w:ascii="仿宋_GB2312" w:hAnsi="仿宋_GB2312" w:eastAsia="仿宋_GB2312"/>
          <w:sz w:val="30"/>
          <w:szCs w:val="30"/>
        </w:rPr>
        <w:t>第八条 在特殊处理措施执行期满，辽宁省分局确认申报主体已经补报其未按期申报的涉外收入款项后，应向辖内银行总行或省级分行下发《辽宁省分局关于解除</w:t>
      </w:r>
      <w:r>
        <w:rPr>
          <w:rFonts w:hint="eastAsia" w:ascii="仿宋_GB2312" w:eastAsia="仿宋_GB2312"/>
          <w:sz w:val="30"/>
          <w:szCs w:val="30"/>
        </w:rPr>
        <w:t>“</w:t>
      </w:r>
      <w:r>
        <w:rPr>
          <w:rFonts w:hint="eastAsia" w:ascii="仿宋_GB2312" w:hAnsi="仿宋_GB2312" w:eastAsia="仿宋_GB2312"/>
          <w:sz w:val="30"/>
          <w:szCs w:val="30"/>
        </w:rPr>
        <w:t>不申报、不解付</w:t>
      </w:r>
      <w:r>
        <w:rPr>
          <w:rFonts w:hint="eastAsia" w:ascii="仿宋_GB2312" w:eastAsia="仿宋_GB2312"/>
          <w:sz w:val="30"/>
          <w:szCs w:val="30"/>
        </w:rPr>
        <w:t>”</w:t>
      </w:r>
      <w:r>
        <w:rPr>
          <w:rFonts w:hint="eastAsia" w:ascii="仿宋_GB2312" w:hAnsi="仿宋_GB2312" w:eastAsia="仿宋_GB2312"/>
          <w:sz w:val="30"/>
          <w:szCs w:val="30"/>
        </w:rPr>
        <w:t>特殊处理措施机构的通知》（见附3）。</w:t>
      </w:r>
    </w:p>
    <w:p>
      <w:pPr>
        <w:spacing w:line="240" w:lineRule="auto"/>
        <w:ind w:firstLine="600" w:firstLineChars="200"/>
        <w:rPr>
          <w:rFonts w:ascii="仿宋_GB2312" w:hAnsi="仿宋_GB2312" w:eastAsia="仿宋_GB2312"/>
          <w:sz w:val="30"/>
          <w:szCs w:val="30"/>
        </w:rPr>
      </w:pPr>
      <w:r>
        <w:rPr>
          <w:rFonts w:hint="eastAsia" w:ascii="仿宋_GB2312" w:hAnsi="仿宋_GB2312" w:eastAsia="仿宋_GB2312"/>
          <w:sz w:val="30"/>
          <w:szCs w:val="30"/>
        </w:rPr>
        <w:t>第九条 对</w:t>
      </w:r>
      <w:r>
        <w:rPr>
          <w:rFonts w:hint="eastAsia" w:ascii="仿宋_GB2312" w:eastAsia="仿宋_GB2312"/>
          <w:color w:val="000000"/>
          <w:sz w:val="30"/>
          <w:szCs w:val="30"/>
        </w:rPr>
        <w:t>申报主体在特殊处理措施期间仍未履行补报义务的，辽宁省分局</w:t>
      </w:r>
      <w:r>
        <w:rPr>
          <w:rFonts w:hint="eastAsia" w:ascii="仿宋_GB2312" w:eastAsia="仿宋_GB2312"/>
          <w:color w:val="000000"/>
          <w:sz w:val="30"/>
          <w:szCs w:val="30"/>
          <w:lang w:eastAsia="zh-CN"/>
        </w:rPr>
        <w:t>应</w:t>
      </w:r>
      <w:r>
        <w:rPr>
          <w:rFonts w:hint="eastAsia" w:ascii="仿宋_GB2312" w:eastAsia="仿宋_GB2312"/>
          <w:color w:val="000000"/>
          <w:sz w:val="30"/>
          <w:szCs w:val="30"/>
        </w:rPr>
        <w:t>根据《中华人民共和国外汇管理条例》等规定进行处罚。</w:t>
      </w:r>
    </w:p>
    <w:p>
      <w:pPr>
        <w:spacing w:line="240" w:lineRule="auto"/>
        <w:ind w:firstLine="600" w:firstLineChars="200"/>
        <w:rPr>
          <w:rFonts w:ascii="仿宋_GB2312" w:hAnsi="仿宋_GB2312" w:eastAsia="仿宋_GB2312"/>
          <w:sz w:val="30"/>
          <w:szCs w:val="30"/>
        </w:rPr>
      </w:pPr>
      <w:r>
        <w:rPr>
          <w:rFonts w:hint="eastAsia" w:ascii="仿宋_GB2312" w:eastAsia="仿宋_GB2312"/>
          <w:color w:val="000000"/>
          <w:sz w:val="30"/>
          <w:szCs w:val="30"/>
        </w:rPr>
        <w:t>第十条 本操作规程由国家外汇管理局辽宁省分局负责解释，自印发之日起执行。</w:t>
      </w: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jc w:val="left"/>
        <w:rPr>
          <w:rFonts w:eastAsia="黑体"/>
          <w:sz w:val="32"/>
          <w:szCs w:val="32"/>
        </w:rPr>
      </w:pPr>
      <w:r>
        <w:rPr>
          <w:rFonts w:eastAsia="黑体"/>
          <w:sz w:val="32"/>
          <w:szCs w:val="32"/>
        </w:rPr>
        <w:t>附</w:t>
      </w:r>
      <w:r>
        <w:rPr>
          <w:rFonts w:hint="eastAsia" w:eastAsia="黑体"/>
          <w:sz w:val="32"/>
          <w:szCs w:val="32"/>
        </w:rPr>
        <w:t>1</w:t>
      </w:r>
    </w:p>
    <w:p>
      <w:pPr>
        <w:spacing w:line="560" w:lineRule="exact"/>
        <w:rPr>
          <w:rFonts w:eastAsia="华文中宋"/>
          <w:color w:val="000000"/>
          <w:sz w:val="44"/>
        </w:rPr>
      </w:pPr>
    </w:p>
    <w:p>
      <w:pPr>
        <w:spacing w:line="560" w:lineRule="exact"/>
        <w:jc w:val="center"/>
        <w:rPr>
          <w:rFonts w:ascii="黑体" w:eastAsia="黑体"/>
          <w:color w:val="000000"/>
          <w:sz w:val="36"/>
          <w:szCs w:val="36"/>
        </w:rPr>
      </w:pPr>
      <w:r>
        <w:rPr>
          <w:rFonts w:hint="eastAsia" w:ascii="黑体" w:eastAsia="黑体"/>
          <w:color w:val="000000"/>
          <w:sz w:val="36"/>
          <w:szCs w:val="36"/>
        </w:rPr>
        <w:t>国家外汇管理局辽宁省分局关于执行“不申报、不解付”特殊处理措施机构名单的通知</w:t>
      </w:r>
    </w:p>
    <w:p>
      <w:pPr>
        <w:spacing w:line="560" w:lineRule="exact"/>
        <w:jc w:val="right"/>
        <w:rPr>
          <w:rFonts w:eastAsia="仿宋_GB2312"/>
          <w:sz w:val="30"/>
          <w:szCs w:val="30"/>
        </w:rPr>
      </w:pPr>
    </w:p>
    <w:p>
      <w:pPr>
        <w:spacing w:line="560" w:lineRule="exact"/>
        <w:ind w:right="600" w:firstLine="3000" w:firstLineChars="1000"/>
        <w:rPr>
          <w:rFonts w:eastAsia="仿宋_GB2312"/>
          <w:sz w:val="30"/>
          <w:szCs w:val="30"/>
        </w:rPr>
      </w:pPr>
      <w:r>
        <w:rPr>
          <w:rFonts w:eastAsia="仿宋_GB2312"/>
          <w:sz w:val="30"/>
          <w:szCs w:val="30"/>
        </w:rPr>
        <w:t>年</w:t>
      </w:r>
      <w:r>
        <w:rPr>
          <w:rFonts w:hint="eastAsia" w:eastAsia="仿宋_GB2312"/>
          <w:sz w:val="30"/>
          <w:szCs w:val="30"/>
        </w:rPr>
        <w:t xml:space="preserve">  </w:t>
      </w:r>
      <w:r>
        <w:rPr>
          <w:rFonts w:eastAsia="仿宋_GB2312"/>
          <w:sz w:val="30"/>
          <w:szCs w:val="30"/>
        </w:rPr>
        <w:t>第   号</w:t>
      </w:r>
    </w:p>
    <w:p>
      <w:pPr>
        <w:spacing w:line="560" w:lineRule="exact"/>
        <w:ind w:right="600" w:firstLine="3000" w:firstLineChars="1000"/>
        <w:rPr>
          <w:rFonts w:eastAsia="仿宋_GB2312"/>
          <w:sz w:val="30"/>
          <w:szCs w:val="30"/>
        </w:rPr>
      </w:pPr>
    </w:p>
    <w:p>
      <w:pPr>
        <w:spacing w:line="560" w:lineRule="exact"/>
        <w:jc w:val="left"/>
        <w:rPr>
          <w:rFonts w:eastAsia="仿宋_GB2312"/>
          <w:sz w:val="30"/>
          <w:szCs w:val="30"/>
        </w:rPr>
      </w:pPr>
      <w:r>
        <w:rPr>
          <w:rFonts w:eastAsia="仿宋_GB2312"/>
          <w:sz w:val="30"/>
          <w:szCs w:val="30"/>
        </w:rPr>
        <w:t>各</w:t>
      </w:r>
      <w:r>
        <w:rPr>
          <w:rFonts w:hint="eastAsia" w:eastAsia="仿宋_GB2312"/>
          <w:sz w:val="30"/>
          <w:szCs w:val="30"/>
        </w:rPr>
        <w:t>市中心支局、各外汇业务银行</w:t>
      </w:r>
      <w:r>
        <w:rPr>
          <w:rFonts w:eastAsia="仿宋_GB2312"/>
          <w:sz w:val="30"/>
          <w:szCs w:val="30"/>
        </w:rPr>
        <w:t>：</w:t>
      </w:r>
    </w:p>
    <w:p>
      <w:pPr>
        <w:spacing w:line="560" w:lineRule="exact"/>
        <w:ind w:firstLine="600" w:firstLineChars="200"/>
        <w:jc w:val="left"/>
        <w:rPr>
          <w:rFonts w:eastAsia="仿宋_GB2312"/>
          <w:sz w:val="30"/>
          <w:szCs w:val="30"/>
        </w:rPr>
      </w:pPr>
      <w:r>
        <w:rPr>
          <w:rFonts w:eastAsia="仿宋_GB2312"/>
          <w:sz w:val="30"/>
          <w:szCs w:val="30"/>
        </w:rPr>
        <w:t>根据《国际收支统计申报办法》和《</w:t>
      </w:r>
      <w:r>
        <w:rPr>
          <w:rFonts w:hint="eastAsia" w:ascii="仿宋_GB2312" w:eastAsia="仿宋_GB2312"/>
          <w:sz w:val="30"/>
          <w:szCs w:val="30"/>
        </w:rPr>
        <w:t>通过银行进行国际收支统计申报业务实施细则</w:t>
      </w:r>
      <w:r>
        <w:rPr>
          <w:rFonts w:eastAsia="仿宋_GB2312"/>
          <w:sz w:val="30"/>
          <w:szCs w:val="30"/>
        </w:rPr>
        <w:t>》（汇发〔202</w:t>
      </w:r>
      <w:r>
        <w:rPr>
          <w:rFonts w:hint="eastAsia" w:eastAsia="仿宋_GB2312"/>
          <w:sz w:val="30"/>
          <w:szCs w:val="30"/>
        </w:rPr>
        <w:t>2</w:t>
      </w:r>
      <w:r>
        <w:rPr>
          <w:rFonts w:eastAsia="仿宋_GB2312"/>
          <w:sz w:val="30"/>
          <w:szCs w:val="30"/>
        </w:rPr>
        <w:t>〕</w:t>
      </w:r>
      <w:r>
        <w:rPr>
          <w:rFonts w:hint="eastAsia" w:eastAsia="仿宋_GB2312"/>
          <w:sz w:val="30"/>
          <w:szCs w:val="30"/>
        </w:rPr>
        <w:t>22</w:t>
      </w:r>
      <w:r>
        <w:rPr>
          <w:rFonts w:eastAsia="仿宋_GB2312"/>
          <w:sz w:val="30"/>
          <w:szCs w:val="30"/>
        </w:rPr>
        <w:t>号）等有关规定，下列机构申报主体（详细名单见附表）未按规定履行申报义务，情节严重，我分局决定自</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日至</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日，对其执行“不申报、不解付”特殊处理措施。</w:t>
      </w:r>
    </w:p>
    <w:p>
      <w:pPr>
        <w:spacing w:line="560" w:lineRule="exact"/>
        <w:ind w:firstLine="600" w:firstLineChars="200"/>
        <w:jc w:val="left"/>
        <w:rPr>
          <w:rFonts w:eastAsia="仿宋_GB2312"/>
          <w:sz w:val="30"/>
          <w:szCs w:val="30"/>
        </w:rPr>
      </w:pPr>
      <w:r>
        <w:rPr>
          <w:rFonts w:eastAsia="仿宋_GB2312"/>
          <w:sz w:val="30"/>
          <w:szCs w:val="30"/>
        </w:rPr>
        <w:t>特此通知。</w:t>
      </w:r>
    </w:p>
    <w:p>
      <w:pPr>
        <w:spacing w:line="560" w:lineRule="exact"/>
        <w:ind w:firstLine="600" w:firstLineChars="200"/>
        <w:jc w:val="left"/>
        <w:rPr>
          <w:rFonts w:eastAsia="仿宋_GB2312"/>
          <w:sz w:val="30"/>
          <w:szCs w:val="30"/>
        </w:rPr>
      </w:pPr>
    </w:p>
    <w:p>
      <w:pPr>
        <w:spacing w:line="560" w:lineRule="exact"/>
        <w:ind w:firstLine="600" w:firstLineChars="200"/>
        <w:jc w:val="left"/>
        <w:rPr>
          <w:rFonts w:eastAsia="仿宋_GB2312"/>
          <w:sz w:val="30"/>
          <w:szCs w:val="30"/>
        </w:rPr>
      </w:pPr>
      <w:r>
        <w:rPr>
          <w:rFonts w:eastAsia="仿宋_GB2312"/>
          <w:sz w:val="30"/>
          <w:szCs w:val="30"/>
        </w:rPr>
        <w:t>附表：</w:t>
      </w:r>
      <w:r>
        <w:rPr>
          <w:rFonts w:hint="eastAsia" w:eastAsia="仿宋_GB2312"/>
          <w:sz w:val="30"/>
          <w:szCs w:val="30"/>
        </w:rPr>
        <w:t>辽宁省分局</w:t>
      </w:r>
      <w:r>
        <w:rPr>
          <w:rFonts w:eastAsia="仿宋_GB2312"/>
          <w:sz w:val="30"/>
          <w:szCs w:val="30"/>
        </w:rPr>
        <w:t>执行“不申报、不解付”特殊处理措施机构申报主体名</w:t>
      </w:r>
      <w:r>
        <w:rPr>
          <w:rFonts w:hint="eastAsia" w:eastAsia="仿宋_GB2312"/>
          <w:sz w:val="30"/>
          <w:szCs w:val="30"/>
        </w:rPr>
        <w:t>单</w:t>
      </w:r>
      <w:r>
        <w:rPr>
          <w:rFonts w:eastAsia="仿宋_GB2312"/>
          <w:sz w:val="30"/>
          <w:szCs w:val="30"/>
        </w:rPr>
        <w:t xml:space="preserve">  </w:t>
      </w:r>
    </w:p>
    <w:p>
      <w:pPr>
        <w:spacing w:line="560" w:lineRule="exact"/>
        <w:ind w:firstLine="600" w:firstLineChars="200"/>
        <w:jc w:val="right"/>
        <w:rPr>
          <w:rFonts w:eastAsia="仿宋_GB2312"/>
          <w:sz w:val="30"/>
          <w:szCs w:val="30"/>
        </w:rPr>
      </w:pPr>
    </w:p>
    <w:p>
      <w:pPr>
        <w:spacing w:line="560" w:lineRule="exact"/>
        <w:ind w:firstLine="600" w:firstLineChars="200"/>
        <w:jc w:val="right"/>
        <w:rPr>
          <w:rFonts w:eastAsia="仿宋_GB2312"/>
          <w:sz w:val="30"/>
          <w:szCs w:val="30"/>
        </w:rPr>
      </w:pPr>
      <w:r>
        <w:rPr>
          <w:rFonts w:eastAsia="仿宋_GB2312"/>
          <w:sz w:val="30"/>
          <w:szCs w:val="30"/>
        </w:rPr>
        <w:t>国家外汇管理局</w:t>
      </w:r>
      <w:r>
        <w:rPr>
          <w:rFonts w:hint="eastAsia" w:eastAsia="仿宋_GB2312"/>
          <w:sz w:val="30"/>
          <w:szCs w:val="30"/>
        </w:rPr>
        <w:t>辽宁</w:t>
      </w:r>
      <w:r>
        <w:rPr>
          <w:rFonts w:eastAsia="仿宋_GB2312"/>
          <w:sz w:val="30"/>
          <w:szCs w:val="30"/>
        </w:rPr>
        <w:t>省分局</w:t>
      </w:r>
    </w:p>
    <w:p>
      <w:pPr>
        <w:wordWrap w:val="0"/>
        <w:spacing w:line="560" w:lineRule="exact"/>
        <w:ind w:firstLine="600" w:firstLineChars="200"/>
        <w:jc w:val="right"/>
        <w:rPr>
          <w:rFonts w:eastAsia="仿宋_GB2312"/>
          <w:sz w:val="30"/>
          <w:szCs w:val="30"/>
        </w:rPr>
      </w:pPr>
      <w:r>
        <w:rPr>
          <w:rFonts w:eastAsia="仿宋_GB2312"/>
          <w:sz w:val="30"/>
          <w:szCs w:val="30"/>
        </w:rPr>
        <w:t xml:space="preserve">年  月  日      </w:t>
      </w:r>
    </w:p>
    <w:p>
      <w:pPr>
        <w:spacing w:line="560" w:lineRule="exact"/>
        <w:ind w:firstLine="600" w:firstLineChars="200"/>
        <w:jc w:val="left"/>
        <w:rPr>
          <w:rFonts w:eastAsia="仿宋_GB2312"/>
          <w:sz w:val="30"/>
          <w:szCs w:val="30"/>
        </w:rPr>
      </w:pPr>
    </w:p>
    <w:p>
      <w:pPr>
        <w:spacing w:line="560" w:lineRule="exact"/>
        <w:ind w:firstLine="600" w:firstLineChars="200"/>
        <w:jc w:val="left"/>
        <w:rPr>
          <w:rFonts w:eastAsia="仿宋_GB2312"/>
          <w:sz w:val="30"/>
          <w:szCs w:val="30"/>
        </w:rPr>
      </w:pPr>
    </w:p>
    <w:p>
      <w:pPr>
        <w:spacing w:line="560" w:lineRule="exact"/>
        <w:jc w:val="left"/>
        <w:rPr>
          <w:rFonts w:eastAsia="黑体"/>
          <w:sz w:val="32"/>
          <w:szCs w:val="32"/>
        </w:rPr>
      </w:pPr>
      <w:r>
        <w:rPr>
          <w:rFonts w:eastAsia="仿宋_GB2312"/>
          <w:sz w:val="30"/>
          <w:szCs w:val="30"/>
        </w:rPr>
        <w:br w:type="page"/>
      </w:r>
      <w:r>
        <w:rPr>
          <w:rFonts w:eastAsia="黑体"/>
          <w:sz w:val="32"/>
          <w:szCs w:val="32"/>
        </w:rPr>
        <w:t>附表</w:t>
      </w:r>
    </w:p>
    <w:p>
      <w:pPr>
        <w:spacing w:line="560" w:lineRule="exact"/>
        <w:jc w:val="left"/>
        <w:rPr>
          <w:rFonts w:eastAsia="黑体"/>
          <w:sz w:val="32"/>
          <w:szCs w:val="32"/>
        </w:rPr>
      </w:pPr>
    </w:p>
    <w:p>
      <w:pPr>
        <w:spacing w:line="560" w:lineRule="exact"/>
        <w:jc w:val="center"/>
        <w:rPr>
          <w:rFonts w:ascii="黑体" w:eastAsia="黑体"/>
          <w:color w:val="000000"/>
          <w:sz w:val="36"/>
          <w:szCs w:val="36"/>
        </w:rPr>
      </w:pPr>
      <w:r>
        <w:rPr>
          <w:rFonts w:hint="eastAsia" w:ascii="黑体" w:eastAsia="黑体"/>
          <w:color w:val="000000"/>
          <w:sz w:val="36"/>
          <w:szCs w:val="36"/>
        </w:rPr>
        <w:t>辽宁省分局执行“不申报、不解付”特殊处理措施机构申报主体名单</w:t>
      </w:r>
    </w:p>
    <w:p>
      <w:pPr>
        <w:spacing w:line="560" w:lineRule="exact"/>
        <w:rPr>
          <w:rFonts w:eastAsia="华文中宋"/>
          <w:sz w:val="40"/>
          <w:szCs w:val="40"/>
        </w:rPr>
      </w:pPr>
    </w:p>
    <w:tbl>
      <w:tblPr>
        <w:tblStyle w:val="12"/>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210"/>
        <w:gridCol w:w="2551"/>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spacing w:line="560" w:lineRule="exact"/>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210" w:type="dxa"/>
            <w:vAlign w:val="center"/>
          </w:tcPr>
          <w:p>
            <w:pPr>
              <w:spacing w:line="560" w:lineRule="exact"/>
              <w:jc w:val="center"/>
              <w:rPr>
                <w:rFonts w:ascii="仿宋_GB2312" w:hAnsi="Times New Roman" w:eastAsia="仿宋_GB2312"/>
                <w:b/>
                <w:sz w:val="24"/>
                <w:szCs w:val="24"/>
              </w:rPr>
            </w:pPr>
            <w:r>
              <w:rPr>
                <w:rFonts w:hint="eastAsia" w:ascii="仿宋_GB2312" w:hAnsi="Times New Roman" w:eastAsia="仿宋_GB2312"/>
                <w:b/>
                <w:sz w:val="24"/>
                <w:szCs w:val="24"/>
              </w:rPr>
              <w:t>统一社会信用代码</w:t>
            </w:r>
          </w:p>
        </w:tc>
        <w:tc>
          <w:tcPr>
            <w:tcW w:w="2551" w:type="dxa"/>
            <w:vAlign w:val="center"/>
          </w:tcPr>
          <w:p>
            <w:pPr>
              <w:spacing w:line="560" w:lineRule="exact"/>
              <w:jc w:val="center"/>
              <w:rPr>
                <w:rFonts w:ascii="仿宋_GB2312" w:hAnsi="Times New Roman" w:eastAsia="仿宋_GB2312"/>
                <w:b/>
                <w:sz w:val="24"/>
                <w:szCs w:val="24"/>
              </w:rPr>
            </w:pPr>
            <w:r>
              <w:rPr>
                <w:rFonts w:hint="eastAsia" w:ascii="仿宋_GB2312" w:hAnsi="Times New Roman" w:eastAsia="仿宋_GB2312"/>
                <w:b/>
                <w:sz w:val="24"/>
                <w:szCs w:val="24"/>
              </w:rPr>
              <w:t>机构名称</w:t>
            </w:r>
          </w:p>
        </w:tc>
        <w:tc>
          <w:tcPr>
            <w:tcW w:w="3078" w:type="dxa"/>
            <w:vAlign w:val="center"/>
          </w:tcPr>
          <w:p>
            <w:pPr>
              <w:spacing w:line="560" w:lineRule="exact"/>
              <w:jc w:val="center"/>
              <w:rPr>
                <w:rFonts w:ascii="仿宋_GB2312" w:hAnsi="Times New Roman" w:eastAsia="仿宋_GB2312"/>
                <w:b/>
                <w:sz w:val="24"/>
                <w:szCs w:val="24"/>
              </w:rPr>
            </w:pPr>
            <w:r>
              <w:rPr>
                <w:rFonts w:hint="eastAsia" w:ascii="仿宋_GB2312" w:hAnsi="Times New Roman" w:eastAsia="仿宋_GB2312"/>
                <w:b/>
                <w:sz w:val="24"/>
                <w:szCs w:val="24"/>
              </w:rPr>
              <w:t>逾期未申报的申报单号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spacing w:line="560" w:lineRule="exact"/>
              <w:jc w:val="center"/>
              <w:rPr>
                <w:rFonts w:ascii="Times New Roman" w:hAnsi="Times New Roman"/>
                <w:sz w:val="28"/>
                <w:szCs w:val="28"/>
              </w:rPr>
            </w:pPr>
            <w:r>
              <w:rPr>
                <w:rFonts w:ascii="Times New Roman" w:hAnsi="Times New Roman"/>
                <w:sz w:val="28"/>
                <w:szCs w:val="28"/>
              </w:rPr>
              <w:t>1</w:t>
            </w:r>
          </w:p>
        </w:tc>
        <w:tc>
          <w:tcPr>
            <w:tcW w:w="2210" w:type="dxa"/>
            <w:vAlign w:val="center"/>
          </w:tcPr>
          <w:p>
            <w:pPr>
              <w:spacing w:line="560" w:lineRule="exact"/>
              <w:jc w:val="center"/>
              <w:rPr>
                <w:rFonts w:ascii="Times New Roman" w:hAnsi="Times New Roman"/>
                <w:sz w:val="28"/>
                <w:szCs w:val="28"/>
              </w:rPr>
            </w:pPr>
          </w:p>
        </w:tc>
        <w:tc>
          <w:tcPr>
            <w:tcW w:w="2551" w:type="dxa"/>
            <w:vAlign w:val="center"/>
          </w:tcPr>
          <w:p>
            <w:pPr>
              <w:spacing w:line="560" w:lineRule="exact"/>
              <w:jc w:val="center"/>
              <w:rPr>
                <w:rFonts w:ascii="Times New Roman" w:hAnsi="Times New Roman"/>
                <w:sz w:val="28"/>
                <w:szCs w:val="28"/>
              </w:rPr>
            </w:pPr>
          </w:p>
        </w:tc>
        <w:tc>
          <w:tcPr>
            <w:tcW w:w="3078" w:type="dxa"/>
            <w:vAlign w:val="center"/>
          </w:tcPr>
          <w:p>
            <w:pPr>
              <w:spacing w:line="56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spacing w:line="560" w:lineRule="exact"/>
              <w:jc w:val="center"/>
              <w:rPr>
                <w:rFonts w:ascii="Times New Roman" w:hAnsi="Times New Roman"/>
                <w:sz w:val="28"/>
                <w:szCs w:val="28"/>
              </w:rPr>
            </w:pPr>
            <w:r>
              <w:rPr>
                <w:rFonts w:ascii="Times New Roman" w:hAnsi="Times New Roman"/>
                <w:sz w:val="28"/>
                <w:szCs w:val="28"/>
              </w:rPr>
              <w:t>2</w:t>
            </w:r>
          </w:p>
        </w:tc>
        <w:tc>
          <w:tcPr>
            <w:tcW w:w="2210" w:type="dxa"/>
            <w:vAlign w:val="center"/>
          </w:tcPr>
          <w:p>
            <w:pPr>
              <w:spacing w:line="560" w:lineRule="exact"/>
              <w:jc w:val="center"/>
              <w:rPr>
                <w:rFonts w:ascii="Times New Roman" w:hAnsi="Times New Roman"/>
                <w:sz w:val="28"/>
                <w:szCs w:val="28"/>
              </w:rPr>
            </w:pPr>
          </w:p>
        </w:tc>
        <w:tc>
          <w:tcPr>
            <w:tcW w:w="2551" w:type="dxa"/>
            <w:vAlign w:val="center"/>
          </w:tcPr>
          <w:p>
            <w:pPr>
              <w:spacing w:line="560" w:lineRule="exact"/>
              <w:jc w:val="center"/>
              <w:rPr>
                <w:rFonts w:ascii="Times New Roman" w:hAnsi="Times New Roman"/>
                <w:sz w:val="28"/>
                <w:szCs w:val="28"/>
              </w:rPr>
            </w:pPr>
          </w:p>
        </w:tc>
        <w:tc>
          <w:tcPr>
            <w:tcW w:w="3078" w:type="dxa"/>
            <w:vAlign w:val="center"/>
          </w:tcPr>
          <w:p>
            <w:pPr>
              <w:spacing w:line="56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spacing w:line="560" w:lineRule="exact"/>
              <w:jc w:val="center"/>
              <w:rPr>
                <w:rFonts w:ascii="Times New Roman" w:hAnsi="Times New Roman"/>
                <w:sz w:val="28"/>
                <w:szCs w:val="28"/>
              </w:rPr>
            </w:pPr>
            <w:r>
              <w:rPr>
                <w:rFonts w:ascii="Times New Roman" w:hAnsi="Times New Roman"/>
                <w:sz w:val="28"/>
                <w:szCs w:val="28"/>
              </w:rPr>
              <w:t>3</w:t>
            </w:r>
          </w:p>
        </w:tc>
        <w:tc>
          <w:tcPr>
            <w:tcW w:w="2210" w:type="dxa"/>
            <w:vAlign w:val="center"/>
          </w:tcPr>
          <w:p>
            <w:pPr>
              <w:spacing w:line="560" w:lineRule="exact"/>
              <w:jc w:val="center"/>
              <w:rPr>
                <w:rFonts w:ascii="Times New Roman" w:hAnsi="Times New Roman"/>
                <w:sz w:val="28"/>
                <w:szCs w:val="28"/>
              </w:rPr>
            </w:pPr>
          </w:p>
        </w:tc>
        <w:tc>
          <w:tcPr>
            <w:tcW w:w="2551" w:type="dxa"/>
            <w:vAlign w:val="center"/>
          </w:tcPr>
          <w:p>
            <w:pPr>
              <w:spacing w:line="560" w:lineRule="exact"/>
              <w:jc w:val="center"/>
              <w:rPr>
                <w:rFonts w:ascii="Times New Roman" w:hAnsi="Times New Roman"/>
                <w:sz w:val="28"/>
                <w:szCs w:val="28"/>
              </w:rPr>
            </w:pPr>
          </w:p>
        </w:tc>
        <w:tc>
          <w:tcPr>
            <w:tcW w:w="3078" w:type="dxa"/>
            <w:vAlign w:val="center"/>
          </w:tcPr>
          <w:p>
            <w:pPr>
              <w:spacing w:line="56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spacing w:line="560" w:lineRule="exact"/>
              <w:jc w:val="center"/>
              <w:rPr>
                <w:rFonts w:ascii="Times New Roman" w:hAnsi="Times New Roman"/>
                <w:sz w:val="28"/>
                <w:szCs w:val="28"/>
              </w:rPr>
            </w:pPr>
            <w:r>
              <w:rPr>
                <w:rFonts w:ascii="Times New Roman" w:hAnsi="Times New Roman"/>
                <w:sz w:val="28"/>
                <w:szCs w:val="28"/>
              </w:rPr>
              <w:t>……</w:t>
            </w:r>
          </w:p>
        </w:tc>
        <w:tc>
          <w:tcPr>
            <w:tcW w:w="2210" w:type="dxa"/>
            <w:vAlign w:val="center"/>
          </w:tcPr>
          <w:p>
            <w:pPr>
              <w:spacing w:line="560" w:lineRule="exact"/>
              <w:jc w:val="center"/>
              <w:rPr>
                <w:rFonts w:ascii="Times New Roman" w:hAnsi="Times New Roman"/>
                <w:sz w:val="28"/>
                <w:szCs w:val="28"/>
              </w:rPr>
            </w:pPr>
          </w:p>
        </w:tc>
        <w:tc>
          <w:tcPr>
            <w:tcW w:w="2551" w:type="dxa"/>
            <w:vAlign w:val="center"/>
          </w:tcPr>
          <w:p>
            <w:pPr>
              <w:spacing w:line="560" w:lineRule="exact"/>
              <w:jc w:val="center"/>
              <w:rPr>
                <w:rFonts w:ascii="Times New Roman" w:hAnsi="Times New Roman"/>
                <w:sz w:val="28"/>
                <w:szCs w:val="28"/>
              </w:rPr>
            </w:pPr>
          </w:p>
        </w:tc>
        <w:tc>
          <w:tcPr>
            <w:tcW w:w="3078" w:type="dxa"/>
            <w:vAlign w:val="center"/>
          </w:tcPr>
          <w:p>
            <w:pPr>
              <w:spacing w:line="560" w:lineRule="exact"/>
              <w:jc w:val="center"/>
              <w:rPr>
                <w:rFonts w:ascii="Times New Roman" w:hAnsi="Times New Roman"/>
                <w:sz w:val="28"/>
                <w:szCs w:val="28"/>
              </w:rPr>
            </w:pPr>
          </w:p>
        </w:tc>
      </w:tr>
    </w:tbl>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黑体" w:eastAsia="黑体"/>
          <w:sz w:val="32"/>
          <w:szCs w:val="32"/>
        </w:rPr>
      </w:pPr>
      <w:r>
        <w:rPr>
          <w:rFonts w:hint="eastAsia" w:ascii="黑体" w:eastAsia="黑体"/>
          <w:sz w:val="32"/>
          <w:szCs w:val="32"/>
        </w:rPr>
        <w:t>附2：</w:t>
      </w:r>
    </w:p>
    <w:p>
      <w:pPr>
        <w:jc w:val="center"/>
        <w:rPr>
          <w:rFonts w:ascii="黑体" w:eastAsia="黑体"/>
          <w:sz w:val="36"/>
          <w:szCs w:val="36"/>
        </w:rPr>
      </w:pPr>
      <w:r>
        <w:rPr>
          <w:rFonts w:hint="eastAsia" w:ascii="黑体" w:eastAsia="黑体"/>
          <w:sz w:val="36"/>
          <w:szCs w:val="36"/>
        </w:rPr>
        <w:t>涉外收入逾期未申报补报确认书</w:t>
      </w:r>
      <w:r>
        <w:rPr>
          <w:rStyle w:val="11"/>
          <w:rFonts w:ascii="黑体" w:eastAsia="黑体"/>
          <w:sz w:val="36"/>
          <w:szCs w:val="36"/>
        </w:rPr>
        <w:footnoteReference w:id="0"/>
      </w:r>
    </w:p>
    <w:p>
      <w:pPr>
        <w:jc w:val="center"/>
        <w:rPr>
          <w:rFonts w:ascii="黑体" w:eastAsia="黑体"/>
          <w:sz w:val="36"/>
          <w:szCs w:val="36"/>
        </w:rPr>
      </w:pPr>
    </w:p>
    <w:p>
      <w:pPr>
        <w:rPr>
          <w:rFonts w:ascii="仿宋_GB2312" w:eastAsia="仿宋_GB2312"/>
          <w:sz w:val="32"/>
          <w:szCs w:val="32"/>
        </w:rPr>
      </w:pPr>
      <w:r>
        <w:rPr>
          <w:rFonts w:hint="eastAsia" w:ascii="仿宋_GB2312" w:eastAsia="仿宋_GB2312"/>
          <w:sz w:val="32"/>
          <w:szCs w:val="32"/>
        </w:rPr>
        <w:t>　　　　　　　　　　 年  第   号</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兹确认</w:t>
      </w:r>
      <w:r>
        <w:rPr>
          <w:rFonts w:hint="eastAsia" w:ascii="仿宋_GB2312" w:eastAsia="仿宋_GB2312"/>
          <w:sz w:val="32"/>
          <w:szCs w:val="32"/>
          <w:u w:val="single"/>
        </w:rPr>
        <w:t xml:space="preserve">   （机构名称）  </w:t>
      </w:r>
      <w:r>
        <w:rPr>
          <w:rFonts w:hint="eastAsia" w:ascii="仿宋_GB2312" w:eastAsia="仿宋_GB2312"/>
          <w:sz w:val="32"/>
          <w:szCs w:val="32"/>
        </w:rPr>
        <w:t>（统一社会信用代码为</w:t>
      </w:r>
      <w:r>
        <w:rPr>
          <w:rFonts w:hint="eastAsia" w:ascii="仿宋_GB2312" w:eastAsia="仿宋_GB2312"/>
          <w:sz w:val="32"/>
          <w:szCs w:val="32"/>
          <w:u w:val="single"/>
        </w:rPr>
        <w:t xml:space="preserve">        </w:t>
      </w:r>
      <w:r>
        <w:rPr>
          <w:rFonts w:hint="eastAsia" w:ascii="仿宋_GB2312" w:eastAsia="仿宋_GB2312"/>
          <w:sz w:val="32"/>
          <w:szCs w:val="32"/>
        </w:rPr>
        <w:t>）已完成特殊处理措施期限（</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日）内的逾期未申报数据补报工作，补报数据符合申报要求。</w:t>
      </w:r>
    </w:p>
    <w:p>
      <w:pPr>
        <w:ind w:firstLine="640" w:firstLineChars="200"/>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 xml:space="preserve">                     国家外汇管理局辽宁省分局</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560" w:lineRule="exact"/>
        <w:rPr>
          <w:rFonts w:ascii="黑体" w:hAnsi="宋体" w:eastAsia="黑体"/>
          <w:sz w:val="32"/>
          <w:szCs w:val="32"/>
        </w:rPr>
      </w:pPr>
    </w:p>
    <w:p>
      <w:pPr>
        <w:spacing w:line="560" w:lineRule="exact"/>
        <w:rPr>
          <w:rFonts w:ascii="黑体" w:hAnsi="宋体" w:eastAsia="黑体"/>
          <w:sz w:val="32"/>
          <w:szCs w:val="32"/>
        </w:rPr>
      </w:pPr>
    </w:p>
    <w:p>
      <w:pPr>
        <w:spacing w:line="560" w:lineRule="exact"/>
        <w:rPr>
          <w:rFonts w:ascii="黑体" w:hAnsi="宋体" w:eastAsia="黑体"/>
          <w:sz w:val="32"/>
          <w:szCs w:val="32"/>
        </w:rPr>
      </w:pPr>
      <w:r>
        <w:rPr>
          <w:rFonts w:hint="eastAsia" w:ascii="黑体" w:hAnsi="宋体" w:eastAsia="黑体"/>
          <w:sz w:val="32"/>
          <w:szCs w:val="32"/>
        </w:rPr>
        <w:t>附3</w:t>
      </w:r>
    </w:p>
    <w:p>
      <w:pPr>
        <w:spacing w:line="560" w:lineRule="exact"/>
        <w:jc w:val="center"/>
        <w:rPr>
          <w:rFonts w:ascii="仿宋_GB2312" w:hAnsi="仿宋" w:eastAsia="仿宋_GB2312" w:cs="仿宋_GB2312"/>
          <w:sz w:val="32"/>
          <w:szCs w:val="32"/>
        </w:rPr>
      </w:pPr>
    </w:p>
    <w:p>
      <w:pPr>
        <w:spacing w:line="560" w:lineRule="exact"/>
        <w:jc w:val="center"/>
        <w:rPr>
          <w:rFonts w:ascii="黑体" w:hAnsi="华文中宋" w:eastAsia="黑体"/>
          <w:sz w:val="36"/>
          <w:szCs w:val="36"/>
        </w:rPr>
      </w:pPr>
      <w:r>
        <w:rPr>
          <w:rFonts w:hint="eastAsia" w:ascii="黑体" w:hAnsi="华文中宋" w:eastAsia="黑体"/>
          <w:sz w:val="36"/>
          <w:szCs w:val="36"/>
        </w:rPr>
        <w:t>辽宁省分局关于解除“不申报、不解付”特殊处理措施机构名单的通知</w:t>
      </w:r>
    </w:p>
    <w:p>
      <w:pPr>
        <w:spacing w:line="560" w:lineRule="exact"/>
        <w:jc w:val="center"/>
        <w:rPr>
          <w:rFonts w:ascii="仿宋_GB2312" w:hAnsi="仿宋" w:eastAsia="仿宋_GB2312" w:cs="仿宋_GB2312"/>
          <w:sz w:val="32"/>
          <w:szCs w:val="32"/>
        </w:rPr>
      </w:pPr>
    </w:p>
    <w:p>
      <w:pPr>
        <w:spacing w:line="56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年  第  号</w:t>
      </w:r>
    </w:p>
    <w:p>
      <w:pPr>
        <w:spacing w:line="560" w:lineRule="exact"/>
        <w:jc w:val="left"/>
        <w:rPr>
          <w:rFonts w:eastAsia="仿宋_GB2312"/>
          <w:sz w:val="30"/>
          <w:szCs w:val="30"/>
        </w:rPr>
      </w:pPr>
    </w:p>
    <w:p>
      <w:pPr>
        <w:spacing w:line="560" w:lineRule="exact"/>
        <w:jc w:val="left"/>
        <w:rPr>
          <w:rFonts w:eastAsia="仿宋_GB2312"/>
          <w:sz w:val="30"/>
          <w:szCs w:val="30"/>
        </w:rPr>
      </w:pPr>
      <w:r>
        <w:rPr>
          <w:rFonts w:eastAsia="仿宋_GB2312"/>
          <w:sz w:val="30"/>
          <w:szCs w:val="30"/>
        </w:rPr>
        <w:t>各</w:t>
      </w:r>
      <w:r>
        <w:rPr>
          <w:rFonts w:hint="eastAsia" w:eastAsia="仿宋_GB2312"/>
          <w:sz w:val="30"/>
          <w:szCs w:val="30"/>
        </w:rPr>
        <w:t>市中心支局、各</w:t>
      </w:r>
      <w:r>
        <w:rPr>
          <w:rFonts w:eastAsia="仿宋_GB2312"/>
          <w:sz w:val="30"/>
          <w:szCs w:val="30"/>
        </w:rPr>
        <w:t>外汇</w:t>
      </w:r>
      <w:r>
        <w:rPr>
          <w:rFonts w:hint="eastAsia" w:eastAsia="仿宋_GB2312"/>
          <w:sz w:val="30"/>
          <w:szCs w:val="30"/>
        </w:rPr>
        <w:t>业务</w:t>
      </w:r>
      <w:r>
        <w:rPr>
          <w:rFonts w:eastAsia="仿宋_GB2312"/>
          <w:sz w:val="30"/>
          <w:szCs w:val="30"/>
        </w:rPr>
        <w:t>银行：</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经确认，《国家外汇管理局辽宁省分局关于执行“不申报、不解付”特殊处理措施机构名单的通知》（   年第  号）中下列机构执行特殊处理措施的期限已满，且已确认完成涉外收入款项补报工作，自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r>
        <w:rPr>
          <w:rFonts w:hint="eastAsia" w:ascii="仿宋_GB2312" w:hAnsi="仿宋" w:eastAsia="仿宋_GB2312" w:cs="仿宋_GB2312"/>
          <w:sz w:val="32"/>
          <w:szCs w:val="32"/>
        </w:rPr>
        <w:t>起解除对其执行的特殊处理措施。</w:t>
      </w:r>
    </w:p>
    <w:p>
      <w:pPr>
        <w:spacing w:line="560" w:lineRule="exact"/>
        <w:ind w:firstLine="640" w:firstLineChars="200"/>
        <w:rPr>
          <w:rFonts w:ascii="仿宋_GB2312" w:hAnsi="仿宋" w:eastAsia="仿宋_GB2312" w:cs="仿宋_GB2312"/>
          <w:sz w:val="32"/>
          <w:szCs w:val="32"/>
        </w:rPr>
      </w:pPr>
    </w:p>
    <w:tbl>
      <w:tblPr>
        <w:tblStyle w:val="12"/>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977"/>
        <w:gridCol w:w="3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spacing w:line="560" w:lineRule="exact"/>
              <w:jc w:val="center"/>
              <w:rPr>
                <w:rFonts w:ascii="仿宋_GB2312" w:hAnsi="仿宋" w:eastAsia="仿宋_GB2312" w:cs="仿宋_GB2312"/>
                <w:b/>
                <w:sz w:val="24"/>
                <w:szCs w:val="24"/>
              </w:rPr>
            </w:pPr>
            <w:r>
              <w:rPr>
                <w:rFonts w:hint="eastAsia" w:ascii="仿宋_GB2312" w:hAnsi="Times New Roman" w:eastAsia="仿宋_GB2312" w:cs="仿宋_GB2312"/>
                <w:b/>
                <w:sz w:val="24"/>
                <w:szCs w:val="24"/>
              </w:rPr>
              <w:t>序号</w:t>
            </w:r>
          </w:p>
        </w:tc>
        <w:tc>
          <w:tcPr>
            <w:tcW w:w="2977" w:type="dxa"/>
            <w:vAlign w:val="top"/>
          </w:tcPr>
          <w:p>
            <w:pPr>
              <w:spacing w:line="560" w:lineRule="exact"/>
              <w:jc w:val="center"/>
              <w:rPr>
                <w:rFonts w:ascii="仿宋_GB2312" w:hAnsi="Times New Roman" w:eastAsia="仿宋_GB2312" w:cs="仿宋_GB2312"/>
                <w:b/>
                <w:sz w:val="24"/>
                <w:szCs w:val="24"/>
              </w:rPr>
            </w:pPr>
            <w:r>
              <w:rPr>
                <w:rFonts w:hint="eastAsia" w:ascii="仿宋_GB2312" w:hAnsi="Times New Roman" w:eastAsia="仿宋_GB2312" w:cs="仿宋_GB2312"/>
                <w:b/>
                <w:sz w:val="24"/>
                <w:szCs w:val="24"/>
              </w:rPr>
              <w:t>统一社会信用代码</w:t>
            </w:r>
          </w:p>
        </w:tc>
        <w:tc>
          <w:tcPr>
            <w:tcW w:w="3594" w:type="dxa"/>
            <w:vAlign w:val="top"/>
          </w:tcPr>
          <w:p>
            <w:pPr>
              <w:spacing w:line="560" w:lineRule="exact"/>
              <w:jc w:val="center"/>
              <w:rPr>
                <w:rFonts w:ascii="仿宋_GB2312" w:eastAsia="仿宋_GB2312" w:cs="仿宋_GB2312"/>
                <w:b/>
                <w:sz w:val="24"/>
                <w:szCs w:val="24"/>
              </w:rPr>
            </w:pPr>
            <w:r>
              <w:rPr>
                <w:rFonts w:hint="eastAsia" w:ascii="仿宋_GB2312" w:hAnsi="Times New Roman" w:eastAsia="仿宋_GB2312" w:cs="仿宋_GB2312"/>
                <w:b/>
                <w:sz w:val="24"/>
                <w:szCs w:val="24"/>
              </w:rPr>
              <w:t>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spacing w:line="560" w:lineRule="exact"/>
              <w:jc w:val="center"/>
              <w:rPr>
                <w:rFonts w:ascii="仿宋_GB2312" w:hAnsi="Times New Roman" w:eastAsia="仿宋_GB2312" w:cs="仿宋_GB2312"/>
                <w:b/>
                <w:sz w:val="28"/>
                <w:szCs w:val="28"/>
              </w:rPr>
            </w:pPr>
            <w:r>
              <w:rPr>
                <w:rFonts w:hint="eastAsia" w:ascii="仿宋_GB2312" w:hAnsi="Times New Roman" w:eastAsia="仿宋_GB2312" w:cs="仿宋_GB2312"/>
                <w:b/>
                <w:sz w:val="28"/>
                <w:szCs w:val="28"/>
              </w:rPr>
              <w:t>1</w:t>
            </w:r>
          </w:p>
        </w:tc>
        <w:tc>
          <w:tcPr>
            <w:tcW w:w="2977" w:type="dxa"/>
            <w:vAlign w:val="top"/>
          </w:tcPr>
          <w:p>
            <w:pPr>
              <w:spacing w:line="560" w:lineRule="exact"/>
              <w:rPr>
                <w:rFonts w:ascii="仿宋_GB2312" w:hAnsi="Times New Roman" w:eastAsia="仿宋_GB2312" w:cs="仿宋_GB2312"/>
                <w:sz w:val="32"/>
                <w:szCs w:val="32"/>
              </w:rPr>
            </w:pPr>
          </w:p>
        </w:tc>
        <w:tc>
          <w:tcPr>
            <w:tcW w:w="3594" w:type="dxa"/>
            <w:vAlign w:val="top"/>
          </w:tcPr>
          <w:p>
            <w:pPr>
              <w:spacing w:line="560" w:lineRule="exact"/>
              <w:rPr>
                <w:rFonts w:ascii="仿宋_GB2312" w:hAnsi="Times New Roman"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spacing w:line="560" w:lineRule="exact"/>
              <w:jc w:val="center"/>
              <w:rPr>
                <w:rFonts w:ascii="仿宋_GB2312" w:hAnsi="Times New Roman" w:eastAsia="仿宋_GB2312" w:cs="仿宋_GB2312"/>
                <w:b/>
                <w:sz w:val="28"/>
                <w:szCs w:val="28"/>
              </w:rPr>
            </w:pPr>
            <w:r>
              <w:rPr>
                <w:rFonts w:hint="eastAsia" w:ascii="仿宋_GB2312" w:hAnsi="Times New Roman" w:eastAsia="仿宋_GB2312" w:cs="仿宋_GB2312"/>
                <w:b/>
                <w:sz w:val="28"/>
                <w:szCs w:val="28"/>
              </w:rPr>
              <w:t>2</w:t>
            </w:r>
          </w:p>
        </w:tc>
        <w:tc>
          <w:tcPr>
            <w:tcW w:w="2977" w:type="dxa"/>
            <w:vAlign w:val="top"/>
          </w:tcPr>
          <w:p>
            <w:pPr>
              <w:spacing w:line="560" w:lineRule="exact"/>
              <w:rPr>
                <w:rFonts w:ascii="仿宋_GB2312" w:hAnsi="Times New Roman" w:eastAsia="仿宋_GB2312" w:cs="仿宋_GB2312"/>
                <w:sz w:val="32"/>
                <w:szCs w:val="32"/>
              </w:rPr>
            </w:pPr>
          </w:p>
        </w:tc>
        <w:tc>
          <w:tcPr>
            <w:tcW w:w="3594" w:type="dxa"/>
            <w:vAlign w:val="top"/>
          </w:tcPr>
          <w:p>
            <w:pPr>
              <w:spacing w:line="560" w:lineRule="exact"/>
              <w:rPr>
                <w:rFonts w:ascii="仿宋_GB2312" w:hAnsi="Times New Roman"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spacing w:line="560" w:lineRule="exact"/>
              <w:jc w:val="center"/>
              <w:rPr>
                <w:rFonts w:ascii="仿宋_GB2312" w:hAnsi="Times New Roman" w:eastAsia="仿宋_GB2312" w:cs="仿宋_GB2312"/>
                <w:b/>
                <w:sz w:val="28"/>
                <w:szCs w:val="28"/>
              </w:rPr>
            </w:pPr>
            <w:r>
              <w:rPr>
                <w:rFonts w:hint="eastAsia" w:ascii="仿宋_GB2312" w:hAnsi="Times New Roman" w:eastAsia="仿宋_GB2312" w:cs="仿宋_GB2312"/>
                <w:b/>
                <w:sz w:val="28"/>
                <w:szCs w:val="28"/>
              </w:rPr>
              <w:t>3</w:t>
            </w:r>
          </w:p>
        </w:tc>
        <w:tc>
          <w:tcPr>
            <w:tcW w:w="2977" w:type="dxa"/>
            <w:vAlign w:val="top"/>
          </w:tcPr>
          <w:p>
            <w:pPr>
              <w:spacing w:line="560" w:lineRule="exact"/>
              <w:rPr>
                <w:rFonts w:ascii="仿宋_GB2312" w:hAnsi="Times New Roman" w:eastAsia="仿宋_GB2312" w:cs="仿宋_GB2312"/>
                <w:sz w:val="32"/>
                <w:szCs w:val="32"/>
              </w:rPr>
            </w:pPr>
          </w:p>
        </w:tc>
        <w:tc>
          <w:tcPr>
            <w:tcW w:w="3594" w:type="dxa"/>
            <w:vAlign w:val="top"/>
          </w:tcPr>
          <w:p>
            <w:pPr>
              <w:spacing w:line="560" w:lineRule="exact"/>
              <w:rPr>
                <w:rFonts w:ascii="仿宋_GB2312" w:hAnsi="Times New Roman"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spacing w:line="560" w:lineRule="exact"/>
              <w:jc w:val="center"/>
              <w:rPr>
                <w:rFonts w:ascii="仿宋_GB2312" w:hAnsi="Times New Roman" w:eastAsia="仿宋_GB2312" w:cs="仿宋_GB2312"/>
                <w:b/>
                <w:sz w:val="28"/>
                <w:szCs w:val="28"/>
              </w:rPr>
            </w:pPr>
            <w:r>
              <w:rPr>
                <w:rFonts w:hint="eastAsia" w:ascii="仿宋_GB2312" w:hAnsi="仿宋" w:eastAsia="仿宋_GB2312" w:cs="仿宋_GB2312"/>
                <w:b/>
                <w:sz w:val="28"/>
                <w:szCs w:val="28"/>
              </w:rPr>
              <w:t>……</w:t>
            </w:r>
          </w:p>
        </w:tc>
        <w:tc>
          <w:tcPr>
            <w:tcW w:w="2977" w:type="dxa"/>
            <w:vAlign w:val="top"/>
          </w:tcPr>
          <w:p>
            <w:pPr>
              <w:spacing w:line="560" w:lineRule="exact"/>
              <w:rPr>
                <w:rFonts w:ascii="仿宋_GB2312" w:hAnsi="Times New Roman" w:eastAsia="仿宋_GB2312" w:cs="仿宋_GB2312"/>
                <w:sz w:val="32"/>
                <w:szCs w:val="32"/>
              </w:rPr>
            </w:pPr>
          </w:p>
        </w:tc>
        <w:tc>
          <w:tcPr>
            <w:tcW w:w="3594" w:type="dxa"/>
            <w:vAlign w:val="top"/>
          </w:tcPr>
          <w:p>
            <w:pPr>
              <w:spacing w:line="560" w:lineRule="exact"/>
              <w:rPr>
                <w:rFonts w:ascii="仿宋_GB2312" w:hAnsi="Times New Roman" w:eastAsia="仿宋_GB2312" w:cs="仿宋_GB2312"/>
                <w:sz w:val="32"/>
                <w:szCs w:val="32"/>
              </w:rPr>
            </w:pPr>
          </w:p>
        </w:tc>
      </w:tr>
    </w:tbl>
    <w:p>
      <w:pPr>
        <w:spacing w:line="560" w:lineRule="exact"/>
        <w:rPr>
          <w:rFonts w:ascii="仿宋_GB2312" w:hAnsi="仿宋" w:eastAsia="仿宋_GB2312" w:cs="仿宋_GB2312"/>
          <w:sz w:val="32"/>
          <w:szCs w:val="32"/>
        </w:rPr>
      </w:pPr>
    </w:p>
    <w:p>
      <w:pPr>
        <w:spacing w:line="560" w:lineRule="exact"/>
        <w:rPr>
          <w:rFonts w:ascii="仿宋_GB2312" w:hAnsi="仿宋" w:eastAsia="仿宋_GB2312" w:cs="仿宋_GB2312"/>
          <w:sz w:val="32"/>
          <w:szCs w:val="32"/>
        </w:rPr>
      </w:pPr>
    </w:p>
    <w:p>
      <w:pPr>
        <w:spacing w:line="560" w:lineRule="exact"/>
        <w:ind w:firstLine="4160" w:firstLineChars="1300"/>
        <w:rPr>
          <w:rFonts w:ascii="仿宋_GB2312" w:hAnsi="仿宋" w:eastAsia="仿宋_GB2312" w:cs="仿宋_GB2312"/>
          <w:sz w:val="32"/>
          <w:szCs w:val="32"/>
        </w:rPr>
      </w:pPr>
      <w:r>
        <w:rPr>
          <w:rFonts w:hint="eastAsia" w:ascii="仿宋_GB2312" w:hAnsi="仿宋" w:eastAsia="仿宋_GB2312" w:cs="仿宋_GB2312"/>
          <w:sz w:val="32"/>
          <w:szCs w:val="32"/>
        </w:rPr>
        <w:t>国家外汇管理局辽宁省分局</w:t>
      </w:r>
    </w:p>
    <w:p>
      <w:pPr>
        <w:spacing w:line="560" w:lineRule="exact"/>
        <w:ind w:firstLine="435"/>
        <w:rPr>
          <w:rFonts w:ascii="仿宋_GB2312" w:hAnsi="仿宋" w:eastAsia="仿宋_GB2312" w:cs="仿宋_GB2312"/>
          <w:sz w:val="32"/>
          <w:szCs w:val="32"/>
        </w:rPr>
      </w:pPr>
      <w:r>
        <w:rPr>
          <w:rFonts w:hint="eastAsia" w:ascii="仿宋_GB2312" w:hAnsi="仿宋" w:eastAsia="仿宋_GB2312" w:cs="仿宋_GB2312"/>
          <w:sz w:val="32"/>
          <w:szCs w:val="32"/>
        </w:rPr>
        <w:t xml:space="preserve">                              年    月    日</w:t>
      </w:r>
    </w:p>
    <w:p>
      <w:pPr>
        <w:spacing w:line="560" w:lineRule="exact"/>
        <w:rPr>
          <w:rFonts w:ascii="仿宋_GB2312" w:hAnsi="仿宋"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8"/>
      </w:pPr>
      <w:r>
        <w:rPr>
          <w:rStyle w:val="11"/>
        </w:rPr>
        <w:footnoteRef/>
      </w:r>
      <w:r>
        <w:rPr>
          <w:rFonts w:hint="eastAsia"/>
        </w:rPr>
        <w:t>本确认书一式两份，辽宁省分局和机构申报主体各持一份。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358B6"/>
    <w:rsid w:val="0001677A"/>
    <w:rsid w:val="000358B6"/>
    <w:rsid w:val="00037E45"/>
    <w:rsid w:val="00056F3C"/>
    <w:rsid w:val="00086221"/>
    <w:rsid w:val="00091C9C"/>
    <w:rsid w:val="000A717A"/>
    <w:rsid w:val="000E0145"/>
    <w:rsid w:val="000F76BF"/>
    <w:rsid w:val="001013C4"/>
    <w:rsid w:val="0011467A"/>
    <w:rsid w:val="00120353"/>
    <w:rsid w:val="001313D9"/>
    <w:rsid w:val="00143245"/>
    <w:rsid w:val="00147DC0"/>
    <w:rsid w:val="00150EAF"/>
    <w:rsid w:val="001516BA"/>
    <w:rsid w:val="001621FA"/>
    <w:rsid w:val="001962D3"/>
    <w:rsid w:val="001B043C"/>
    <w:rsid w:val="001C070D"/>
    <w:rsid w:val="001D29B3"/>
    <w:rsid w:val="001E49B2"/>
    <w:rsid w:val="001F11D7"/>
    <w:rsid w:val="001F6395"/>
    <w:rsid w:val="00203C5F"/>
    <w:rsid w:val="00210C89"/>
    <w:rsid w:val="0025085D"/>
    <w:rsid w:val="00255678"/>
    <w:rsid w:val="00285ACE"/>
    <w:rsid w:val="002A4A9C"/>
    <w:rsid w:val="002A65AA"/>
    <w:rsid w:val="002D1CB8"/>
    <w:rsid w:val="002D59F6"/>
    <w:rsid w:val="002E6AC6"/>
    <w:rsid w:val="002E74FE"/>
    <w:rsid w:val="002F4B13"/>
    <w:rsid w:val="002F7E81"/>
    <w:rsid w:val="00301BE6"/>
    <w:rsid w:val="00333839"/>
    <w:rsid w:val="00364588"/>
    <w:rsid w:val="00372637"/>
    <w:rsid w:val="0039011E"/>
    <w:rsid w:val="003D2E5B"/>
    <w:rsid w:val="003E2183"/>
    <w:rsid w:val="00402EA3"/>
    <w:rsid w:val="00416FEA"/>
    <w:rsid w:val="004179E0"/>
    <w:rsid w:val="00430B4F"/>
    <w:rsid w:val="00436A19"/>
    <w:rsid w:val="00440215"/>
    <w:rsid w:val="004442DB"/>
    <w:rsid w:val="00446BF4"/>
    <w:rsid w:val="0045603A"/>
    <w:rsid w:val="00460DA8"/>
    <w:rsid w:val="004743BD"/>
    <w:rsid w:val="00483FF6"/>
    <w:rsid w:val="004B4E3F"/>
    <w:rsid w:val="004C3BEB"/>
    <w:rsid w:val="004C3FBD"/>
    <w:rsid w:val="004C5D2D"/>
    <w:rsid w:val="004D45F2"/>
    <w:rsid w:val="004D785E"/>
    <w:rsid w:val="004F77C9"/>
    <w:rsid w:val="00504C07"/>
    <w:rsid w:val="00515ECA"/>
    <w:rsid w:val="005244C8"/>
    <w:rsid w:val="00525739"/>
    <w:rsid w:val="00543CC9"/>
    <w:rsid w:val="00547EA6"/>
    <w:rsid w:val="005637BC"/>
    <w:rsid w:val="00572E2F"/>
    <w:rsid w:val="00573E04"/>
    <w:rsid w:val="005A5BDA"/>
    <w:rsid w:val="005B4F9C"/>
    <w:rsid w:val="005B5925"/>
    <w:rsid w:val="005E0AAD"/>
    <w:rsid w:val="005E0EC5"/>
    <w:rsid w:val="005E2DD5"/>
    <w:rsid w:val="006070E0"/>
    <w:rsid w:val="00611C74"/>
    <w:rsid w:val="00616F7A"/>
    <w:rsid w:val="006336E4"/>
    <w:rsid w:val="006425E7"/>
    <w:rsid w:val="00654B8E"/>
    <w:rsid w:val="00657D03"/>
    <w:rsid w:val="00665E78"/>
    <w:rsid w:val="00686408"/>
    <w:rsid w:val="00694206"/>
    <w:rsid w:val="006A012F"/>
    <w:rsid w:val="006A54DA"/>
    <w:rsid w:val="006D1389"/>
    <w:rsid w:val="006D33F1"/>
    <w:rsid w:val="006E7FEF"/>
    <w:rsid w:val="006F5F77"/>
    <w:rsid w:val="00731093"/>
    <w:rsid w:val="00731D50"/>
    <w:rsid w:val="00732B21"/>
    <w:rsid w:val="0078467D"/>
    <w:rsid w:val="007A67E7"/>
    <w:rsid w:val="007B2AC1"/>
    <w:rsid w:val="007B6790"/>
    <w:rsid w:val="007F4DCF"/>
    <w:rsid w:val="007F78A2"/>
    <w:rsid w:val="00814547"/>
    <w:rsid w:val="0083627A"/>
    <w:rsid w:val="00840A93"/>
    <w:rsid w:val="0084169E"/>
    <w:rsid w:val="00846A5A"/>
    <w:rsid w:val="00850405"/>
    <w:rsid w:val="008706FB"/>
    <w:rsid w:val="008836E4"/>
    <w:rsid w:val="008956FE"/>
    <w:rsid w:val="008A383A"/>
    <w:rsid w:val="008C10A5"/>
    <w:rsid w:val="008C3709"/>
    <w:rsid w:val="008D5D29"/>
    <w:rsid w:val="008E1087"/>
    <w:rsid w:val="008E17F7"/>
    <w:rsid w:val="008F6275"/>
    <w:rsid w:val="009360CF"/>
    <w:rsid w:val="00944C9B"/>
    <w:rsid w:val="00945782"/>
    <w:rsid w:val="00962895"/>
    <w:rsid w:val="00965CB8"/>
    <w:rsid w:val="00973F64"/>
    <w:rsid w:val="009750AF"/>
    <w:rsid w:val="00983C1C"/>
    <w:rsid w:val="009873FA"/>
    <w:rsid w:val="009959C9"/>
    <w:rsid w:val="00997E4E"/>
    <w:rsid w:val="009B421C"/>
    <w:rsid w:val="009B79DF"/>
    <w:rsid w:val="009C011C"/>
    <w:rsid w:val="009D0823"/>
    <w:rsid w:val="00A030A7"/>
    <w:rsid w:val="00A23EA6"/>
    <w:rsid w:val="00A42992"/>
    <w:rsid w:val="00A46C3F"/>
    <w:rsid w:val="00A5494F"/>
    <w:rsid w:val="00A630E4"/>
    <w:rsid w:val="00A7422B"/>
    <w:rsid w:val="00A83AAC"/>
    <w:rsid w:val="00A934DA"/>
    <w:rsid w:val="00AC7C8E"/>
    <w:rsid w:val="00AD21F6"/>
    <w:rsid w:val="00AD340B"/>
    <w:rsid w:val="00AD3AA0"/>
    <w:rsid w:val="00AE40BD"/>
    <w:rsid w:val="00AF331E"/>
    <w:rsid w:val="00B0000E"/>
    <w:rsid w:val="00B22A99"/>
    <w:rsid w:val="00B43318"/>
    <w:rsid w:val="00B4393E"/>
    <w:rsid w:val="00B47EF0"/>
    <w:rsid w:val="00B67942"/>
    <w:rsid w:val="00B7128B"/>
    <w:rsid w:val="00B717A2"/>
    <w:rsid w:val="00BA4F81"/>
    <w:rsid w:val="00BC53C1"/>
    <w:rsid w:val="00BE20A1"/>
    <w:rsid w:val="00BF25C8"/>
    <w:rsid w:val="00C006F6"/>
    <w:rsid w:val="00C0527B"/>
    <w:rsid w:val="00C10334"/>
    <w:rsid w:val="00C157E0"/>
    <w:rsid w:val="00C16A14"/>
    <w:rsid w:val="00C20CBD"/>
    <w:rsid w:val="00C22814"/>
    <w:rsid w:val="00C26354"/>
    <w:rsid w:val="00C47C0A"/>
    <w:rsid w:val="00C53468"/>
    <w:rsid w:val="00C614D1"/>
    <w:rsid w:val="00C6416D"/>
    <w:rsid w:val="00C7556F"/>
    <w:rsid w:val="00C87106"/>
    <w:rsid w:val="00CC0AA4"/>
    <w:rsid w:val="00CC1D77"/>
    <w:rsid w:val="00CE382A"/>
    <w:rsid w:val="00CF5EF2"/>
    <w:rsid w:val="00D028D5"/>
    <w:rsid w:val="00D1120F"/>
    <w:rsid w:val="00D267B5"/>
    <w:rsid w:val="00D30887"/>
    <w:rsid w:val="00D30EB8"/>
    <w:rsid w:val="00D33097"/>
    <w:rsid w:val="00D37904"/>
    <w:rsid w:val="00D40EBF"/>
    <w:rsid w:val="00D509FB"/>
    <w:rsid w:val="00D93F94"/>
    <w:rsid w:val="00DA217C"/>
    <w:rsid w:val="00DA27F5"/>
    <w:rsid w:val="00DB4A93"/>
    <w:rsid w:val="00DB6187"/>
    <w:rsid w:val="00DB7EA2"/>
    <w:rsid w:val="00DC3B23"/>
    <w:rsid w:val="00DC3C7B"/>
    <w:rsid w:val="00DD7E59"/>
    <w:rsid w:val="00DE1905"/>
    <w:rsid w:val="00E02960"/>
    <w:rsid w:val="00E13422"/>
    <w:rsid w:val="00E35B93"/>
    <w:rsid w:val="00E509EF"/>
    <w:rsid w:val="00E636B4"/>
    <w:rsid w:val="00E75712"/>
    <w:rsid w:val="00E81295"/>
    <w:rsid w:val="00E845E0"/>
    <w:rsid w:val="00E87298"/>
    <w:rsid w:val="00E90E55"/>
    <w:rsid w:val="00E93316"/>
    <w:rsid w:val="00E94610"/>
    <w:rsid w:val="00EA44B7"/>
    <w:rsid w:val="00EB25AD"/>
    <w:rsid w:val="00ED081E"/>
    <w:rsid w:val="00ED6319"/>
    <w:rsid w:val="00EE0F05"/>
    <w:rsid w:val="00EF6B41"/>
    <w:rsid w:val="00F1453A"/>
    <w:rsid w:val="00F2032A"/>
    <w:rsid w:val="00F519B8"/>
    <w:rsid w:val="00F57309"/>
    <w:rsid w:val="00F578DD"/>
    <w:rsid w:val="00F63577"/>
    <w:rsid w:val="00F736C6"/>
    <w:rsid w:val="00F833E8"/>
    <w:rsid w:val="00FA467E"/>
    <w:rsid w:val="00FA4FAA"/>
    <w:rsid w:val="00FB608F"/>
    <w:rsid w:val="00FB7A43"/>
    <w:rsid w:val="00FC6088"/>
    <w:rsid w:val="29EE7620"/>
    <w:rsid w:val="546F640D"/>
    <w:rsid w:val="6C42435B"/>
    <w:rsid w:val="77B74D9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semiHidden="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semiHidden="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tcPr>
      <w:textDirection w:val="lrTb"/>
    </w:tcPr>
  </w:style>
  <w:style w:type="paragraph" w:styleId="2">
    <w:name w:val="annotation subject"/>
    <w:basedOn w:val="3"/>
    <w:next w:val="3"/>
    <w:link w:val="21"/>
    <w:unhideWhenUsed/>
    <w:uiPriority w:val="99"/>
    <w:rPr>
      <w:b/>
      <w:bCs/>
    </w:rPr>
  </w:style>
  <w:style w:type="paragraph" w:styleId="3">
    <w:name w:val="annotation text"/>
    <w:basedOn w:val="1"/>
    <w:link w:val="20"/>
    <w:unhideWhenUsed/>
    <w:uiPriority w:val="99"/>
    <w:pPr>
      <w:jc w:val="left"/>
    </w:pPr>
  </w:style>
  <w:style w:type="paragraph" w:styleId="4">
    <w:name w:val="Body Text Indent"/>
    <w:basedOn w:val="1"/>
    <w:link w:val="18"/>
    <w:uiPriority w:val="0"/>
    <w:pPr>
      <w:ind w:firstLine="420" w:firstLineChars="200"/>
    </w:pPr>
    <w:rPr>
      <w:rFonts w:ascii="Times New Roman" w:hAnsi="Times New Roman"/>
      <w:szCs w:val="24"/>
    </w:rPr>
  </w:style>
  <w:style w:type="paragraph" w:styleId="5">
    <w:name w:val="Balloon Text"/>
    <w:basedOn w:val="1"/>
    <w:link w:val="17"/>
    <w:unhideWhenUsed/>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9"/>
    <w:unhideWhenUsed/>
    <w:uiPriority w:val="99"/>
    <w:pPr>
      <w:snapToGrid w:val="0"/>
      <w:jc w:val="left"/>
    </w:pPr>
    <w:rPr>
      <w:sz w:val="18"/>
      <w:szCs w:val="18"/>
    </w:rPr>
  </w:style>
  <w:style w:type="character" w:styleId="10">
    <w:name w:val="annotation reference"/>
    <w:basedOn w:val="9"/>
    <w:unhideWhenUsed/>
    <w:uiPriority w:val="99"/>
    <w:rPr>
      <w:sz w:val="21"/>
      <w:szCs w:val="21"/>
    </w:rPr>
  </w:style>
  <w:style w:type="character" w:styleId="11">
    <w:name w:val="footnote reference"/>
    <w:basedOn w:val="9"/>
    <w:unhideWhenUsed/>
    <w:uiPriority w:val="99"/>
    <w:rPr>
      <w:vertAlign w:val="superscript"/>
    </w:rPr>
  </w:style>
  <w:style w:type="table" w:styleId="13">
    <w:name w:val="Table Grid"/>
    <w:basedOn w:val="12"/>
    <w:uiPriority w:val="59"/>
    <w:pPr/>
    <w:tblPr>
      <w:tblStyle w:val="1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4">
    <w:name w:val="List Paragraph"/>
    <w:basedOn w:val="1"/>
    <w:qFormat/>
    <w:uiPriority w:val="34"/>
    <w:pPr>
      <w:ind w:firstLine="420" w:firstLineChars="200"/>
    </w:pPr>
  </w:style>
  <w:style w:type="character" w:customStyle="1" w:styleId="15">
    <w:name w:val="页眉 Char"/>
    <w:basedOn w:val="9"/>
    <w:link w:val="7"/>
    <w:semiHidden/>
    <w:uiPriority w:val="99"/>
    <w:rPr>
      <w:sz w:val="18"/>
      <w:szCs w:val="18"/>
    </w:rPr>
  </w:style>
  <w:style w:type="character" w:customStyle="1" w:styleId="16">
    <w:name w:val="页脚 Char"/>
    <w:basedOn w:val="9"/>
    <w:link w:val="6"/>
    <w:semiHidden/>
    <w:uiPriority w:val="99"/>
    <w:rPr>
      <w:sz w:val="18"/>
      <w:szCs w:val="18"/>
    </w:rPr>
  </w:style>
  <w:style w:type="character" w:customStyle="1" w:styleId="17">
    <w:name w:val="批注框文本 Char"/>
    <w:basedOn w:val="9"/>
    <w:link w:val="5"/>
    <w:semiHidden/>
    <w:uiPriority w:val="99"/>
    <w:rPr>
      <w:sz w:val="18"/>
      <w:szCs w:val="18"/>
    </w:rPr>
  </w:style>
  <w:style w:type="character" w:customStyle="1" w:styleId="18">
    <w:name w:val="正文文本缩进 Char"/>
    <w:basedOn w:val="9"/>
    <w:link w:val="4"/>
    <w:uiPriority w:val="0"/>
    <w:rPr>
      <w:rFonts w:ascii="Times New Roman" w:hAnsi="Times New Roman" w:eastAsia="宋体" w:cs="Times New Roman"/>
      <w:szCs w:val="24"/>
    </w:rPr>
  </w:style>
  <w:style w:type="character" w:customStyle="1" w:styleId="19">
    <w:name w:val="脚注文本 Char"/>
    <w:basedOn w:val="9"/>
    <w:link w:val="8"/>
    <w:semiHidden/>
    <w:uiPriority w:val="99"/>
    <w:rPr>
      <w:kern w:val="2"/>
      <w:sz w:val="18"/>
      <w:szCs w:val="18"/>
    </w:rPr>
  </w:style>
  <w:style w:type="character" w:customStyle="1" w:styleId="20">
    <w:name w:val="批注文字 Char"/>
    <w:basedOn w:val="9"/>
    <w:link w:val="3"/>
    <w:semiHidden/>
    <w:uiPriority w:val="99"/>
    <w:rPr>
      <w:kern w:val="2"/>
      <w:sz w:val="21"/>
      <w:szCs w:val="22"/>
    </w:rPr>
  </w:style>
  <w:style w:type="character" w:customStyle="1" w:styleId="21">
    <w:name w:val="批注主题 Char"/>
    <w:basedOn w:val="20"/>
    <w:link w:val="2"/>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7</Pages>
  <Words>373</Words>
  <Characters>2131</Characters>
  <Lines>17</Lines>
  <Paragraphs>4</Paragraphs>
  <ScaleCrop>false</ScaleCrop>
  <LinksUpToDate>false</LinksUpToDate>
  <CharactersWithSpaces>0</CharactersWithSpaces>
  <Application>WPS Office 专业版_9.1.0.4797_{F1E327BC-269C-435d-A152-05C5408002CA}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2022-08-29T07:11:00Z</dcterms:created>
  <dc:creator>qcx</dc:creator>
  <cp:lastModifiedBy>Administrator</cp:lastModifiedBy>
  <cp:lastPrinted>2022-10-25T07:32:00Z</cp:lastPrinted>
  <dcterms:modified xsi:type="dcterms:W3CDTF">2022-11-23T00:55:07Z</dcterms:modified>
  <dc:title>国家外汇管理局辽宁省分局对机构申报主体</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2052-9.1.0.4797</vt:lpwstr>
  </property>
</Properties>
</file>