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国家外汇管理局葫芦岛市中心支局采取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多项措施认真组织宪法宣传周宣传活动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为深入学习贯彻落实习近平总书记关于宪法的重要讲话和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党的十九届五中全会</w:t>
      </w:r>
      <w:r>
        <w:rPr>
          <w:rFonts w:hint="eastAsia" w:ascii="仿宋" w:hAnsi="仿宋" w:eastAsia="仿宋" w:cs="仿宋"/>
          <w:sz w:val="32"/>
          <w:szCs w:val="32"/>
        </w:rPr>
        <w:t>精神，弘扬宪法精神，维护宪法权威，提高尊宪守宪意识，提升学宪用宪水平。葫芦岛市中心支局在第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个国家宪法日到来之际，采取多项措施开展宣传活动。</w:t>
      </w:r>
    </w:p>
    <w:p>
      <w:pPr>
        <w:ind w:firstLine="60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一、利用宣传展板、电子显示屏等载体开展集中宣传</w:t>
      </w:r>
    </w:p>
    <w:p>
      <w:pPr>
        <w:ind w:firstLine="60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通过在支局大厅显著位置摆放《宪法知识》宣传展板，在办公楼道电子屏幕滚动播宪法宣传视频、美篇及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利用</w:t>
      </w:r>
      <w:r>
        <w:rPr>
          <w:rFonts w:hint="eastAsia" w:ascii="仿宋" w:hAnsi="仿宋" w:eastAsia="仿宋" w:cs="仿宋"/>
          <w:sz w:val="32"/>
          <w:szCs w:val="32"/>
        </w:rPr>
        <w:t>微信群信息转发宪法知识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等方式</w:t>
      </w:r>
      <w:r>
        <w:rPr>
          <w:rFonts w:hint="eastAsia" w:ascii="仿宋" w:hAnsi="仿宋" w:eastAsia="仿宋" w:cs="仿宋"/>
          <w:sz w:val="32"/>
          <w:szCs w:val="32"/>
        </w:rPr>
        <w:t>。大力宣传宪法基本法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知识，营造了浓厚的宪法宣传氛围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0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二、组织观看宪法知识讲座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日，组织全体干部职工观看了《习近平总书记关于宪法的重要论述和我国宪法的修改》专题教育片。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使全体党员干部</w:t>
      </w:r>
      <w:r>
        <w:rPr>
          <w:rFonts w:hint="eastAsia" w:ascii="仿宋" w:hAnsi="仿宋" w:eastAsia="仿宋" w:cs="仿宋"/>
          <w:sz w:val="32"/>
          <w:szCs w:val="32"/>
        </w:rPr>
        <w:t>对十八大以来党和国家事业发生的历史性变革、“两个一百年”奋斗目标的战略安排、坚持和加强党的全面领导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，以及</w:t>
      </w:r>
      <w:r>
        <w:rPr>
          <w:rFonts w:hint="eastAsia" w:ascii="仿宋" w:hAnsi="仿宋" w:eastAsia="仿宋" w:cs="仿宋"/>
          <w:sz w:val="32"/>
          <w:szCs w:val="32"/>
        </w:rPr>
        <w:t>对宪法修改的重大意义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有了深刻的认识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0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三、设立法律咨询台，宣传宪法及外汇知识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日，联合办公室在营业厅设立了法律咨询台，重点就群众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关心</w:t>
      </w:r>
      <w:r>
        <w:rPr>
          <w:rFonts w:hint="eastAsia" w:ascii="仿宋" w:hAnsi="仿宋" w:eastAsia="仿宋" w:cs="仿宋"/>
          <w:sz w:val="32"/>
          <w:szCs w:val="32"/>
        </w:rPr>
        <w:t>的民间借贷、网络炒汇、个人外汇知识等法律常识进行答疑。使宪法及外汇知识宣传更接“地气”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更受欢迎。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通过宪法宣传活动的深入开展，将极大提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</w:rPr>
        <w:t>我支局法治建设水平，增强干部职工依法行政意识，促进外汇管理水平的不断提升。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 xml:space="preserve">                         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41110BE"/>
    <w:rsid w:val="793F2AE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861</Characters>
  <Lines>7</Lines>
  <Paragraphs>2</Paragraphs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2018-12-09T07:35:00Z</dcterms:created>
  <dc:creator>WHK10</dc:creator>
  <cp:lastModifiedBy>孙炜</cp:lastModifiedBy>
  <cp:lastPrinted>2018-12-10T02:11:00Z</cp:lastPrinted>
  <dcterms:modified xsi:type="dcterms:W3CDTF">2020-12-04T01:46:32Z</dcterms:modified>
  <dc:title>国家外汇管理局葫芦岛市中心支局采取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