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46" o:spid="_x0000_s1026" type="#_x0000_t75" style="height:69.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bookmarkStart w:id="0" w:name="_GoBack"/>
      <w:r>
        <w:rPr>
          <w:rFonts w:ascii="Times New Roman" w:hAnsi="Times New Roman" w:eastAsia="黑体" w:cs="Times New Roman"/>
          <w:sz w:val="30"/>
          <w:szCs w:val="30"/>
        </w:rPr>
        <w:t>外国银行分行头寸集中管理审批</w:t>
      </w:r>
      <w:bookmarkEnd w:id="0"/>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
        <w:gridCol w:w="2835"/>
        <w:gridCol w:w="992"/>
        <w:gridCol w:w="457"/>
        <w:gridCol w:w="819"/>
        <w:gridCol w:w="457"/>
        <w:gridCol w:w="2025"/>
      </w:tblGrid>
      <w:tr>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sz w:val="30"/>
          <w:szCs w:val="30"/>
        </w:rPr>
        <w:t>（十六</w:t>
      </w:r>
      <w:r>
        <w:rPr>
          <w:rFonts w:ascii="Times New Roman" w:hAnsi="Times New Roman" w:eastAsia="黑体" w:cs="Times New Roman"/>
          <w:color w:val="auto"/>
          <w:sz w:val="30"/>
          <w:szCs w:val="30"/>
        </w:rPr>
        <w:t>）办公地址和时间</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仿宋_GB2312" w:hAnsi="Times New Roman" w:eastAsia="仿宋_GB2312"/>
          <w:color w:val="auto"/>
          <w:sz w:val="30"/>
          <w:szCs w:val="30"/>
        </w:rPr>
        <w:t>该项行政许可具体由国家外汇管理局分局办理，</w:t>
      </w:r>
      <w:r>
        <w:rPr>
          <w:rFonts w:hint="eastAsia" w:ascii="仿宋_GB2312" w:hAnsi="Times New Roman" w:eastAsia="仿宋_GB2312"/>
          <w:color w:val="auto"/>
          <w:sz w:val="30"/>
          <w:szCs w:val="30"/>
        </w:rPr>
        <w:t>国家外汇管理局吉林省</w:t>
      </w:r>
      <w:r>
        <w:rPr>
          <w:rFonts w:ascii="仿宋_GB2312" w:hAnsi="Times New Roman" w:eastAsia="仿宋_GB2312"/>
          <w:color w:val="auto"/>
          <w:sz w:val="30"/>
          <w:szCs w:val="30"/>
        </w:rPr>
        <w:t>分局办公地址和办公时间见</w:t>
      </w:r>
      <w:r>
        <w:rPr>
          <w:rFonts w:hint="eastAsia" w:ascii="仿宋_GB2312" w:hAnsi="Times New Roman" w:eastAsia="仿宋_GB2312"/>
          <w:color w:val="auto"/>
          <w:sz w:val="30"/>
          <w:szCs w:val="30"/>
        </w:rPr>
        <w:t>国家外汇管理局吉林省分局官方互联网站“咨询反馈——联系我们”栏目。</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（十七）禁止性要求</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（十八）咨询途径</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电话、电子邮件、网址</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（十九）办理进程和结果公开查询</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进行咨询、进程查询、监督和投诉</w:t>
      </w:r>
      <w:r>
        <w:rPr>
          <w:rFonts w:ascii="Times New Roman" w:hAnsi="Times New Roman" w:eastAsia="仿宋_GB2312" w:cs="Times New Roman"/>
          <w:color w:val="auto"/>
          <w:sz w:val="30"/>
          <w:szCs w:val="30"/>
          <w:highlight w:val="none"/>
        </w:rPr>
        <w:t>等</w:t>
      </w:r>
      <w:r>
        <w:rPr>
          <w:rFonts w:hint="eastAsia" w:ascii="Times New Roman" w:hAnsi="Times New Roman" w:eastAsia="仿宋_GB2312" w:cs="Times New Roman"/>
          <w:color w:val="auto"/>
          <w:sz w:val="30"/>
          <w:szCs w:val="30"/>
          <w:highlight w:val="none"/>
        </w:rPr>
        <w:t>可通过国</w:t>
      </w:r>
      <w:r>
        <w:rPr>
          <w:rFonts w:hint="eastAsia" w:ascii="Times New Roman" w:hAnsi="Times New Roman" w:eastAsia="仿宋_GB2312" w:cs="Times New Roman"/>
          <w:color w:val="auto"/>
          <w:sz w:val="30"/>
          <w:szCs w:val="30"/>
        </w:rPr>
        <w:t>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（二十）监督投诉渠道</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向国家外汇管理局咨询、监督投诉等可通过国家外汇管理局官方互联网站公众交流栏目进行。网址为</w:t>
      </w:r>
      <w:r>
        <w:rPr>
          <w:color w:val="auto"/>
        </w:rPr>
        <w:fldChar w:fldCharType="begin"/>
      </w:r>
      <w:r>
        <w:rPr>
          <w:color w:val="auto"/>
        </w:rPr>
        <w:instrText xml:space="preserve">HYPERLINK "http://www.safe.gov.cn/" </w:instrText>
      </w:r>
      <w:r>
        <w:rPr>
          <w:color w:val="auto"/>
        </w:rPr>
        <w:fldChar w:fldCharType="separate"/>
      </w:r>
      <w:r>
        <w:rPr>
          <w:rStyle w:val="16"/>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（二十一）申请材料示范文本</w:t>
      </w:r>
    </w:p>
    <w:p>
      <w:pPr>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审批时限在20个工作日以内。但办理过程中所需的现场验收等，不计入时</w:t>
      </w:r>
      <w:r>
        <w:rPr>
          <w:rFonts w:ascii="Times New Roman" w:hAnsi="Times New Roman" w:eastAsia="仿宋_GB2312" w:cs="Times New Roman"/>
          <w:sz w:val="30"/>
          <w:szCs w:val="30"/>
        </w:rPr>
        <w:t>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26" o:spid="_x0000_s1027" style="position:absolute;left:0;margin-left:-39.65pt;margin-top:26.1pt;height:455.7pt;width:459.7pt;rotation:0f;z-index:251658240;" coordorigin="1007,3210" coordsize="9194,9114">
            <o:lock v:ext="edit" position="f" selection="f" grouping="f" rotation="f" cropping="f" text="f" aspectratio="f"/>
            <v:shape id="_x0000_s1546" o:spid="_x0000_s1028" type="#_x0000_t32" style="position:absolute;left:2612;top:4693;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47" o:spid="_x0000_s1029" type="#_x0000_t32" style="position:absolute;left:3667;top:6413;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48" o:spid="_x0000_s1030" type="#_x0000_t32" style="position:absolute;left:3667;top:7217;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49" o:spid="_x0000_s1031" type="#_x0000_t32" style="position:absolute;left:8191;top:5266;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0" o:spid="_x0000_s1032"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1" o:spid="_x0000_s1033" type="#_x0000_t32" style="position:absolute;left:539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2" o:spid="_x0000_s1034" type="#_x0000_t32" style="position:absolute;left:6547;top:10247;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3" o:spid="_x0000_s1035" type="#_x0000_t32" style="position:absolute;left:4432;top:10247;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4" o:spid="_x0000_s1036" type="#_x0000_t32" style="position:absolute;left:2612;top:7450;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555" o:spid="_x0000_s1037" type="#_x0000_t32" style="position:absolute;left:2612;top:8841;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6" o:spid="_x0000_s1038"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_x0000_s1557" o:spid="_x0000_s1039"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_x0000_s1558" o:spid="_x0000_s1040"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_x0000_s1559" o:spid="_x0000_s1041"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_x0000_s1560" o:spid="_x0000_s1042"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_x0000_s1561" o:spid="_x0000_s1043"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_x0000_s1562" o:spid="_x0000_s1044" style="position:absolute;left:1771;top:3210;height:1483;width:25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563" o:spid="_x0000_s1045"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_x0000_s1564" o:spid="_x0000_s1046"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5</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cs="Times New Roman"/>
    </w:rPr>
  </w:style>
  <w:style w:type="paragraph" w:styleId="7">
    <w:name w:val="Body Text"/>
    <w:basedOn w:val="1"/>
    <w:link w:val="41"/>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8"/>
    <w:unhideWhenUsed/>
    <w:uiPriority w:val="0"/>
    <w:rPr>
      <w:sz w:val="18"/>
      <w:szCs w:val="18"/>
    </w:rPr>
  </w:style>
  <w:style w:type="paragraph" w:styleId="9">
    <w:name w:val="footer"/>
    <w:basedOn w:val="1"/>
    <w:link w:val="27"/>
    <w:unhideWhenUsed/>
    <w:uiPriority w:val="99"/>
    <w:pPr>
      <w:tabs>
        <w:tab w:val="center" w:pos="4153"/>
        <w:tab w:val="right" w:pos="8306"/>
      </w:tabs>
      <w:snapToGrid w:val="0"/>
      <w:jc w:val="left"/>
    </w:pPr>
    <w:rPr>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6">
    <w:name w:val="Hyperlink"/>
    <w:basedOn w:val="13"/>
    <w:unhideWhenUsed/>
    <w:uiPriority w:val="99"/>
    <w:rPr>
      <w:rFonts w:hint="default" w:ascii="ˎ̥" w:hAnsi="ˎ̥"/>
      <w:color w:val="0453CC"/>
      <w:sz w:val="20"/>
      <w:szCs w:val="20"/>
      <w:u w:val="none"/>
    </w:rPr>
  </w:style>
  <w:style w:type="character" w:styleId="17">
    <w:name w:val="annotation reference"/>
    <w:basedOn w:val="13"/>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列出段落1"/>
    <w:basedOn w:val="1"/>
    <w:qFormat/>
    <w:uiPriority w:val="34"/>
    <w:pPr>
      <w:ind w:firstLine="420" w:firstLineChars="200"/>
    </w:pPr>
    <w:rPr>
      <w:rFonts w:cs="Times New Roman"/>
    </w:r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cs="黑体"/>
      <w:kern w:val="2"/>
      <w:sz w:val="21"/>
      <w:szCs w:val="22"/>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uiPriority w:val="0"/>
    <w:pPr>
      <w:widowControl/>
    </w:pPr>
    <w:rPr>
      <w:rFonts w:cs="宋体"/>
      <w:kern w:val="0"/>
      <w:szCs w:val="21"/>
    </w:rPr>
  </w:style>
  <w:style w:type="character" w:customStyle="1" w:styleId="26">
    <w:name w:val="页眉 Char Char"/>
    <w:basedOn w:val="13"/>
    <w:link w:val="10"/>
    <w:uiPriority w:val="99"/>
    <w:rPr>
      <w:sz w:val="18"/>
      <w:szCs w:val="18"/>
    </w:rPr>
  </w:style>
  <w:style w:type="character" w:customStyle="1" w:styleId="27">
    <w:name w:val="页脚 Char Char"/>
    <w:basedOn w:val="13"/>
    <w:link w:val="9"/>
    <w:uiPriority w:val="99"/>
    <w:rPr>
      <w:sz w:val="18"/>
      <w:szCs w:val="18"/>
    </w:rPr>
  </w:style>
  <w:style w:type="character" w:customStyle="1" w:styleId="28">
    <w:name w:val="批注框文本 Char Char"/>
    <w:basedOn w:val="13"/>
    <w:link w:val="8"/>
    <w:uiPriority w:val="0"/>
    <w:rPr>
      <w:sz w:val="18"/>
      <w:szCs w:val="18"/>
    </w:rPr>
  </w:style>
  <w:style w:type="character" w:customStyle="1" w:styleId="29">
    <w:name w:val="HTML 预设格式 Char Char"/>
    <w:basedOn w:val="13"/>
    <w:link w:val="14"/>
    <w:uiPriority w:val="99"/>
    <w:rPr>
      <w:rFonts w:ascii="宋体" w:hAnsi="宋体" w:eastAsia="宋体" w:cs="宋体"/>
      <w:kern w:val="0"/>
      <w:sz w:val="24"/>
      <w:szCs w:val="24"/>
    </w:rPr>
  </w:style>
  <w:style w:type="character" w:customStyle="1" w:styleId="30">
    <w:name w:val="批注文字 Char Char"/>
    <w:basedOn w:val="13"/>
    <w:link w:val="6"/>
    <w:uiPriority w:val="0"/>
    <w:rPr>
      <w:rFonts w:ascii="Calibri" w:hAnsi="Calibri" w:eastAsia="宋体" w:cs="Times New Roman"/>
    </w:rPr>
  </w:style>
  <w:style w:type="character" w:customStyle="1" w:styleId="31">
    <w:name w:val="标题 1 Char Char"/>
    <w:basedOn w:val="13"/>
    <w:link w:val="2"/>
    <w:uiPriority w:val="9"/>
    <w:rPr>
      <w:rFonts w:ascii="黑体" w:hAnsi="黑体" w:eastAsia="黑体" w:cs="宋体"/>
      <w:color w:val="000000"/>
      <w:kern w:val="0"/>
      <w:sz w:val="30"/>
      <w:szCs w:val="30"/>
    </w:rPr>
  </w:style>
  <w:style w:type="character" w:customStyle="1" w:styleId="32">
    <w:name w:val="标题 2 Char Char"/>
    <w:basedOn w:val="13"/>
    <w:link w:val="3"/>
    <w:uiPriority w:val="0"/>
    <w:rPr>
      <w:rFonts w:ascii="Cambria" w:hAnsi="Cambria" w:eastAsia="宋体" w:cs="Times New Roman"/>
      <w:b/>
      <w:bCs/>
      <w:sz w:val="32"/>
      <w:szCs w:val="32"/>
    </w:rPr>
  </w:style>
  <w:style w:type="character" w:customStyle="1" w:styleId="33">
    <w:name w:val="标题 3 Char Char"/>
    <w:basedOn w:val="13"/>
    <w:link w:val="4"/>
    <w:uiPriority w:val="9"/>
    <w:rPr>
      <w:rFonts w:ascii="仿宋_GB2312" w:hAnsi="Calibri" w:eastAsia="仿宋_GB2312" w:cs="Times New Roman"/>
      <w:sz w:val="30"/>
      <w:szCs w:val="30"/>
    </w:rPr>
  </w:style>
  <w:style w:type="character" w:customStyle="1" w:styleId="34">
    <w:name w:val="脚注文本 Char1"/>
    <w:basedOn w:val="13"/>
    <w:link w:val="11"/>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3"/>
    <w:link w:val="5"/>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明显强调1"/>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 w:type="character" w:customStyle="1" w:styleId="41">
    <w:name w:val="正文文本 Char Char"/>
    <w:basedOn w:val="13"/>
    <w:link w:val="7"/>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Words>
  <Characters>1873</Characters>
  <Lines>15</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韩美琪/收支处/长春/PBC</cp:lastModifiedBy>
  <cp:lastPrinted>2017-11-24T00:22:00Z</cp:lastPrinted>
  <dcterms:modified xsi:type="dcterms:W3CDTF">2023-09-01T08:15:01Z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