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color w:val="auto"/>
          <w:sz w:val="48"/>
          <w:szCs w:val="48"/>
        </w:rPr>
      </w:pPr>
      <w:r>
        <w:rPr>
          <w:rFonts w:ascii="Times New Roman" w:hAnsi="Times New Roman" w:eastAsia="黑体" w:cs="Times New Roman"/>
          <w:color w:val="auto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color w:val="auto"/>
          <w:kern w:val="2"/>
          <w:sz w:val="48"/>
          <w:szCs w:val="48"/>
          <w:lang w:val="en-US" w:eastAsia="zh-CN" w:bidi="ar-SA"/>
        </w:rPr>
        <w:pict>
          <v:shape id="_x0000_i1025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color w:val="auto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四、</w:t>
      </w:r>
      <w:bookmarkStart w:id="0" w:name="_GoBack"/>
      <w:r>
        <w:rPr>
          <w:rFonts w:ascii="Times New Roman" w:hAnsi="Times New Roman" w:eastAsia="黑体" w:cs="Times New Roman"/>
          <w:color w:val="auto"/>
          <w:sz w:val="30"/>
          <w:szCs w:val="30"/>
        </w:rPr>
        <w:t>个人提取外币现钞（当日累计提取超过等值10000美元外币现钞）</w:t>
      </w:r>
    </w:p>
    <w:bookmarkEnd w:id="0"/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color w:val="auto"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银行所在地国家外汇管理局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银行所在地国家外汇管理局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申请人可通过国家外汇管理局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"http://www.safe.gov.cn/" \h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向外汇局吉林省分局及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进行咨询、监督和投诉等可通过国家外汇管理局吉林省分局官方互联网站“咨询反馈”栏目进行。网址为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instrText xml:space="preserve"> HYPERLINK "http://www.safe.gov.cn/jilin"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——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联系我们”栏目中公布的电话进行。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该项行政许可具体由国家外汇管理局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吉林省分局及分支机构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办理，国家外汇管理局吉林省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分局及分支机构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的办公地址和办公时间见国家外汇管理局吉林省分局官方互联网站“咨询反馈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——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外汇局XXX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分支机构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  <w:lang w:eastAsia="zh-CN"/>
                      </w:rPr>
                      <w:t>分支机构</w:t>
                    </w:r>
                    <w:r>
                      <w:rPr>
                        <w:rFonts w:hint="eastAsia"/>
                      </w:rPr>
                      <w:t>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8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qFormat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2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韩美琪/收支处/长春/PBC</cp:lastModifiedBy>
  <cp:lastPrinted>2020-09-23T02:38:00Z</cp:lastPrinted>
  <dcterms:modified xsi:type="dcterms:W3CDTF">2023-09-01T08:35:51Z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